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422" w:rsidRPr="00832AD7" w:rsidRDefault="002453CF" w:rsidP="00832AD7">
      <w:pPr>
        <w:spacing w:after="0" w:line="240" w:lineRule="auto"/>
        <w:rPr>
          <w:rFonts w:cs="David"/>
          <w:b/>
          <w:bCs/>
          <w:sz w:val="16"/>
          <w:szCs w:val="16"/>
          <w:rtl/>
        </w:rPr>
      </w:pPr>
      <w:r w:rsidRPr="006C3B1F">
        <w:rPr>
          <w:rFonts w:cs="David" w:hint="cs"/>
          <w:b/>
          <w:bCs/>
          <w:sz w:val="24"/>
          <w:szCs w:val="24"/>
          <w:rtl/>
        </w:rPr>
        <w:t xml:space="preserve">                                 </w:t>
      </w:r>
      <w:r w:rsidR="006B7B96" w:rsidRPr="006C3B1F">
        <w:rPr>
          <w:rFonts w:cs="David" w:hint="cs"/>
          <w:b/>
          <w:bCs/>
          <w:sz w:val="24"/>
          <w:szCs w:val="24"/>
          <w:rtl/>
        </w:rPr>
        <w:t xml:space="preserve">           </w:t>
      </w:r>
      <w:r w:rsidR="00631744">
        <w:rPr>
          <w:rFonts w:cs="David" w:hint="cs"/>
          <w:b/>
          <w:bCs/>
          <w:sz w:val="24"/>
          <w:szCs w:val="24"/>
          <w:rtl/>
        </w:rPr>
        <w:t xml:space="preserve">           </w:t>
      </w:r>
      <w:r w:rsidR="006C3B1F">
        <w:rPr>
          <w:rFonts w:cs="David" w:hint="cs"/>
          <w:b/>
          <w:bCs/>
          <w:sz w:val="24"/>
          <w:szCs w:val="24"/>
          <w:rtl/>
        </w:rPr>
        <w:t xml:space="preserve">   </w:t>
      </w:r>
      <w:r w:rsidRPr="006C3B1F">
        <w:rPr>
          <w:rFonts w:cs="David" w:hint="cs"/>
          <w:b/>
          <w:bCs/>
          <w:sz w:val="24"/>
          <w:szCs w:val="24"/>
          <w:rtl/>
        </w:rPr>
        <w:t xml:space="preserve">  </w:t>
      </w:r>
      <w:r w:rsidR="001D42A7">
        <w:rPr>
          <w:rFonts w:hint="cs"/>
          <w:b/>
          <w:bCs/>
          <w:rtl/>
        </w:rPr>
        <w:t xml:space="preserve">  </w:t>
      </w:r>
    </w:p>
    <w:p w:rsidR="00983123" w:rsidRPr="00832AD7" w:rsidRDefault="00983123" w:rsidP="00832AD7">
      <w:pPr>
        <w:spacing w:after="0" w:line="240" w:lineRule="auto"/>
        <w:jc w:val="right"/>
        <w:rPr>
          <w:rFonts w:ascii="Times New Roman" w:eastAsia="Times New Roman" w:hAnsi="Times New Roman" w:cs="David"/>
          <w:sz w:val="16"/>
          <w:szCs w:val="16"/>
        </w:rPr>
      </w:pPr>
      <w:r w:rsidRPr="00832AD7">
        <w:rPr>
          <w:rFonts w:ascii="Times New Roman" w:eastAsia="Times New Roman" w:hAnsi="Times New Roman" w:cs="David" w:hint="cs"/>
          <w:sz w:val="16"/>
          <w:szCs w:val="16"/>
          <w:rtl/>
        </w:rPr>
        <w:fldChar w:fldCharType="begin"/>
      </w:r>
      <w:r w:rsidRPr="00832AD7">
        <w:rPr>
          <w:rFonts w:ascii="Times New Roman" w:eastAsia="Times New Roman" w:hAnsi="Times New Roman" w:cs="David" w:hint="cs"/>
          <w:sz w:val="16"/>
          <w:szCs w:val="16"/>
          <w:rtl/>
        </w:rPr>
        <w:instrText xml:space="preserve"> </w:instrText>
      </w:r>
      <w:r w:rsidRPr="00832AD7">
        <w:rPr>
          <w:rFonts w:ascii="Times New Roman" w:eastAsia="Times New Roman" w:hAnsi="Times New Roman" w:cs="David"/>
          <w:sz w:val="16"/>
          <w:szCs w:val="16"/>
        </w:rPr>
        <w:instrText>DOCPROPERTY  DocDateEng  \* MERGEFORMAT</w:instrText>
      </w:r>
      <w:r w:rsidRPr="00832AD7">
        <w:rPr>
          <w:rFonts w:ascii="Times New Roman" w:eastAsia="Times New Roman" w:hAnsi="Times New Roman" w:cs="David" w:hint="cs"/>
          <w:sz w:val="16"/>
          <w:szCs w:val="16"/>
          <w:rtl/>
        </w:rPr>
        <w:instrText xml:space="preserve"> </w:instrText>
      </w:r>
      <w:r w:rsidRPr="00832AD7">
        <w:rPr>
          <w:rFonts w:ascii="Times New Roman" w:eastAsia="Times New Roman" w:hAnsi="Times New Roman" w:cs="David" w:hint="cs"/>
          <w:sz w:val="16"/>
          <w:szCs w:val="16"/>
          <w:rtl/>
        </w:rPr>
        <w:fldChar w:fldCharType="separate"/>
      </w:r>
      <w:r w:rsidRPr="00832AD7">
        <w:rPr>
          <w:rFonts w:ascii="Times New Roman" w:eastAsia="Times New Roman" w:hAnsi="Times New Roman" w:cs="David" w:hint="cs"/>
          <w:sz w:val="16"/>
          <w:szCs w:val="16"/>
          <w:rtl/>
        </w:rPr>
        <w:t>12 בנובמבר 2023</w:t>
      </w:r>
      <w:r w:rsidRPr="00832AD7">
        <w:rPr>
          <w:rFonts w:ascii="Times New Roman" w:eastAsia="Times New Roman" w:hAnsi="Times New Roman" w:cs="David" w:hint="cs"/>
          <w:sz w:val="16"/>
          <w:szCs w:val="16"/>
          <w:rtl/>
        </w:rPr>
        <w:fldChar w:fldCharType="end"/>
      </w:r>
    </w:p>
    <w:p w:rsidR="00983123" w:rsidRPr="00832AD7" w:rsidRDefault="00983123" w:rsidP="00832AD7">
      <w:pPr>
        <w:spacing w:after="0" w:line="240" w:lineRule="auto"/>
        <w:jc w:val="right"/>
        <w:rPr>
          <w:rFonts w:ascii="Times New Roman" w:eastAsia="Times New Roman" w:hAnsi="Times New Roman" w:cs="David"/>
          <w:sz w:val="16"/>
          <w:szCs w:val="16"/>
          <w:rtl/>
        </w:rPr>
      </w:pPr>
      <w:r w:rsidRPr="00832AD7">
        <w:rPr>
          <w:rFonts w:ascii="Times New Roman" w:eastAsia="Times New Roman" w:hAnsi="Times New Roman" w:cs="David" w:hint="cs"/>
          <w:sz w:val="16"/>
          <w:szCs w:val="16"/>
          <w:rtl/>
        </w:rPr>
        <w:t xml:space="preserve">                                                                                                   </w:t>
      </w:r>
      <w:r w:rsidRPr="00832AD7">
        <w:rPr>
          <w:rFonts w:ascii="Times New Roman" w:eastAsia="Times New Roman" w:hAnsi="Times New Roman" w:cs="David" w:hint="cs"/>
          <w:sz w:val="16"/>
          <w:szCs w:val="16"/>
          <w:rtl/>
        </w:rPr>
        <w:fldChar w:fldCharType="begin"/>
      </w:r>
      <w:r w:rsidRPr="00832AD7">
        <w:rPr>
          <w:rFonts w:ascii="Times New Roman" w:eastAsia="Times New Roman" w:hAnsi="Times New Roman" w:cs="David" w:hint="cs"/>
          <w:sz w:val="16"/>
          <w:szCs w:val="16"/>
          <w:rtl/>
        </w:rPr>
        <w:instrText xml:space="preserve"> </w:instrText>
      </w:r>
      <w:r w:rsidRPr="00832AD7">
        <w:rPr>
          <w:rFonts w:ascii="Times New Roman" w:eastAsia="Times New Roman" w:hAnsi="Times New Roman" w:cs="David"/>
          <w:sz w:val="16"/>
          <w:szCs w:val="16"/>
        </w:rPr>
        <w:instrText>DOCPROPERTY  DocDateHeb  \* MERGEFORMAT</w:instrText>
      </w:r>
      <w:r w:rsidRPr="00832AD7">
        <w:rPr>
          <w:rFonts w:ascii="Times New Roman" w:eastAsia="Times New Roman" w:hAnsi="Times New Roman" w:cs="David" w:hint="cs"/>
          <w:sz w:val="16"/>
          <w:szCs w:val="16"/>
          <w:rtl/>
        </w:rPr>
        <w:instrText xml:space="preserve"> </w:instrText>
      </w:r>
      <w:r w:rsidRPr="00832AD7">
        <w:rPr>
          <w:rFonts w:ascii="Times New Roman" w:eastAsia="Times New Roman" w:hAnsi="Times New Roman" w:cs="David" w:hint="cs"/>
          <w:sz w:val="16"/>
          <w:szCs w:val="16"/>
          <w:rtl/>
        </w:rPr>
        <w:fldChar w:fldCharType="separate"/>
      </w:r>
      <w:r w:rsidRPr="00832AD7">
        <w:rPr>
          <w:rFonts w:ascii="Times New Roman" w:eastAsia="Times New Roman" w:hAnsi="Times New Roman" w:cs="David" w:hint="cs"/>
          <w:sz w:val="16"/>
          <w:szCs w:val="16"/>
          <w:rtl/>
        </w:rPr>
        <w:t>כ"ח בחשוון תשפ"ד</w:t>
      </w:r>
      <w:r w:rsidRPr="00832AD7">
        <w:rPr>
          <w:rFonts w:ascii="Times New Roman" w:eastAsia="Times New Roman" w:hAnsi="Times New Roman" w:cs="David" w:hint="cs"/>
          <w:sz w:val="16"/>
          <w:szCs w:val="16"/>
          <w:rtl/>
        </w:rPr>
        <w:fldChar w:fldCharType="end"/>
      </w:r>
    </w:p>
    <w:p w:rsidR="00541C9E" w:rsidRPr="000071E5" w:rsidRDefault="009457AF" w:rsidP="009457AF">
      <w:pPr>
        <w:spacing w:after="120" w:line="360" w:lineRule="auto"/>
        <w:contextualSpacing/>
        <w:jc w:val="center"/>
        <w:rPr>
          <w:rFonts w:ascii="FrankRuehl" w:hAnsi="FrankRuehl" w:cs="FrankRuehl"/>
          <w:b/>
          <w:bCs/>
          <w:color w:val="002060"/>
          <w:sz w:val="32"/>
          <w:szCs w:val="32"/>
          <w:u w:val="single"/>
          <w:rtl/>
        </w:rPr>
      </w:pPr>
      <w:r>
        <w:rPr>
          <w:rFonts w:ascii="FrankRuehl" w:hAnsi="FrankRuehl" w:cs="FrankRuehl"/>
          <w:b/>
          <w:bCs/>
          <w:color w:val="002060"/>
          <w:sz w:val="32"/>
          <w:szCs w:val="32"/>
          <w:u w:val="single"/>
          <w:rtl/>
        </w:rPr>
        <w:t xml:space="preserve">תקציר </w:t>
      </w:r>
      <w:r w:rsidR="00541C9E" w:rsidRPr="000071E5">
        <w:rPr>
          <w:rFonts w:ascii="FrankRuehl" w:hAnsi="FrankRuehl" w:cs="FrankRuehl" w:hint="cs"/>
          <w:b/>
          <w:bCs/>
          <w:color w:val="002060"/>
          <w:sz w:val="32"/>
          <w:szCs w:val="32"/>
          <w:u w:val="single"/>
          <w:rtl/>
        </w:rPr>
        <w:t>הכרעת-דין</w:t>
      </w:r>
      <w:r>
        <w:rPr>
          <w:rFonts w:ascii="FrankRuehl" w:hAnsi="FrankRuehl" w:cs="FrankRuehl" w:hint="cs"/>
          <w:b/>
          <w:bCs/>
          <w:color w:val="002060"/>
          <w:sz w:val="32"/>
          <w:szCs w:val="32"/>
          <w:u w:val="single"/>
          <w:rtl/>
        </w:rPr>
        <w:t xml:space="preserve"> בתיק תפ"ח </w:t>
      </w:r>
      <w:bookmarkStart w:id="0" w:name="_GoBack"/>
      <w:r w:rsidR="00500A9B">
        <w:rPr>
          <w:rFonts w:ascii="FrankRuehl" w:hAnsi="FrankRuehl" w:cs="FrankRuehl" w:hint="cs"/>
          <w:b/>
          <w:bCs/>
          <w:color w:val="002060"/>
          <w:sz w:val="32"/>
          <w:szCs w:val="32"/>
          <w:u w:val="single"/>
          <w:rtl/>
        </w:rPr>
        <w:t xml:space="preserve">22431-08-19 </w:t>
      </w:r>
      <w:bookmarkEnd w:id="0"/>
      <w:r w:rsidR="00500A9B">
        <w:rPr>
          <w:rFonts w:ascii="FrankRuehl" w:hAnsi="FrankRuehl" w:cs="FrankRuehl" w:hint="cs"/>
          <w:b/>
          <w:bCs/>
          <w:color w:val="002060"/>
          <w:sz w:val="32"/>
          <w:szCs w:val="32"/>
          <w:u w:val="single"/>
          <w:rtl/>
        </w:rPr>
        <w:t>מדינת ישראל נגד ניר</w:t>
      </w:r>
      <w:r>
        <w:rPr>
          <w:rFonts w:ascii="FrankRuehl" w:hAnsi="FrankRuehl" w:cs="FrankRuehl" w:hint="cs"/>
          <w:b/>
          <w:bCs/>
          <w:color w:val="002060"/>
          <w:sz w:val="32"/>
          <w:szCs w:val="32"/>
          <w:u w:val="single"/>
          <w:rtl/>
        </w:rPr>
        <w:t xml:space="preserve"> סנדלר</w:t>
      </w:r>
    </w:p>
    <w:p w:rsidR="009457AF" w:rsidRPr="009457AF" w:rsidRDefault="009457AF" w:rsidP="009457AF">
      <w:pPr>
        <w:spacing w:after="120"/>
        <w:contextualSpacing/>
        <w:jc w:val="center"/>
        <w:rPr>
          <w:rFonts w:ascii="FrankRuehl" w:hAnsi="FrankRuehl" w:cs="FrankRuehl"/>
          <w:b/>
          <w:bCs/>
          <w:color w:val="002060"/>
          <w:sz w:val="32"/>
          <w:szCs w:val="32"/>
          <w:u w:val="single"/>
          <w:rtl/>
        </w:rPr>
      </w:pPr>
      <w:r w:rsidRPr="009457AF">
        <w:rPr>
          <w:rFonts w:ascii="FrankRuehl" w:hAnsi="FrankRuehl" w:cs="FrankRuehl" w:hint="cs"/>
          <w:b/>
          <w:bCs/>
          <w:color w:val="002060"/>
          <w:sz w:val="32"/>
          <w:szCs w:val="32"/>
          <w:u w:val="single"/>
          <w:rtl/>
        </w:rPr>
        <w:t xml:space="preserve">אב"ד השופט ירון לוי, השופט יוסי טופף והשופטת מעין בן ארי </w:t>
      </w:r>
      <w:r w:rsidR="00541C9E" w:rsidRPr="009457AF">
        <w:rPr>
          <w:rFonts w:ascii="FrankRuehl" w:hAnsi="FrankRuehl" w:cs="FrankRuehl" w:hint="cs"/>
          <w:b/>
          <w:bCs/>
          <w:color w:val="002060"/>
          <w:sz w:val="32"/>
          <w:szCs w:val="32"/>
          <w:u w:val="single"/>
          <w:rtl/>
        </w:rPr>
        <w:t xml:space="preserve"> </w:t>
      </w:r>
    </w:p>
    <w:p w:rsidR="009457AF" w:rsidRDefault="009457AF" w:rsidP="009457AF">
      <w:pPr>
        <w:spacing w:line="360" w:lineRule="auto"/>
        <w:contextualSpacing/>
        <w:jc w:val="both"/>
        <w:rPr>
          <w:rFonts w:ascii="David" w:eastAsia="Calibri" w:hAnsi="David" w:cs="David"/>
          <w:sz w:val="24"/>
          <w:szCs w:val="24"/>
        </w:rPr>
      </w:pPr>
      <w:r w:rsidRPr="0027430E">
        <w:rPr>
          <w:rFonts w:ascii="David" w:eastAsia="Calibri" w:hAnsi="David" w:cs="David"/>
          <w:sz w:val="24"/>
          <w:szCs w:val="24"/>
          <w:rtl/>
        </w:rPr>
        <w:t>נגד הנאשם – הבעלים והמנהל של סוכנות ניהול אישי לדוגמנים – הוגש כתב איש</w:t>
      </w:r>
      <w:r>
        <w:rPr>
          <w:rFonts w:ascii="David" w:eastAsia="Calibri" w:hAnsi="David" w:cs="David"/>
          <w:sz w:val="24"/>
          <w:szCs w:val="24"/>
          <w:rtl/>
        </w:rPr>
        <w:t>ום המייחס לו ביצוע מעשים מגונים</w:t>
      </w:r>
      <w:r w:rsidRPr="0027430E">
        <w:rPr>
          <w:rFonts w:ascii="David" w:eastAsia="Calibri" w:hAnsi="David" w:cs="David"/>
          <w:sz w:val="24"/>
          <w:szCs w:val="24"/>
          <w:rtl/>
        </w:rPr>
        <w:t xml:space="preserve"> במרמה, ובחלק מהמקרים גם מעשי סדום, ב-8 </w:t>
      </w:r>
      <w:r>
        <w:rPr>
          <w:rFonts w:ascii="David" w:eastAsia="Calibri" w:hAnsi="David" w:cs="David"/>
          <w:sz w:val="24"/>
          <w:szCs w:val="24"/>
          <w:rtl/>
        </w:rPr>
        <w:t>מלקוחות סוכנות הדוגמנות</w:t>
      </w:r>
      <w:r w:rsidRPr="0027430E">
        <w:rPr>
          <w:rFonts w:ascii="David" w:eastAsia="Calibri" w:hAnsi="David" w:cs="David"/>
          <w:sz w:val="24"/>
          <w:szCs w:val="24"/>
          <w:rtl/>
        </w:rPr>
        <w:t xml:space="preserve"> בהם </w:t>
      </w:r>
      <w:r>
        <w:rPr>
          <w:rFonts w:ascii="David" w:eastAsia="Calibri" w:hAnsi="David" w:cs="David" w:hint="cs"/>
          <w:sz w:val="24"/>
          <w:szCs w:val="24"/>
          <w:rtl/>
        </w:rPr>
        <w:t>שלושה</w:t>
      </w:r>
      <w:r w:rsidRPr="0027430E">
        <w:rPr>
          <w:rFonts w:ascii="David" w:eastAsia="Calibri" w:hAnsi="David" w:cs="David"/>
          <w:sz w:val="24"/>
          <w:szCs w:val="24"/>
          <w:rtl/>
        </w:rPr>
        <w:t xml:space="preserve"> קטינים, </w:t>
      </w:r>
      <w:r>
        <w:rPr>
          <w:rFonts w:ascii="David" w:eastAsia="Calibri" w:hAnsi="David" w:cs="David"/>
          <w:sz w:val="24"/>
          <w:szCs w:val="24"/>
          <w:rtl/>
        </w:rPr>
        <w:t>שלא בהסכמתם החופשי</w:t>
      </w:r>
      <w:r>
        <w:rPr>
          <w:rFonts w:ascii="David" w:eastAsia="Calibri" w:hAnsi="David" w:cs="David" w:hint="cs"/>
          <w:sz w:val="24"/>
          <w:szCs w:val="24"/>
          <w:rtl/>
        </w:rPr>
        <w:t>ת</w:t>
      </w:r>
      <w:r w:rsidRPr="0027430E">
        <w:rPr>
          <w:rFonts w:ascii="David" w:eastAsia="Calibri" w:hAnsi="David" w:cs="David"/>
          <w:sz w:val="24"/>
          <w:szCs w:val="24"/>
          <w:rtl/>
        </w:rPr>
        <w:t>, או בהסכמתם שהושגה במרמה לגבי מהות המעשים, כשהוא מציג בפני המתלוננים בכזב את מעשיו באופן הנחזה להיראות כחלק מההדרכה והמיומנויות אותם הוא מקנה ללקוחותיו, לשם קידומם המקצו</w:t>
      </w:r>
      <w:r>
        <w:rPr>
          <w:rFonts w:ascii="David" w:eastAsia="Calibri" w:hAnsi="David" w:cs="David"/>
          <w:sz w:val="24"/>
          <w:szCs w:val="24"/>
          <w:rtl/>
        </w:rPr>
        <w:t xml:space="preserve">עי. </w:t>
      </w:r>
    </w:p>
    <w:p w:rsidR="009457AF" w:rsidRPr="009457AF" w:rsidRDefault="009457AF" w:rsidP="009457AF">
      <w:pPr>
        <w:spacing w:line="360" w:lineRule="auto"/>
        <w:jc w:val="both"/>
        <w:rPr>
          <w:rFonts w:ascii="David" w:hAnsi="David" w:cs="David"/>
          <w:sz w:val="24"/>
          <w:szCs w:val="24"/>
        </w:rPr>
      </w:pPr>
      <w:r w:rsidRPr="009457AF">
        <w:rPr>
          <w:rFonts w:ascii="David" w:hAnsi="David" w:cs="David" w:hint="cs"/>
          <w:sz w:val="24"/>
          <w:szCs w:val="24"/>
          <w:rtl/>
        </w:rPr>
        <w:t xml:space="preserve">לאחר שמיעת ראיות נמצא כי עדותם של כל שמונת המתלוננים, ללא יוצא מן הכלל, הייתה אמינה ומהימנה, בעוד שגרסתו המתכחשת של הנאשם, לפיה לא היו דברים מעולם, נמצאה בלתי מהימנה ובלתי משכנעת. מעדויות המתלוננים, שברובם אינם מכירים זה את זה, עולה תמונה ברורה של דפוסי הפעולה המתוחכמים והמניפולטיביים של הנאשם, שהשתמש במעמדו </w:t>
      </w:r>
      <w:r w:rsidRPr="009457AF">
        <w:rPr>
          <w:rFonts w:ascii="David" w:hAnsi="David" w:cs="David" w:hint="cs"/>
          <w:sz w:val="24"/>
          <w:szCs w:val="24"/>
          <w:rtl/>
        </w:rPr>
        <w:lastRenderedPageBreak/>
        <w:t xml:space="preserve">ובניסיונו המקצועי כדי להסיר מגננות המתלוננים ולאפשר לו לבצע בגופם מעשים מיניים חמורים באמתלה כאילו מדובר במעשים נורמטיביים ומקובלים בתחום הדוגמנות. </w:t>
      </w:r>
    </w:p>
    <w:p w:rsidR="009457AF" w:rsidRPr="00F867EA" w:rsidRDefault="009457AF" w:rsidP="009457AF">
      <w:pPr>
        <w:spacing w:line="360" w:lineRule="auto"/>
        <w:contextualSpacing/>
        <w:jc w:val="both"/>
        <w:rPr>
          <w:rFonts w:ascii="David" w:eastAsia="Calibri" w:hAnsi="David" w:cs="David"/>
          <w:sz w:val="24"/>
          <w:szCs w:val="24"/>
        </w:rPr>
      </w:pPr>
      <w:r w:rsidRPr="00F867EA">
        <w:rPr>
          <w:rFonts w:ascii="David" w:hAnsi="David" w:cs="David" w:hint="cs"/>
          <w:sz w:val="24"/>
          <w:szCs w:val="24"/>
          <w:rtl/>
        </w:rPr>
        <w:t>הוכח כי הנאשם הזמין את המתלוננים לביתו ולמשרדו, שם ביקש מהם להישאר בתחתוניהם ולעיתים אף בעירום מלא, על מנת שיוכל לצלמם. באירועים אלו ביצע הנאשם במתלוננים מעשים מיניים, ובין היתר: הורה להם לגעת באיבר מינם, מעל או מתחת לתחתונים</w:t>
      </w:r>
      <w:r>
        <w:rPr>
          <w:rFonts w:ascii="David" w:hAnsi="David" w:cs="David" w:hint="cs"/>
          <w:sz w:val="24"/>
          <w:szCs w:val="24"/>
          <w:rtl/>
        </w:rPr>
        <w:t>,</w:t>
      </w:r>
      <w:r w:rsidRPr="00F867EA">
        <w:rPr>
          <w:rFonts w:ascii="David" w:hAnsi="David" w:cs="David" w:hint="cs"/>
          <w:sz w:val="24"/>
          <w:szCs w:val="24"/>
          <w:rtl/>
        </w:rPr>
        <w:t xml:space="preserve"> ולשפשפו; נצמד אל גופם; נגע ב</w:t>
      </w:r>
      <w:r>
        <w:rPr>
          <w:rFonts w:ascii="David" w:hAnsi="David" w:cs="David" w:hint="cs"/>
          <w:sz w:val="24"/>
          <w:szCs w:val="24"/>
          <w:rtl/>
        </w:rPr>
        <w:t xml:space="preserve">חלקי </w:t>
      </w:r>
      <w:r w:rsidRPr="00F867EA">
        <w:rPr>
          <w:rFonts w:ascii="David" w:hAnsi="David" w:cs="David" w:hint="cs"/>
          <w:sz w:val="24"/>
          <w:szCs w:val="24"/>
          <w:rtl/>
        </w:rPr>
        <w:t>גופם; נגע או שפשף את איבר מינם. בנוסף, החדיר הנאשם את איבר מינו לפיו של אחד המתלוננים וכן החדיר את איבר מינו של אותו מתלונן אל פיו של הנאשם.  כל זאת, בטענה שהמעשים נועדו להקנות למתלוננים ביטחון עצמי ומיומנויות הנדרשות לשם קידומם המקצועי כדוגמנים.</w:t>
      </w:r>
      <w:r>
        <w:rPr>
          <w:rFonts w:ascii="David" w:eastAsia="Calibri" w:hAnsi="David" w:cs="David" w:hint="cs"/>
          <w:sz w:val="24"/>
          <w:szCs w:val="24"/>
          <w:rtl/>
        </w:rPr>
        <w:t xml:space="preserve"> לגבי חלק מהמתלוננים מדובר באירועים שחזרו על עצמם מספר פעמים, לעיתים משך מספר חודשים ואף למעלה משנה.</w:t>
      </w:r>
    </w:p>
    <w:p w:rsidR="009457AF" w:rsidRDefault="009457AF" w:rsidP="009457AF">
      <w:pPr>
        <w:spacing w:line="360" w:lineRule="auto"/>
        <w:jc w:val="both"/>
        <w:rPr>
          <w:rFonts w:ascii="David" w:hAnsi="David" w:cs="David"/>
          <w:sz w:val="24"/>
          <w:szCs w:val="24"/>
          <w:rtl/>
        </w:rPr>
      </w:pPr>
    </w:p>
    <w:p w:rsidR="009457AF" w:rsidRPr="009457AF" w:rsidRDefault="009457AF" w:rsidP="009457AF">
      <w:pPr>
        <w:spacing w:line="360" w:lineRule="auto"/>
        <w:jc w:val="both"/>
        <w:rPr>
          <w:rFonts w:ascii="David" w:hAnsi="David" w:cs="David"/>
          <w:sz w:val="24"/>
          <w:szCs w:val="24"/>
          <w:rtl/>
        </w:rPr>
      </w:pPr>
      <w:r w:rsidRPr="009457AF">
        <w:rPr>
          <w:rFonts w:ascii="David" w:hAnsi="David" w:cs="David" w:hint="cs"/>
          <w:sz w:val="24"/>
          <w:szCs w:val="24"/>
          <w:rtl/>
        </w:rPr>
        <w:t>לאור האמור, הורשע הנאשם בעבירות הבאות:</w:t>
      </w:r>
    </w:p>
    <w:p w:rsidR="009457AF" w:rsidRPr="00417D29" w:rsidRDefault="009457AF" w:rsidP="009457AF">
      <w:pPr>
        <w:pStyle w:val="a9"/>
        <w:numPr>
          <w:ilvl w:val="0"/>
          <w:numId w:val="4"/>
        </w:numPr>
        <w:spacing w:line="360" w:lineRule="auto"/>
        <w:jc w:val="both"/>
        <w:rPr>
          <w:rFonts w:ascii="David" w:hAnsi="David" w:cs="David"/>
          <w:sz w:val="24"/>
          <w:szCs w:val="24"/>
          <w:rtl/>
        </w:rPr>
      </w:pPr>
      <w:r w:rsidRPr="00417D29">
        <w:rPr>
          <w:rFonts w:ascii="David" w:hAnsi="David" w:cs="David"/>
          <w:sz w:val="24"/>
          <w:szCs w:val="24"/>
          <w:rtl/>
        </w:rPr>
        <w:t>מעשה מגונה, עבירה לפי סעיף 348(ג) לחוק</w:t>
      </w:r>
      <w:r>
        <w:rPr>
          <w:rFonts w:ascii="David" w:hAnsi="David" w:cs="David" w:hint="cs"/>
          <w:sz w:val="24"/>
          <w:szCs w:val="24"/>
          <w:rtl/>
        </w:rPr>
        <w:t xml:space="preserve"> העונשין,</w:t>
      </w:r>
      <w:r>
        <w:rPr>
          <w:rFonts w:ascii="David" w:hAnsi="David" w:cs="David"/>
          <w:sz w:val="24"/>
          <w:szCs w:val="24"/>
          <w:rtl/>
        </w:rPr>
        <w:t xml:space="preserve"> התשל"ז-1977 (להלן: "</w:t>
      </w:r>
      <w:r w:rsidRPr="00835725">
        <w:rPr>
          <w:rFonts w:ascii="David" w:hAnsi="David" w:cs="David"/>
          <w:b/>
          <w:bCs/>
          <w:sz w:val="24"/>
          <w:szCs w:val="24"/>
          <w:rtl/>
        </w:rPr>
        <w:t>חוק</w:t>
      </w:r>
      <w:r w:rsidRPr="00835725">
        <w:rPr>
          <w:rFonts w:ascii="David" w:hAnsi="David" w:cs="David" w:hint="cs"/>
          <w:b/>
          <w:bCs/>
          <w:sz w:val="24"/>
          <w:szCs w:val="24"/>
          <w:rtl/>
        </w:rPr>
        <w:t xml:space="preserve"> העונשין</w:t>
      </w:r>
      <w:r w:rsidRPr="00835725">
        <w:rPr>
          <w:rFonts w:ascii="David" w:hAnsi="David" w:cs="David"/>
          <w:sz w:val="24"/>
          <w:szCs w:val="24"/>
          <w:rtl/>
        </w:rPr>
        <w:t>");</w:t>
      </w:r>
      <w:r>
        <w:rPr>
          <w:rFonts w:ascii="David" w:hAnsi="David" w:cs="David" w:hint="cs"/>
          <w:sz w:val="24"/>
          <w:szCs w:val="24"/>
          <w:rtl/>
        </w:rPr>
        <w:t xml:space="preserve"> </w:t>
      </w:r>
    </w:p>
    <w:p w:rsidR="009457AF" w:rsidRPr="00417D29" w:rsidRDefault="009457AF" w:rsidP="009457AF">
      <w:pPr>
        <w:pStyle w:val="a9"/>
        <w:numPr>
          <w:ilvl w:val="0"/>
          <w:numId w:val="4"/>
        </w:numPr>
        <w:spacing w:line="360" w:lineRule="auto"/>
        <w:jc w:val="both"/>
        <w:rPr>
          <w:rFonts w:ascii="David" w:hAnsi="David" w:cs="David"/>
          <w:sz w:val="24"/>
          <w:szCs w:val="24"/>
          <w:rtl/>
        </w:rPr>
      </w:pPr>
      <w:r w:rsidRPr="00417D29">
        <w:rPr>
          <w:rFonts w:ascii="David" w:hAnsi="David" w:cs="David"/>
          <w:sz w:val="24"/>
          <w:szCs w:val="24"/>
          <w:rtl/>
        </w:rPr>
        <w:lastRenderedPageBreak/>
        <w:t>ריבוי עבירות מעשה מגונה במרמה, לפי סעיף 348(א) בנסיבות סעיף 345(א)(2) לחוק</w:t>
      </w:r>
      <w:r>
        <w:rPr>
          <w:rFonts w:ascii="David" w:hAnsi="David" w:cs="David" w:hint="cs"/>
          <w:sz w:val="24"/>
          <w:szCs w:val="24"/>
          <w:rtl/>
        </w:rPr>
        <w:t xml:space="preserve"> העונשין</w:t>
      </w:r>
      <w:r w:rsidRPr="00417D29">
        <w:rPr>
          <w:rFonts w:ascii="David" w:hAnsi="David" w:cs="David"/>
          <w:sz w:val="24"/>
          <w:szCs w:val="24"/>
          <w:rtl/>
        </w:rPr>
        <w:t>;</w:t>
      </w:r>
    </w:p>
    <w:p w:rsidR="009457AF" w:rsidRPr="00417D29" w:rsidRDefault="009457AF" w:rsidP="009457AF">
      <w:pPr>
        <w:pStyle w:val="a9"/>
        <w:numPr>
          <w:ilvl w:val="0"/>
          <w:numId w:val="4"/>
        </w:numPr>
        <w:spacing w:line="360" w:lineRule="auto"/>
        <w:jc w:val="both"/>
        <w:rPr>
          <w:rFonts w:ascii="David" w:hAnsi="David" w:cs="David"/>
          <w:sz w:val="24"/>
          <w:szCs w:val="24"/>
          <w:rtl/>
        </w:rPr>
      </w:pPr>
      <w:r w:rsidRPr="00417D29">
        <w:rPr>
          <w:rFonts w:ascii="David" w:hAnsi="David" w:cs="David"/>
          <w:sz w:val="24"/>
          <w:szCs w:val="24"/>
          <w:rtl/>
        </w:rPr>
        <w:t>ריבוי עבירות גרם מעשה מגונה במרמה, לפי סעיף 350 ביחד עם סעיף 348(א) וסעיף 345(א)(2) לחוק</w:t>
      </w:r>
      <w:r>
        <w:rPr>
          <w:rFonts w:ascii="David" w:hAnsi="David" w:cs="David" w:hint="cs"/>
          <w:sz w:val="24"/>
          <w:szCs w:val="24"/>
          <w:rtl/>
        </w:rPr>
        <w:t xml:space="preserve"> העונשין</w:t>
      </w:r>
      <w:r w:rsidRPr="00417D29">
        <w:rPr>
          <w:rFonts w:ascii="David" w:hAnsi="David" w:cs="David"/>
          <w:sz w:val="24"/>
          <w:szCs w:val="24"/>
          <w:rtl/>
        </w:rPr>
        <w:t>;</w:t>
      </w:r>
    </w:p>
    <w:p w:rsidR="009457AF" w:rsidRPr="00417D29" w:rsidRDefault="009457AF" w:rsidP="009457AF">
      <w:pPr>
        <w:pStyle w:val="a9"/>
        <w:numPr>
          <w:ilvl w:val="0"/>
          <w:numId w:val="4"/>
        </w:numPr>
        <w:spacing w:line="360" w:lineRule="auto"/>
        <w:jc w:val="both"/>
        <w:rPr>
          <w:rFonts w:ascii="David" w:hAnsi="David" w:cs="David"/>
          <w:sz w:val="24"/>
          <w:szCs w:val="24"/>
          <w:rtl/>
        </w:rPr>
      </w:pPr>
      <w:r w:rsidRPr="00417D29">
        <w:rPr>
          <w:rFonts w:ascii="David" w:hAnsi="David" w:cs="David"/>
          <w:sz w:val="24"/>
          <w:szCs w:val="24"/>
          <w:rtl/>
        </w:rPr>
        <w:t>ריבוי עבירות מעשה סדום במרמה, לפי סעיף 347(ב) ביחד עם סעיף 345(א)(2) לחוק</w:t>
      </w:r>
      <w:r>
        <w:rPr>
          <w:rFonts w:ascii="David" w:hAnsi="David" w:cs="David" w:hint="cs"/>
          <w:sz w:val="24"/>
          <w:szCs w:val="24"/>
          <w:rtl/>
        </w:rPr>
        <w:t xml:space="preserve"> העונשין</w:t>
      </w:r>
      <w:r w:rsidRPr="00417D29">
        <w:rPr>
          <w:rFonts w:ascii="David" w:hAnsi="David" w:cs="David"/>
          <w:sz w:val="24"/>
          <w:szCs w:val="24"/>
          <w:rtl/>
        </w:rPr>
        <w:t>;</w:t>
      </w:r>
    </w:p>
    <w:p w:rsidR="00541C9E" w:rsidRPr="009457AF" w:rsidRDefault="009457AF" w:rsidP="009457AF">
      <w:pPr>
        <w:pStyle w:val="a9"/>
        <w:numPr>
          <w:ilvl w:val="0"/>
          <w:numId w:val="4"/>
        </w:numPr>
        <w:spacing w:line="360" w:lineRule="auto"/>
        <w:jc w:val="both"/>
        <w:rPr>
          <w:rFonts w:ascii="David" w:hAnsi="David" w:cs="David"/>
          <w:sz w:val="24"/>
          <w:szCs w:val="24"/>
          <w:rtl/>
        </w:rPr>
      </w:pPr>
      <w:r w:rsidRPr="00417D29">
        <w:rPr>
          <w:rFonts w:ascii="David" w:hAnsi="David" w:cs="David"/>
          <w:sz w:val="24"/>
          <w:szCs w:val="24"/>
          <w:rtl/>
        </w:rPr>
        <w:t>ניסיון לביצוע מעשה סדום שלא בהסכמה חופשית, עבירה לפי סעיף 25 ביחד עם סעיף 347(ב) וסעיף 345(א)(1) לחוק</w:t>
      </w:r>
      <w:r>
        <w:rPr>
          <w:rFonts w:ascii="David" w:hAnsi="David" w:cs="David" w:hint="cs"/>
          <w:sz w:val="24"/>
          <w:szCs w:val="24"/>
          <w:rtl/>
        </w:rPr>
        <w:t xml:space="preserve"> העונשין</w:t>
      </w:r>
      <w:r w:rsidRPr="00417D29">
        <w:rPr>
          <w:rFonts w:ascii="David" w:hAnsi="David" w:cs="David"/>
          <w:sz w:val="24"/>
          <w:szCs w:val="24"/>
          <w:rtl/>
        </w:rPr>
        <w:t>.</w:t>
      </w:r>
    </w:p>
    <w:p w:rsidR="00515986" w:rsidRPr="009457AF" w:rsidRDefault="00541C9E" w:rsidP="009457AF">
      <w:pPr>
        <w:spacing w:after="120" w:line="360" w:lineRule="auto"/>
        <w:jc w:val="center"/>
        <w:rPr>
          <w:rFonts w:ascii="FrankRuehl" w:hAnsi="FrankRuehl" w:cs="FrankRuehl"/>
          <w:b/>
          <w:bCs/>
          <w:color w:val="002060"/>
          <w:sz w:val="26"/>
          <w:szCs w:val="26"/>
          <w:rtl/>
        </w:rPr>
      </w:pPr>
      <w:r w:rsidRPr="000071E5">
        <w:rPr>
          <w:rFonts w:ascii="FrankRuehl" w:hAnsi="FrankRuehl" w:cs="FrankRuehl" w:hint="cs"/>
          <w:b/>
          <w:bCs/>
          <w:color w:val="002060"/>
          <w:sz w:val="26"/>
          <w:szCs w:val="26"/>
          <w:rtl/>
        </w:rPr>
        <w:t xml:space="preserve">*** </w:t>
      </w:r>
      <w:r w:rsidRPr="000071E5">
        <w:rPr>
          <w:rFonts w:ascii="FrankRuehl" w:hAnsi="FrankRuehl" w:cs="FrankRuehl"/>
          <w:b/>
          <w:bCs/>
          <w:color w:val="002060"/>
          <w:sz w:val="26"/>
          <w:szCs w:val="26"/>
          <w:rtl/>
        </w:rPr>
        <w:t>התקציר אינו בא להחליף את פסק</w:t>
      </w:r>
      <w:r w:rsidRPr="000071E5">
        <w:rPr>
          <w:rFonts w:ascii="FrankRuehl" w:hAnsi="FrankRuehl" w:cs="FrankRuehl" w:hint="cs"/>
          <w:b/>
          <w:bCs/>
          <w:color w:val="002060"/>
          <w:sz w:val="26"/>
          <w:szCs w:val="26"/>
          <w:rtl/>
        </w:rPr>
        <w:t>-</w:t>
      </w:r>
      <w:r w:rsidRPr="000071E5">
        <w:rPr>
          <w:rFonts w:ascii="FrankRuehl" w:hAnsi="FrankRuehl" w:cs="FrankRuehl"/>
          <w:b/>
          <w:bCs/>
          <w:color w:val="002060"/>
          <w:sz w:val="26"/>
          <w:szCs w:val="26"/>
          <w:rtl/>
        </w:rPr>
        <w:t>הדין, הנוסח המחייב הוא זה של פסק-הדין המלא</w:t>
      </w:r>
      <w:r w:rsidRPr="000071E5">
        <w:rPr>
          <w:rFonts w:ascii="FrankRuehl" w:hAnsi="FrankRuehl" w:cs="FrankRuehl" w:hint="cs"/>
          <w:b/>
          <w:bCs/>
          <w:color w:val="002060"/>
          <w:sz w:val="26"/>
          <w:szCs w:val="26"/>
          <w:rtl/>
        </w:rPr>
        <w:t xml:space="preserve"> ***</w:t>
      </w:r>
    </w:p>
    <w:sectPr w:rsidR="00515986" w:rsidRPr="009457AF" w:rsidSect="00B16422">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CA1" w:rsidRDefault="00730CA1" w:rsidP="00730CA1">
      <w:pPr>
        <w:spacing w:after="0" w:line="240" w:lineRule="auto"/>
      </w:pPr>
      <w:r>
        <w:separator/>
      </w:r>
    </w:p>
  </w:endnote>
  <w:endnote w:type="continuationSeparator" w:id="0">
    <w:p w:rsidR="00730CA1" w:rsidRDefault="00730CA1" w:rsidP="00730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altName w:val="Malgun Gothic Semilight"/>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C9E" w:rsidRPr="003C61AF" w:rsidRDefault="00541C9E" w:rsidP="00541C9E">
    <w:pPr>
      <w:tabs>
        <w:tab w:val="center" w:pos="4153"/>
        <w:tab w:val="right" w:pos="8306"/>
      </w:tabs>
      <w:spacing w:after="0" w:line="240" w:lineRule="auto"/>
      <w:rPr>
        <w:rFonts w:ascii="Times New Roman" w:eastAsia="Times New Roman" w:hAnsi="Times New Roman" w:cs="FrankRuehl"/>
        <w:b/>
        <w:bCs/>
        <w:color w:val="000080"/>
        <w:spacing w:val="6"/>
        <w:sz w:val="24"/>
        <w:szCs w:val="24"/>
        <w:rtl/>
      </w:rPr>
    </w:pPr>
    <w:r w:rsidRPr="003C61AF">
      <w:rPr>
        <w:rFonts w:ascii="Times New Roman" w:eastAsia="Times New Roman" w:hAnsi="Times New Roman" w:cs="FrankRuehl"/>
        <w:b/>
        <w:bCs/>
        <w:color w:val="000080"/>
        <w:spacing w:val="6"/>
        <w:sz w:val="24"/>
        <w:szCs w:val="24"/>
        <w:rtl/>
      </w:rPr>
      <w:t>________________________________________________________________</w:t>
    </w:r>
  </w:p>
  <w:p w:rsidR="00541C9E" w:rsidRPr="003C61AF" w:rsidRDefault="00541C9E" w:rsidP="00541C9E">
    <w:pPr>
      <w:tabs>
        <w:tab w:val="center" w:pos="4153"/>
        <w:tab w:val="right" w:pos="8306"/>
      </w:tabs>
      <w:spacing w:after="0" w:line="240" w:lineRule="auto"/>
      <w:jc w:val="center"/>
      <w:rPr>
        <w:rFonts w:ascii="Times New Roman" w:eastAsia="Times New Roman" w:hAnsi="Times New Roman" w:cs="FrankRuehl"/>
        <w:b/>
        <w:bCs/>
        <w:color w:val="000080"/>
        <w:spacing w:val="6"/>
        <w:sz w:val="24"/>
        <w:szCs w:val="24"/>
        <w:rtl/>
      </w:rPr>
    </w:pPr>
    <w:r>
      <w:rPr>
        <w:rFonts w:ascii="Times New Roman" w:eastAsia="Times New Roman" w:hAnsi="Times New Roman" w:cs="FrankRuehl" w:hint="cs"/>
        <w:b/>
        <w:bCs/>
        <w:color w:val="000080"/>
        <w:spacing w:val="6"/>
        <w:sz w:val="24"/>
        <w:szCs w:val="24"/>
        <w:rtl/>
      </w:rPr>
      <w:t xml:space="preserve">בית משפט העליון | רחוב דרך השופט מאיר שמגר 1 | </w:t>
    </w:r>
    <w:proofErr w:type="spellStart"/>
    <w:r>
      <w:rPr>
        <w:rFonts w:ascii="Times New Roman" w:eastAsia="Times New Roman" w:hAnsi="Times New Roman" w:cs="FrankRuehl" w:hint="cs"/>
        <w:b/>
        <w:bCs/>
        <w:color w:val="000080"/>
        <w:spacing w:val="6"/>
        <w:sz w:val="24"/>
        <w:szCs w:val="24"/>
        <w:rtl/>
      </w:rPr>
      <w:t>קרית</w:t>
    </w:r>
    <w:proofErr w:type="spellEnd"/>
    <w:r>
      <w:rPr>
        <w:rFonts w:ascii="Times New Roman" w:eastAsia="Times New Roman" w:hAnsi="Times New Roman" w:cs="FrankRuehl" w:hint="cs"/>
        <w:b/>
        <w:bCs/>
        <w:color w:val="000080"/>
        <w:spacing w:val="6"/>
        <w:sz w:val="24"/>
        <w:szCs w:val="24"/>
        <w:rtl/>
      </w:rPr>
      <w:t xml:space="preserve"> בן גוריון |</w:t>
    </w:r>
    <w:r w:rsidRPr="003C61AF">
      <w:rPr>
        <w:rFonts w:ascii="Times New Roman" w:eastAsia="Times New Roman" w:hAnsi="Times New Roman" w:cs="FrankRuehl" w:hint="cs"/>
        <w:b/>
        <w:bCs/>
        <w:color w:val="000080"/>
        <w:spacing w:val="6"/>
        <w:sz w:val="24"/>
        <w:szCs w:val="24"/>
        <w:rtl/>
      </w:rPr>
      <w:t xml:space="preserve"> ירושלים</w:t>
    </w:r>
  </w:p>
  <w:p w:rsidR="003C61AF" w:rsidRPr="00541C9E" w:rsidRDefault="00541C9E" w:rsidP="00541C9E">
    <w:pPr>
      <w:tabs>
        <w:tab w:val="center" w:pos="4153"/>
        <w:tab w:val="right" w:pos="8306"/>
      </w:tabs>
      <w:spacing w:after="0" w:line="240" w:lineRule="auto"/>
      <w:jc w:val="center"/>
      <w:rPr>
        <w:rFonts w:ascii="Times New Roman" w:eastAsia="Times New Roman" w:hAnsi="Times New Roman" w:cs="FrankRuehl"/>
        <w:b/>
        <w:bCs/>
        <w:color w:val="000080"/>
        <w:spacing w:val="6"/>
        <w:sz w:val="24"/>
        <w:szCs w:val="24"/>
      </w:rPr>
    </w:pPr>
    <w:r w:rsidRPr="003C61AF">
      <w:rPr>
        <w:rFonts w:ascii="Times New Roman" w:eastAsia="Times New Roman" w:hAnsi="Times New Roman" w:cs="FrankRuehl" w:hint="cs"/>
        <w:b/>
        <w:bCs/>
        <w:color w:val="000080"/>
        <w:spacing w:val="6"/>
        <w:sz w:val="24"/>
        <w:szCs w:val="24"/>
        <w:rtl/>
      </w:rPr>
      <w:t xml:space="preserve">טל: </w:t>
    </w:r>
    <w:r w:rsidRPr="003C61AF">
      <w:rPr>
        <w:rFonts w:ascii="Times New Roman" w:eastAsia="Times New Roman" w:hAnsi="Times New Roman" w:cs="FrankRuehl"/>
        <w:b/>
        <w:bCs/>
        <w:color w:val="000080"/>
        <w:spacing w:val="6"/>
        <w:sz w:val="24"/>
        <w:szCs w:val="24"/>
      </w:rPr>
      <w:t>074-7480412</w:t>
    </w:r>
    <w:r w:rsidRPr="003C61AF">
      <w:rPr>
        <w:rFonts w:ascii="Times New Roman" w:eastAsia="Times New Roman" w:hAnsi="Times New Roman" w:cs="FrankRuehl" w:hint="cs"/>
        <w:b/>
        <w:bCs/>
        <w:color w:val="000080"/>
        <w:spacing w:val="6"/>
        <w:sz w:val="24"/>
        <w:szCs w:val="24"/>
        <w:rtl/>
      </w:rPr>
      <w:t xml:space="preserve">           </w:t>
    </w:r>
    <w:r>
      <w:rPr>
        <w:rFonts w:ascii="Times New Roman" w:eastAsia="Times New Roman" w:hAnsi="Times New Roman" w:cs="FrankRuehl" w:hint="cs"/>
        <w:b/>
        <w:bCs/>
        <w:color w:val="000080"/>
        <w:spacing w:val="6"/>
        <w:sz w:val="24"/>
        <w:szCs w:val="24"/>
        <w:rtl/>
      </w:rPr>
      <w:t xml:space="preserve">     </w:t>
    </w:r>
    <w:r w:rsidRPr="003C61AF">
      <w:rPr>
        <w:rFonts w:ascii="Times New Roman" w:eastAsia="Times New Roman" w:hAnsi="Times New Roman" w:cs="FrankRuehl" w:hint="cs"/>
        <w:b/>
        <w:bCs/>
        <w:color w:val="000080"/>
        <w:spacing w:val="6"/>
        <w:sz w:val="24"/>
        <w:szCs w:val="24"/>
        <w:rtl/>
      </w:rPr>
      <w:t xml:space="preserve">   </w:t>
    </w:r>
    <w:r>
      <w:rPr>
        <w:rFonts w:ascii="Times New Roman" w:eastAsia="Times New Roman" w:hAnsi="Times New Roman" w:cs="FrankRuehl" w:hint="cs"/>
        <w:b/>
        <w:bCs/>
        <w:color w:val="000080"/>
        <w:spacing w:val="6"/>
        <w:sz w:val="24"/>
        <w:szCs w:val="24"/>
        <w:rtl/>
      </w:rPr>
      <w:t xml:space="preserve">           </w:t>
    </w:r>
    <w:r w:rsidRPr="003C61AF">
      <w:rPr>
        <w:rFonts w:ascii="Times New Roman" w:eastAsia="Times New Roman" w:hAnsi="Times New Roman" w:cs="FrankRuehl" w:hint="cs"/>
        <w:b/>
        <w:bCs/>
        <w:color w:val="000080"/>
        <w:spacing w:val="6"/>
        <w:sz w:val="24"/>
        <w:szCs w:val="24"/>
        <w:rtl/>
      </w:rPr>
      <w:t xml:space="preserve">  דוא"ל</w:t>
    </w:r>
    <w:r w:rsidRPr="003C61AF">
      <w:rPr>
        <w:rFonts w:ascii="Times New Roman" w:eastAsia="Times New Roman" w:hAnsi="Times New Roman" w:cs="FrankRuehl"/>
        <w:b/>
        <w:bCs/>
        <w:color w:val="000080"/>
        <w:spacing w:val="6"/>
        <w:sz w:val="24"/>
        <w:szCs w:val="24"/>
      </w:rPr>
      <w:t>:</w:t>
    </w:r>
    <w:r w:rsidRPr="003C61AF">
      <w:rPr>
        <w:rFonts w:ascii="Times New Roman" w:eastAsia="Times New Roman" w:hAnsi="Times New Roman" w:cs="FrankRuehl" w:hint="cs"/>
        <w:b/>
        <w:bCs/>
        <w:color w:val="000080"/>
        <w:spacing w:val="6"/>
        <w:sz w:val="24"/>
        <w:szCs w:val="24"/>
        <w:rtl/>
      </w:rPr>
      <w:t xml:space="preserve">  </w:t>
    </w:r>
    <w:hyperlink r:id="rId1" w:history="1">
      <w:r w:rsidRPr="003C61AF">
        <w:rPr>
          <w:rFonts w:ascii="Times New Roman" w:eastAsia="Times New Roman" w:hAnsi="Times New Roman" w:cs="FrankRuehl"/>
          <w:b/>
          <w:bCs/>
          <w:color w:val="0000FF"/>
          <w:spacing w:val="6"/>
          <w:sz w:val="24"/>
          <w:szCs w:val="24"/>
          <w:u w:val="single"/>
        </w:rPr>
        <w:t>Dover@court.gov.il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CA1" w:rsidRDefault="00730CA1" w:rsidP="00730CA1">
      <w:pPr>
        <w:spacing w:after="0" w:line="240" w:lineRule="auto"/>
      </w:pPr>
      <w:r>
        <w:separator/>
      </w:r>
    </w:p>
  </w:footnote>
  <w:footnote w:type="continuationSeparator" w:id="0">
    <w:p w:rsidR="00730CA1" w:rsidRDefault="00730CA1" w:rsidP="00730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3B2" w:rsidRPr="005253B2" w:rsidRDefault="005253B2" w:rsidP="005253B2">
    <w:pPr>
      <w:tabs>
        <w:tab w:val="center" w:pos="4153"/>
        <w:tab w:val="right" w:pos="8306"/>
      </w:tabs>
      <w:overflowPunct w:val="0"/>
      <w:autoSpaceDE w:val="0"/>
      <w:autoSpaceDN w:val="0"/>
      <w:adjustRightInd w:val="0"/>
      <w:spacing w:after="0" w:line="240" w:lineRule="auto"/>
      <w:jc w:val="center"/>
      <w:rPr>
        <w:rFonts w:ascii="Times New Roman" w:eastAsia="Times New Roman" w:hAnsi="Times New Roman" w:cs="David"/>
        <w:sz w:val="20"/>
        <w:szCs w:val="24"/>
        <w:lang w:eastAsia="he-IL"/>
      </w:rPr>
    </w:pPr>
    <w:r w:rsidRPr="005253B2">
      <w:rPr>
        <w:rFonts w:ascii="Times New Roman" w:eastAsia="Times New Roman" w:hAnsi="Times New Roman" w:cs="David"/>
        <w:noProof/>
        <w:sz w:val="20"/>
        <w:szCs w:val="24"/>
      </w:rPr>
      <w:drawing>
        <wp:inline distT="0" distB="0" distL="0" distR="0">
          <wp:extent cx="438150" cy="517814"/>
          <wp:effectExtent l="0" t="0" r="0" b="0"/>
          <wp:docPr id="1" name="תמונה 2" descr="תיאור: sem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תיאור: sem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973" cy="521151"/>
                  </a:xfrm>
                  <a:prstGeom prst="rect">
                    <a:avLst/>
                  </a:prstGeom>
                  <a:noFill/>
                  <a:ln>
                    <a:noFill/>
                  </a:ln>
                </pic:spPr>
              </pic:pic>
            </a:graphicData>
          </a:graphic>
        </wp:inline>
      </w:drawing>
    </w:r>
    <w:r w:rsidRPr="005253B2">
      <w:rPr>
        <w:rFonts w:ascii="Century" w:eastAsia="Times New Roman" w:hAnsi="Century" w:cs="FrankRuehl" w:hint="cs"/>
        <w:noProof/>
        <w:spacing w:val="10"/>
        <w:sz w:val="20"/>
        <w:szCs w:val="28"/>
        <w:rtl/>
        <w:lang w:eastAsia="he-IL"/>
      </w:rPr>
      <w:t xml:space="preserve">                                            </w:t>
    </w:r>
  </w:p>
  <w:p w:rsidR="005253B2" w:rsidRPr="009457AF" w:rsidRDefault="005253B2" w:rsidP="005253B2">
    <w:pPr>
      <w:tabs>
        <w:tab w:val="center" w:pos="4153"/>
        <w:tab w:val="right" w:pos="8306"/>
      </w:tabs>
      <w:overflowPunct w:val="0"/>
      <w:autoSpaceDE w:val="0"/>
      <w:autoSpaceDN w:val="0"/>
      <w:adjustRightInd w:val="0"/>
      <w:spacing w:after="0" w:line="240" w:lineRule="auto"/>
      <w:jc w:val="center"/>
      <w:rPr>
        <w:rFonts w:ascii="Times New Roman" w:eastAsia="Times New Roman" w:hAnsi="Times New Roman" w:cs="FrankRuehl"/>
        <w:b/>
        <w:bCs/>
        <w:color w:val="000080"/>
        <w:spacing w:val="6"/>
        <w:sz w:val="24"/>
        <w:szCs w:val="24"/>
        <w:rtl/>
        <w:lang w:eastAsia="he-IL"/>
      </w:rPr>
    </w:pPr>
    <w:r w:rsidRPr="009457AF">
      <w:rPr>
        <w:rFonts w:ascii="Times New Roman" w:eastAsia="Times New Roman" w:hAnsi="Times New Roman" w:cs="FrankRuehl" w:hint="cs"/>
        <w:b/>
        <w:bCs/>
        <w:color w:val="000080"/>
        <w:spacing w:val="6"/>
        <w:sz w:val="24"/>
        <w:szCs w:val="24"/>
        <w:rtl/>
        <w:lang w:eastAsia="he-IL"/>
      </w:rPr>
      <w:t>מערכת בתי המשפט</w:t>
    </w:r>
  </w:p>
  <w:p w:rsidR="007007D7" w:rsidRPr="009457AF" w:rsidRDefault="005253B2" w:rsidP="005253B2">
    <w:pPr>
      <w:tabs>
        <w:tab w:val="center" w:pos="4153"/>
        <w:tab w:val="right" w:pos="8306"/>
      </w:tabs>
      <w:overflowPunct w:val="0"/>
      <w:autoSpaceDE w:val="0"/>
      <w:autoSpaceDN w:val="0"/>
      <w:adjustRightInd w:val="0"/>
      <w:spacing w:after="0" w:line="240" w:lineRule="auto"/>
      <w:jc w:val="center"/>
      <w:rPr>
        <w:rFonts w:ascii="Times New Roman" w:eastAsia="Times New Roman" w:hAnsi="Times New Roman" w:cs="FrankRuehl"/>
        <w:b/>
        <w:bCs/>
        <w:color w:val="000080"/>
        <w:spacing w:val="6"/>
        <w:sz w:val="24"/>
        <w:szCs w:val="24"/>
        <w:lang w:eastAsia="he-IL"/>
      </w:rPr>
    </w:pPr>
    <w:r w:rsidRPr="009457AF">
      <w:rPr>
        <w:rFonts w:ascii="Times New Roman" w:eastAsia="Times New Roman" w:hAnsi="Times New Roman" w:cs="FrankRuehl" w:hint="cs"/>
        <w:b/>
        <w:bCs/>
        <w:color w:val="000080"/>
        <w:spacing w:val="6"/>
        <w:sz w:val="24"/>
        <w:szCs w:val="24"/>
        <w:rtl/>
        <w:lang w:eastAsia="he-IL"/>
      </w:rPr>
      <w:t>דוברות והסברה</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7B27"/>
    <w:multiLevelType w:val="multilevel"/>
    <w:tmpl w:val="2EA02F4A"/>
    <w:lvl w:ilvl="0">
      <w:start w:val="1"/>
      <w:numFmt w:val="decimal"/>
      <w:lvlText w:val="%1."/>
      <w:lvlJc w:val="left"/>
      <w:pPr>
        <w:tabs>
          <w:tab w:val="num" w:pos="454"/>
        </w:tabs>
        <w:ind w:left="454" w:hanging="454"/>
      </w:pPr>
      <w:rPr>
        <w:rFonts w:hint="default"/>
        <w:bCs w:val="0"/>
        <w:iCs w:val="0"/>
        <w:szCs w:val="24"/>
      </w:rPr>
    </w:lvl>
    <w:lvl w:ilvl="1">
      <w:start w:val="1"/>
      <w:numFmt w:val="hebrew1"/>
      <w:lvlText w:val="%2."/>
      <w:lvlJc w:val="left"/>
      <w:pPr>
        <w:tabs>
          <w:tab w:val="num" w:pos="907"/>
        </w:tabs>
        <w:ind w:left="908" w:hanging="454"/>
      </w:pPr>
      <w:rPr>
        <w:rFonts w:cs="David" w:hint="cs"/>
        <w:bCs w:val="0"/>
        <w:iCs w:val="0"/>
        <w:szCs w:val="26"/>
      </w:rPr>
    </w:lvl>
    <w:lvl w:ilvl="2">
      <w:start w:val="1"/>
      <w:numFmt w:val="decimal"/>
      <w:lvlText w:val="(%3)"/>
      <w:lvlJc w:val="left"/>
      <w:pPr>
        <w:tabs>
          <w:tab w:val="num" w:pos="1361"/>
        </w:tabs>
        <w:ind w:left="1362" w:hanging="454"/>
      </w:pPr>
      <w:rPr>
        <w:rFonts w:ascii="Times New Roman" w:hAnsi="Times New Roman" w:cs="David" w:hint="default"/>
        <w:b w:val="0"/>
        <w:bCs w:val="0"/>
        <w:i w:val="0"/>
        <w:iCs w:val="0"/>
        <w:sz w:val="24"/>
        <w:szCs w:val="24"/>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1" w15:restartNumberingAfterBreak="0">
    <w:nsid w:val="3B927DA7"/>
    <w:multiLevelType w:val="hybridMultilevel"/>
    <w:tmpl w:val="C40A63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986590E"/>
    <w:multiLevelType w:val="hybridMultilevel"/>
    <w:tmpl w:val="D284A8A2"/>
    <w:lvl w:ilvl="0" w:tplc="8224395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3CF"/>
    <w:rsid w:val="000011AE"/>
    <w:rsid w:val="00025761"/>
    <w:rsid w:val="000C4D75"/>
    <w:rsid w:val="001D42A7"/>
    <w:rsid w:val="002453CF"/>
    <w:rsid w:val="002C0E83"/>
    <w:rsid w:val="003921C3"/>
    <w:rsid w:val="003A6469"/>
    <w:rsid w:val="003C61AF"/>
    <w:rsid w:val="003E6E39"/>
    <w:rsid w:val="003E7EB7"/>
    <w:rsid w:val="00426AA7"/>
    <w:rsid w:val="00500A9B"/>
    <w:rsid w:val="00515986"/>
    <w:rsid w:val="005253B2"/>
    <w:rsid w:val="00541C9E"/>
    <w:rsid w:val="00631744"/>
    <w:rsid w:val="00690B6F"/>
    <w:rsid w:val="006B7B96"/>
    <w:rsid w:val="006C3B1F"/>
    <w:rsid w:val="006F1E1F"/>
    <w:rsid w:val="007007D7"/>
    <w:rsid w:val="00711675"/>
    <w:rsid w:val="00730CA1"/>
    <w:rsid w:val="007B7899"/>
    <w:rsid w:val="00832AD7"/>
    <w:rsid w:val="008C02E0"/>
    <w:rsid w:val="009457AF"/>
    <w:rsid w:val="00983123"/>
    <w:rsid w:val="009E5C0E"/>
    <w:rsid w:val="00AD7644"/>
    <w:rsid w:val="00AE3144"/>
    <w:rsid w:val="00B16422"/>
    <w:rsid w:val="00B22AFC"/>
    <w:rsid w:val="00BA3143"/>
    <w:rsid w:val="00C22E08"/>
    <w:rsid w:val="00C37F37"/>
    <w:rsid w:val="00C50C55"/>
    <w:rsid w:val="00C529CC"/>
    <w:rsid w:val="00C842A7"/>
    <w:rsid w:val="00C85A27"/>
    <w:rsid w:val="00CA2D6A"/>
    <w:rsid w:val="00CB4940"/>
    <w:rsid w:val="00CD280B"/>
    <w:rsid w:val="00D11F77"/>
    <w:rsid w:val="00D205AB"/>
    <w:rsid w:val="00D43C0E"/>
    <w:rsid w:val="00D5319F"/>
    <w:rsid w:val="00E35DF3"/>
    <w:rsid w:val="00EB6609"/>
    <w:rsid w:val="00F46250"/>
    <w:rsid w:val="00FF55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C43B57-6867-4F06-9DF1-55588D3D5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6AA7"/>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426AA7"/>
    <w:rPr>
      <w:rFonts w:ascii="Tahoma" w:hAnsi="Tahoma" w:cs="Tahoma"/>
      <w:sz w:val="18"/>
      <w:szCs w:val="18"/>
    </w:rPr>
  </w:style>
  <w:style w:type="character" w:styleId="Hyperlink">
    <w:name w:val="Hyperlink"/>
    <w:basedOn w:val="a0"/>
    <w:uiPriority w:val="99"/>
    <w:unhideWhenUsed/>
    <w:rsid w:val="00E35DF3"/>
    <w:rPr>
      <w:color w:val="0563C1" w:themeColor="hyperlink"/>
      <w:u w:val="single"/>
    </w:rPr>
  </w:style>
  <w:style w:type="paragraph" w:styleId="a5">
    <w:name w:val="header"/>
    <w:basedOn w:val="a"/>
    <w:link w:val="a6"/>
    <w:uiPriority w:val="99"/>
    <w:unhideWhenUsed/>
    <w:rsid w:val="00730CA1"/>
    <w:pPr>
      <w:tabs>
        <w:tab w:val="center" w:pos="4153"/>
        <w:tab w:val="right" w:pos="8306"/>
      </w:tabs>
      <w:spacing w:after="0" w:line="240" w:lineRule="auto"/>
    </w:pPr>
  </w:style>
  <w:style w:type="character" w:customStyle="1" w:styleId="a6">
    <w:name w:val="כותרת עליונה תו"/>
    <w:basedOn w:val="a0"/>
    <w:link w:val="a5"/>
    <w:uiPriority w:val="99"/>
    <w:rsid w:val="00730CA1"/>
  </w:style>
  <w:style w:type="paragraph" w:styleId="a7">
    <w:name w:val="footer"/>
    <w:basedOn w:val="a"/>
    <w:link w:val="a8"/>
    <w:uiPriority w:val="99"/>
    <w:unhideWhenUsed/>
    <w:rsid w:val="00730CA1"/>
    <w:pPr>
      <w:tabs>
        <w:tab w:val="center" w:pos="4153"/>
        <w:tab w:val="right" w:pos="8306"/>
      </w:tabs>
      <w:spacing w:after="0" w:line="240" w:lineRule="auto"/>
    </w:pPr>
  </w:style>
  <w:style w:type="character" w:customStyle="1" w:styleId="a8">
    <w:name w:val="כותרת תחתונה תו"/>
    <w:basedOn w:val="a0"/>
    <w:link w:val="a7"/>
    <w:uiPriority w:val="99"/>
    <w:rsid w:val="00730CA1"/>
  </w:style>
  <w:style w:type="paragraph" w:styleId="a9">
    <w:name w:val="List Paragraph"/>
    <w:basedOn w:val="a"/>
    <w:uiPriority w:val="34"/>
    <w:qFormat/>
    <w:rsid w:val="009457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739060">
      <w:bodyDiv w:val="1"/>
      <w:marLeft w:val="0"/>
      <w:marRight w:val="0"/>
      <w:marTop w:val="0"/>
      <w:marBottom w:val="0"/>
      <w:divBdr>
        <w:top w:val="none" w:sz="0" w:space="0" w:color="auto"/>
        <w:left w:val="none" w:sz="0" w:space="0" w:color="auto"/>
        <w:bottom w:val="none" w:sz="0" w:space="0" w:color="auto"/>
        <w:right w:val="none" w:sz="0" w:space="0" w:color="auto"/>
      </w:divBdr>
    </w:div>
    <w:div w:id="1171139320">
      <w:bodyDiv w:val="1"/>
      <w:marLeft w:val="0"/>
      <w:marRight w:val="0"/>
      <w:marTop w:val="0"/>
      <w:marBottom w:val="0"/>
      <w:divBdr>
        <w:top w:val="none" w:sz="0" w:space="0" w:color="auto"/>
        <w:left w:val="none" w:sz="0" w:space="0" w:color="auto"/>
        <w:bottom w:val="none" w:sz="0" w:space="0" w:color="auto"/>
        <w:right w:val="none" w:sz="0" w:space="0" w:color="auto"/>
      </w:divBdr>
    </w:div>
    <w:div w:id="1552304460">
      <w:bodyDiv w:val="1"/>
      <w:marLeft w:val="0"/>
      <w:marRight w:val="0"/>
      <w:marTop w:val="0"/>
      <w:marBottom w:val="0"/>
      <w:divBdr>
        <w:top w:val="none" w:sz="0" w:space="0" w:color="auto"/>
        <w:left w:val="none" w:sz="0" w:space="0" w:color="auto"/>
        <w:bottom w:val="none" w:sz="0" w:space="0" w:color="auto"/>
        <w:right w:val="none" w:sz="0" w:space="0" w:color="auto"/>
      </w:divBdr>
    </w:div>
    <w:div w:id="206425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over@court.gov.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SixthEditionOfficeOnline.xsl"/>
</file>

<file path=customXml/itemProps1.xml><?xml version="1.0" encoding="utf-8"?>
<ds:datastoreItem xmlns:ds="http://schemas.openxmlformats.org/officeDocument/2006/customXml" ds:itemID="{20396350-0FBC-4D33-B38A-600163273480}">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2021</Characters>
  <Application>Microsoft Office Word</Application>
  <DocSecurity>4</DocSecurity>
  <Lines>41</Lines>
  <Paragraphs>18</Paragraphs>
  <ScaleCrop>false</ScaleCrop>
  <HeadingPairs>
    <vt:vector size="2" baseType="variant">
      <vt:variant>
        <vt:lpstr>שם</vt:lpstr>
      </vt:variant>
      <vt:variant>
        <vt:i4>1</vt:i4>
      </vt:variant>
    </vt:vector>
  </HeadingPairs>
  <TitlesOfParts>
    <vt:vector size="1" baseType="lpstr">
      <vt:lpstr/>
    </vt:vector>
  </TitlesOfParts>
  <Company>court</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נירית לזימי</dc:creator>
  <cp:keywords/>
  <dc:description/>
  <cp:lastModifiedBy>גרמאו מנגיסטו</cp:lastModifiedBy>
  <cp:revision>2</cp:revision>
  <cp:lastPrinted>2017-11-13T12:38:00Z</cp:lastPrinted>
  <dcterms:created xsi:type="dcterms:W3CDTF">2023-11-12T09:28:00Z</dcterms:created>
  <dcterms:modified xsi:type="dcterms:W3CDTF">2023-11-12T09:28:00Z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DateEng">
    <vt:lpwstr>12 בנובמבר 2023</vt:lpwstr>
  </property>
  <property fmtid="{D5CDD505-2E9C-101B-9397-08002B2CF9AE}" pid="3" name="DocDateHeb">
    <vt:lpwstr>כ"ח בחשוון תשפ"ד</vt:lpwstr>
  </property>
  <property fmtid="{D5CDD505-2E9C-101B-9397-08002B2CF9AE}" pid="4" name="DocNumber">
    <vt:lpwstr>4700-1039-2023-008993</vt:lpwstr>
  </property>
  <property fmtid="{D5CDD505-2E9C-101B-9397-08002B2CF9AE}" pid="5" name="DocRecipientsName">
    <vt:lpwstr/>
  </property>
  <property fmtid="{D5CDD505-2E9C-101B-9397-08002B2CF9AE}" pid="6" name="DocToName">
    <vt:lpwstr/>
  </property>
  <property fmtid="{D5CDD505-2E9C-101B-9397-08002B2CF9AE}" pid="7" name="DocObjectName">
    <vt:lpwstr>תקציר הכרעת דין בתיק תפ"ח 22431-08-19</vt:lpwstr>
  </property>
</Properties>
</file>