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ED" w:rsidRDefault="00740AED" w:rsidP="00722C14">
      <w:pPr>
        <w:pStyle w:val="1"/>
        <w:keepNext w:val="0"/>
        <w:keepLines w:val="0"/>
      </w:pPr>
      <w:r>
        <w:rPr>
          <w:rtl/>
        </w:rPr>
        <w:t>טיוטת תקנות</w:t>
      </w:r>
    </w:p>
    <w:p w:rsidR="00740AED" w:rsidRDefault="00740AED" w:rsidP="00740AED">
      <w:pPr>
        <w:pStyle w:val="HeadHatzaotHok"/>
        <w:keepNext w:val="0"/>
        <w:keepLines w:val="0"/>
        <w:rPr>
          <w:rtl/>
        </w:rPr>
      </w:pPr>
      <w:r>
        <w:rPr>
          <w:rtl/>
        </w:rPr>
        <w:t xml:space="preserve">טיוטת תקנות </w:t>
      </w:r>
      <w:r>
        <w:rPr>
          <w:rFonts w:hint="cs"/>
          <w:rtl/>
        </w:rPr>
        <w:t>התעבורה</w:t>
      </w:r>
      <w:r>
        <w:rPr>
          <w:rtl/>
        </w:rPr>
        <w:t>(תיקון מס'...)</w:t>
      </w:r>
      <w:r w:rsidR="000B0594">
        <w:rPr>
          <w:rFonts w:hint="cs"/>
          <w:rtl/>
        </w:rPr>
        <w:t>, התש"ף-2020</w:t>
      </w:r>
    </w:p>
    <w:tbl>
      <w:tblPr>
        <w:bidiVisual/>
        <w:tblW w:w="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740AED" w:rsidTr="00722C14">
        <w:trPr>
          <w:cantSplit/>
          <w:trHeight w:val="60"/>
        </w:trPr>
        <w:tc>
          <w:tcPr>
            <w:tcW w:w="1871" w:type="dxa"/>
          </w:tcPr>
          <w:p w:rsidR="00740AED" w:rsidRDefault="00740AED">
            <w:pPr>
              <w:pStyle w:val="TableSideHeading"/>
              <w:rPr>
                <w:rtl/>
              </w:rPr>
            </w:pPr>
          </w:p>
        </w:tc>
        <w:tc>
          <w:tcPr>
            <w:tcW w:w="624" w:type="dxa"/>
          </w:tcPr>
          <w:p w:rsidR="00740AED" w:rsidRDefault="00740AED">
            <w:pPr>
              <w:pStyle w:val="TableText"/>
            </w:pPr>
          </w:p>
        </w:tc>
        <w:tc>
          <w:tcPr>
            <w:tcW w:w="7146" w:type="dxa"/>
            <w:hideMark/>
          </w:tcPr>
          <w:p w:rsidR="00740AED" w:rsidRDefault="00740AED" w:rsidP="00740AED">
            <w:pPr>
              <w:pStyle w:val="TableBlock"/>
            </w:pPr>
            <w:r>
              <w:rPr>
                <w:rtl/>
              </w:rPr>
              <w:t>בתוקף סמכותי לפי סעיפים</w:t>
            </w:r>
            <w:r>
              <w:rPr>
                <w:rFonts w:hint="cs"/>
                <w:rtl/>
              </w:rPr>
              <w:t xml:space="preserve"> 13, 70(24)</w:t>
            </w:r>
            <w:r>
              <w:rPr>
                <w:rtl/>
              </w:rPr>
              <w:t xml:space="preserve"> לפקודת</w:t>
            </w:r>
            <w:r>
              <w:rPr>
                <w:rFonts w:hint="cs"/>
                <w:rtl/>
              </w:rPr>
              <w:t xml:space="preserve"> התעבורה</w:t>
            </w:r>
            <w:r>
              <w:rPr>
                <w:rStyle w:val="a7"/>
                <w:rtl/>
              </w:rPr>
              <w:footnoteReference w:id="1"/>
            </w:r>
            <w:r>
              <w:rPr>
                <w:rFonts w:hint="cs"/>
                <w:rtl/>
              </w:rPr>
              <w:t xml:space="preserve">, </w:t>
            </w:r>
            <w:r>
              <w:rPr>
                <w:rtl/>
              </w:rPr>
              <w:t xml:space="preserve"> אני מתקין תקנות אלה:</w:t>
            </w:r>
          </w:p>
        </w:tc>
      </w:tr>
      <w:tr w:rsidR="00740AED" w:rsidTr="00722C14">
        <w:trPr>
          <w:cantSplit/>
          <w:trHeight w:val="60"/>
        </w:trPr>
        <w:tc>
          <w:tcPr>
            <w:tcW w:w="1871" w:type="dxa"/>
          </w:tcPr>
          <w:p w:rsidR="00740AED" w:rsidRDefault="00740AED">
            <w:pPr>
              <w:pStyle w:val="TableSideHeading"/>
            </w:pPr>
          </w:p>
        </w:tc>
        <w:tc>
          <w:tcPr>
            <w:tcW w:w="624" w:type="dxa"/>
          </w:tcPr>
          <w:p w:rsidR="00740AED" w:rsidRDefault="00740AED">
            <w:pPr>
              <w:pStyle w:val="TableText"/>
            </w:pPr>
          </w:p>
        </w:tc>
        <w:tc>
          <w:tcPr>
            <w:tcW w:w="7146" w:type="dxa"/>
          </w:tcPr>
          <w:p w:rsidR="00740AED" w:rsidRDefault="00740AED">
            <w:pPr>
              <w:pStyle w:val="TableHead"/>
            </w:pPr>
          </w:p>
        </w:tc>
      </w:tr>
      <w:tr w:rsidR="00740AED" w:rsidTr="00722C14">
        <w:trPr>
          <w:cantSplit/>
          <w:trHeight w:val="60"/>
        </w:trPr>
        <w:tc>
          <w:tcPr>
            <w:tcW w:w="1871" w:type="dxa"/>
          </w:tcPr>
          <w:p w:rsidR="00740AED" w:rsidRDefault="00740AED">
            <w:pPr>
              <w:pStyle w:val="TableSideHeading"/>
            </w:pPr>
            <w:r>
              <w:rPr>
                <w:rFonts w:hint="cs"/>
                <w:rtl/>
              </w:rPr>
              <w:t>תיקון תקנה 39טז</w:t>
            </w:r>
          </w:p>
        </w:tc>
        <w:tc>
          <w:tcPr>
            <w:tcW w:w="624" w:type="dxa"/>
          </w:tcPr>
          <w:p w:rsidR="00740AED" w:rsidRDefault="00740AED" w:rsidP="00740AED">
            <w:pPr>
              <w:pStyle w:val="TableText"/>
              <w:numPr>
                <w:ilvl w:val="0"/>
                <w:numId w:val="2"/>
              </w:numPr>
            </w:pPr>
          </w:p>
        </w:tc>
        <w:tc>
          <w:tcPr>
            <w:tcW w:w="7146" w:type="dxa"/>
          </w:tcPr>
          <w:p w:rsidR="00740AED" w:rsidRPr="00740AED" w:rsidRDefault="00740AED" w:rsidP="00740AED">
            <w:pPr>
              <w:pStyle w:val="TableBlock"/>
            </w:pPr>
            <w:r>
              <w:rPr>
                <w:rFonts w:hint="cs"/>
                <w:rtl/>
              </w:rPr>
              <w:t>בתקנות התעבורה התשכ"א-1961</w:t>
            </w:r>
            <w:r>
              <w:rPr>
                <w:rStyle w:val="a7"/>
                <w:rtl/>
              </w:rPr>
              <w:footnoteReference w:id="2"/>
            </w:r>
            <w:r w:rsidR="005C2874">
              <w:rPr>
                <w:rFonts w:hint="cs"/>
                <w:rtl/>
              </w:rPr>
              <w:t xml:space="preserve"> (להלן-התקנות העיקריות)</w:t>
            </w:r>
            <w:r>
              <w:rPr>
                <w:rFonts w:hint="cs"/>
                <w:rtl/>
              </w:rPr>
              <w:t xml:space="preserve"> בתקנה 39טז (3)(ג) לאחר הסיפא יבוא "ואולם רשות הרישוי לא תיתן אישור כאמור אלא אם כן בידו רישיון ישיבה בישראל כהגדרתו בתקנה 170</w:t>
            </w:r>
            <w:r w:rsidR="007C5499">
              <w:rPr>
                <w:rFonts w:hint="cs"/>
                <w:rtl/>
              </w:rPr>
              <w:t>"</w:t>
            </w:r>
            <w:r>
              <w:rPr>
                <w:rFonts w:hint="cs"/>
                <w:rtl/>
              </w:rPr>
              <w:t>;</w:t>
            </w:r>
          </w:p>
        </w:tc>
      </w:tr>
      <w:tr w:rsidR="005C2874" w:rsidTr="00722C14">
        <w:trPr>
          <w:cantSplit/>
          <w:trHeight w:val="60"/>
        </w:trPr>
        <w:tc>
          <w:tcPr>
            <w:tcW w:w="1871" w:type="dxa"/>
          </w:tcPr>
          <w:p w:rsidR="005C2874" w:rsidRDefault="005C2874">
            <w:pPr>
              <w:pStyle w:val="TableSideHeading"/>
              <w:rPr>
                <w:rtl/>
              </w:rPr>
            </w:pPr>
            <w:r>
              <w:rPr>
                <w:rFonts w:hint="cs"/>
                <w:rtl/>
              </w:rPr>
              <w:t>תיקון תקנה 551</w:t>
            </w:r>
          </w:p>
        </w:tc>
        <w:tc>
          <w:tcPr>
            <w:tcW w:w="624" w:type="dxa"/>
          </w:tcPr>
          <w:p w:rsidR="005C2874" w:rsidRDefault="005C2874" w:rsidP="005C2874">
            <w:pPr>
              <w:pStyle w:val="TableText"/>
            </w:pPr>
            <w:r>
              <w:rPr>
                <w:rFonts w:hint="cs"/>
                <w:rtl/>
              </w:rPr>
              <w:t>2.</w:t>
            </w:r>
          </w:p>
        </w:tc>
        <w:tc>
          <w:tcPr>
            <w:tcW w:w="7146" w:type="dxa"/>
          </w:tcPr>
          <w:p w:rsidR="005C2874" w:rsidRDefault="005C2874" w:rsidP="007C5499">
            <w:pPr>
              <w:pStyle w:val="TableBlock"/>
              <w:rPr>
                <w:rtl/>
              </w:rPr>
            </w:pPr>
            <w:r>
              <w:rPr>
                <w:rFonts w:hint="cs"/>
                <w:rtl/>
              </w:rPr>
              <w:t xml:space="preserve">בתקנה 551(א) לתקנות העיקריות </w:t>
            </w:r>
            <w:r w:rsidR="007C5499">
              <w:rPr>
                <w:rFonts w:hint="cs"/>
                <w:rtl/>
              </w:rPr>
              <w:t xml:space="preserve"> </w:t>
            </w:r>
            <w:r w:rsidR="00F03230">
              <w:rPr>
                <w:rFonts w:hint="cs"/>
                <w:rtl/>
              </w:rPr>
              <w:t>בסופו יבוא "</w:t>
            </w:r>
            <w:r w:rsidR="00BF5920" w:rsidRPr="00BF5920">
              <w:rPr>
                <w:rtl/>
              </w:rPr>
              <w:t xml:space="preserve">על אף האמור, תדחה רשות הרישוי לבקשת הנהג פעם אחת, לתקופה של עד ששה חודשים, אמצעי תיקון  לפי תקנה 549(א) או (ב) </w:t>
            </w:r>
            <w:r w:rsidR="00BF5920">
              <w:rPr>
                <w:rFonts w:hint="cs"/>
                <w:rtl/>
              </w:rPr>
              <w:t>לאחר שנרשם אליו</w:t>
            </w:r>
            <w:r w:rsidR="00BF5920" w:rsidRPr="00BF5920">
              <w:rPr>
                <w:rtl/>
              </w:rPr>
              <w:t>; בקשה כאמור יכול שתוגש באמצעים דיגיטליים</w:t>
            </w:r>
            <w:r w:rsidR="00BF5920">
              <w:rPr>
                <w:rFonts w:hint="cs"/>
                <w:rtl/>
              </w:rPr>
              <w:t>"</w:t>
            </w:r>
          </w:p>
        </w:tc>
      </w:tr>
    </w:tbl>
    <w:p w:rsidR="00740AED" w:rsidRDefault="00740AED" w:rsidP="00722C14"/>
    <w:p w:rsidR="00740AED" w:rsidRDefault="00740AED" w:rsidP="00722C14">
      <w:pPr>
        <w:rPr>
          <w:rtl/>
        </w:rPr>
      </w:pPr>
    </w:p>
    <w:p w:rsidR="00740AED" w:rsidRDefault="00740AED" w:rsidP="00722C14">
      <w:pPr>
        <w:rPr>
          <w:rFonts w:eastAsia="Calibri"/>
          <w:rtl/>
        </w:rPr>
      </w:pPr>
      <w:r>
        <w:rPr>
          <w:rFonts w:eastAsia="Calibri" w:hint="cs"/>
          <w:rtl/>
        </w:rPr>
        <w:t>___ ב________ התש_______ (___ ב________ ____20)</w:t>
      </w:r>
    </w:p>
    <w:p w:rsidR="00740AED" w:rsidRDefault="00740AED" w:rsidP="00722C14">
      <w:pPr>
        <w:rPr>
          <w:rFonts w:eastAsia="Calibri"/>
          <w:rtl/>
        </w:rPr>
      </w:pPr>
      <w:r>
        <w:rPr>
          <w:rFonts w:eastAsia="Calibri" w:hint="cs"/>
          <w:rtl/>
        </w:rPr>
        <w:t>[תאריך עברי] ([תאריך לועזי])</w:t>
      </w:r>
    </w:p>
    <w:p w:rsidR="00740AED" w:rsidRDefault="00740AED" w:rsidP="00722C14">
      <w:pPr>
        <w:rPr>
          <w:rtl/>
        </w:rPr>
      </w:pPr>
      <w:r>
        <w:rPr>
          <w:rFonts w:hint="cs"/>
          <w:rtl/>
        </w:rPr>
        <w:t>(</w:t>
      </w:r>
      <w:proofErr w:type="spellStart"/>
      <w:r>
        <w:rPr>
          <w:rFonts w:hint="cs"/>
          <w:rtl/>
        </w:rPr>
        <w:t>חמ</w:t>
      </w:r>
      <w:proofErr w:type="spellEnd"/>
      <w:r>
        <w:rPr>
          <w:rFonts w:hint="cs"/>
          <w:rtl/>
        </w:rPr>
        <w:t xml:space="preserve"> _____-3)</w:t>
      </w:r>
    </w:p>
    <w:p w:rsidR="00740AED" w:rsidRDefault="00740AED" w:rsidP="00722C14">
      <w:pPr>
        <w:rPr>
          <w:rtl/>
        </w:rPr>
      </w:pPr>
    </w:p>
    <w:p w:rsidR="00740AED" w:rsidRDefault="00740AED" w:rsidP="00722C14">
      <w:pPr>
        <w:ind w:left="5760"/>
        <w:jc w:val="center"/>
        <w:rPr>
          <w:rtl/>
        </w:rPr>
      </w:pPr>
      <w:r>
        <w:rPr>
          <w:rFonts w:hint="cs"/>
          <w:rtl/>
        </w:rPr>
        <w:t>__________________[חתימה]</w:t>
      </w:r>
    </w:p>
    <w:p w:rsidR="00740AED" w:rsidRDefault="00740AED" w:rsidP="00722C14">
      <w:pPr>
        <w:ind w:left="5760"/>
        <w:jc w:val="center"/>
        <w:rPr>
          <w:rtl/>
        </w:rPr>
      </w:pPr>
      <w:r>
        <w:rPr>
          <w:rFonts w:hint="cs"/>
          <w:rtl/>
        </w:rPr>
        <w:t>[שם מלא של המתקין]</w:t>
      </w:r>
    </w:p>
    <w:p w:rsidR="00740AED" w:rsidRDefault="00740AED" w:rsidP="00722C14">
      <w:pPr>
        <w:ind w:left="5760"/>
        <w:jc w:val="center"/>
        <w:rPr>
          <w:rtl/>
        </w:rPr>
      </w:pPr>
      <w:r>
        <w:rPr>
          <w:rFonts w:hint="cs"/>
          <w:rtl/>
        </w:rPr>
        <w:t>[התפקיד שמכוחו מתקין]</w:t>
      </w:r>
    </w:p>
    <w:p w:rsidR="00740AED" w:rsidRDefault="00740AED" w:rsidP="00722C14">
      <w:pPr>
        <w:rPr>
          <w:rtl/>
        </w:rPr>
      </w:pPr>
    </w:p>
    <w:p w:rsidR="00740AED" w:rsidRDefault="00740AED" w:rsidP="00722C14">
      <w:pPr>
        <w:pStyle w:val="HeadDivreiHesber"/>
        <w:rPr>
          <w:rtl/>
        </w:rPr>
      </w:pPr>
      <w:r>
        <w:rPr>
          <w:rtl/>
        </w:rPr>
        <w:t>דברי הסבר</w:t>
      </w:r>
    </w:p>
    <w:p w:rsidR="005C2874" w:rsidRPr="00BF5920" w:rsidRDefault="00BF5920" w:rsidP="005C2874">
      <w:pPr>
        <w:rPr>
          <w:b/>
          <w:bCs/>
          <w:rtl/>
        </w:rPr>
      </w:pPr>
      <w:r w:rsidRPr="00BF5920">
        <w:rPr>
          <w:rFonts w:hint="cs"/>
          <w:b/>
          <w:bCs/>
          <w:rtl/>
        </w:rPr>
        <w:t>תקנה 39טז</w:t>
      </w:r>
      <w:r>
        <w:rPr>
          <w:rFonts w:hint="cs"/>
          <w:b/>
          <w:bCs/>
          <w:rtl/>
        </w:rPr>
        <w:t xml:space="preserve"> לתקנות התעבורה</w:t>
      </w:r>
    </w:p>
    <w:p w:rsidR="00BF5920" w:rsidRDefault="00BF5920" w:rsidP="00BF5920">
      <w:pPr>
        <w:spacing w:before="240"/>
        <w:rPr>
          <w:rtl/>
        </w:rPr>
      </w:pPr>
    </w:p>
    <w:p w:rsidR="005C2874" w:rsidRPr="005C2874" w:rsidRDefault="005C2874" w:rsidP="00BF5920">
      <w:pPr>
        <w:spacing w:before="240"/>
        <w:rPr>
          <w:rtl/>
        </w:rPr>
      </w:pPr>
      <w:r w:rsidRPr="005C2874">
        <w:rPr>
          <w:rtl/>
        </w:rPr>
        <w:t xml:space="preserve">סעיף 2(א) לחוק הכניסה לישראל  </w:t>
      </w:r>
      <w:proofErr w:type="spellStart"/>
      <w:r w:rsidRPr="005C2874">
        <w:rPr>
          <w:rtl/>
        </w:rPr>
        <w:t>התשי"ב</w:t>
      </w:r>
      <w:proofErr w:type="spellEnd"/>
      <w:r w:rsidRPr="005C2874">
        <w:rPr>
          <w:rtl/>
        </w:rPr>
        <w:t xml:space="preserve"> -1952 (להלן-חוק הכניסה לישראל) מפרט את סוגי האשרות ורישיונות הישיבה והביקור אשר שר הפנים רשאי להעניק.</w:t>
      </w:r>
    </w:p>
    <w:p w:rsidR="005C2874" w:rsidRDefault="005C2874" w:rsidP="005C2874">
      <w:pPr>
        <w:rPr>
          <w:rtl/>
        </w:rPr>
      </w:pPr>
      <w:r w:rsidRPr="005C2874">
        <w:rPr>
          <w:rtl/>
        </w:rPr>
        <w:t xml:space="preserve">סעיף 2(א)(5) התווסף לחוק הכניסה לישראל במסגרת התיקון המקיף לחוק משנת 2001(תיקון מס' 9 לחוק). מטרתו הייתה ליצור "רישיון גישור" למי שנמצאים בישראל ללא רישיון ישיבה והוצא נגדם צו הרחקה, וזאת עד שניתן יהא לממש את הרחקתם מישראל. </w:t>
      </w:r>
    </w:p>
    <w:p w:rsidR="000B0594" w:rsidRPr="005C2874" w:rsidRDefault="000B0594" w:rsidP="005C2874">
      <w:pPr>
        <w:rPr>
          <w:rtl/>
        </w:rPr>
      </w:pPr>
    </w:p>
    <w:p w:rsidR="005C2874" w:rsidRPr="005C2874" w:rsidRDefault="005C2874" w:rsidP="005C2874">
      <w:pPr>
        <w:rPr>
          <w:rtl/>
        </w:rPr>
      </w:pPr>
      <w:r w:rsidRPr="005C2874">
        <w:rPr>
          <w:rtl/>
        </w:rPr>
        <w:lastRenderedPageBreak/>
        <w:t xml:space="preserve">במסגרת </w:t>
      </w:r>
      <w:r w:rsidRPr="005C2874">
        <w:rPr>
          <w:rFonts w:hint="cs"/>
          <w:rtl/>
        </w:rPr>
        <w:t>בחינת</w:t>
      </w:r>
      <w:r w:rsidRPr="005C2874">
        <w:rPr>
          <w:rtl/>
        </w:rPr>
        <w:t xml:space="preserve"> נושא </w:t>
      </w:r>
      <w:r w:rsidRPr="005C2874">
        <w:rPr>
          <w:rFonts w:hint="cs"/>
          <w:rtl/>
        </w:rPr>
        <w:t xml:space="preserve"> ההכשרה לנהיגה על </w:t>
      </w:r>
      <w:r w:rsidRPr="005C2874">
        <w:rPr>
          <w:rtl/>
        </w:rPr>
        <w:t xml:space="preserve">אופנים שבהם מותקן מנוע עזר (להלן-אופנים </w:t>
      </w:r>
      <w:r w:rsidRPr="005C2874">
        <w:rPr>
          <w:rFonts w:hint="cs"/>
          <w:rtl/>
        </w:rPr>
        <w:t>חשמליי</w:t>
      </w:r>
      <w:r w:rsidRPr="005C2874">
        <w:rPr>
          <w:rFonts w:hint="eastAsia"/>
          <w:rtl/>
        </w:rPr>
        <w:t>ם</w:t>
      </w:r>
      <w:r w:rsidRPr="005C2874">
        <w:rPr>
          <w:rtl/>
        </w:rPr>
        <w:t>)</w:t>
      </w:r>
      <w:r w:rsidRPr="005C2874">
        <w:rPr>
          <w:rFonts w:hint="cs"/>
          <w:rtl/>
        </w:rPr>
        <w:t xml:space="preserve"> על ידי גורמי המקצוע במשרד התחבורה</w:t>
      </w:r>
      <w:r w:rsidRPr="005C2874">
        <w:rPr>
          <w:rtl/>
        </w:rPr>
        <w:t xml:space="preserve">, </w:t>
      </w:r>
      <w:r w:rsidRPr="005C2874">
        <w:rPr>
          <w:rFonts w:hint="cs"/>
          <w:rtl/>
        </w:rPr>
        <w:t>נשקלו שיקולים תחבורתיי</w:t>
      </w:r>
      <w:r w:rsidRPr="005C2874">
        <w:rPr>
          <w:rFonts w:hint="eastAsia"/>
          <w:rtl/>
        </w:rPr>
        <w:t>ם</w:t>
      </w:r>
      <w:r w:rsidRPr="005C2874">
        <w:rPr>
          <w:rFonts w:hint="cs"/>
          <w:rtl/>
        </w:rPr>
        <w:t xml:space="preserve"> ושיקולים ציבורים כללים והוחלט כי רשות הרישוי לא תיתן אישור על עמידה בהכשרה לנהיגה על אופנים חשמליי</w:t>
      </w:r>
      <w:r w:rsidRPr="005C2874">
        <w:rPr>
          <w:rFonts w:hint="eastAsia"/>
          <w:rtl/>
        </w:rPr>
        <w:t>ם</w:t>
      </w:r>
      <w:r w:rsidRPr="005C2874">
        <w:rPr>
          <w:rFonts w:hint="cs"/>
          <w:rtl/>
        </w:rPr>
        <w:t xml:space="preserve"> לבעלי אישור לפי סעיף 2(א)(5).</w:t>
      </w:r>
    </w:p>
    <w:p w:rsidR="005C2874" w:rsidRPr="005C2874" w:rsidRDefault="005C2874" w:rsidP="005C2874">
      <w:pPr>
        <w:rPr>
          <w:rtl/>
        </w:rPr>
      </w:pPr>
      <w:r w:rsidRPr="005C2874">
        <w:rPr>
          <w:rFonts w:hint="cs"/>
          <w:rtl/>
        </w:rPr>
        <w:t>השיקולים התחבורתיי</w:t>
      </w:r>
      <w:r w:rsidRPr="005C2874">
        <w:rPr>
          <w:rFonts w:hint="eastAsia"/>
          <w:rtl/>
        </w:rPr>
        <w:t>ם</w:t>
      </w:r>
      <w:r w:rsidRPr="005C2874">
        <w:rPr>
          <w:rFonts w:hint="cs"/>
          <w:rtl/>
        </w:rPr>
        <w:t xml:space="preserve"> שנשקלו היו ראשונים במעלה ונגעו לאפשרות לקיים אכיפה יעילה ואמינה של דיני התעבורה כלפי בעלי האישור האמור הנוהגים בדרך, לרבות האפשרות לזהות ולאתר את נוהג האופנים החשמליי</w:t>
      </w:r>
      <w:r w:rsidRPr="005C2874">
        <w:rPr>
          <w:rFonts w:hint="eastAsia"/>
          <w:rtl/>
        </w:rPr>
        <w:t>ם</w:t>
      </w:r>
      <w:r w:rsidRPr="005C2874">
        <w:rPr>
          <w:rFonts w:hint="cs"/>
          <w:rtl/>
        </w:rPr>
        <w:t>.</w:t>
      </w:r>
      <w:r w:rsidRPr="005C2874">
        <w:rPr>
          <w:rtl/>
        </w:rPr>
        <w:t xml:space="preserve"> כמו גם האפשרות לנהל רישום תעבורתי של </w:t>
      </w:r>
      <w:r w:rsidRPr="005C2874">
        <w:rPr>
          <w:rFonts w:hint="cs"/>
          <w:rtl/>
        </w:rPr>
        <w:t>הנוהג</w:t>
      </w:r>
      <w:r w:rsidRPr="005C2874">
        <w:rPr>
          <w:rtl/>
        </w:rPr>
        <w:t xml:space="preserve">. </w:t>
      </w:r>
      <w:r w:rsidRPr="005C2874">
        <w:rPr>
          <w:rFonts w:hint="cs"/>
          <w:rtl/>
        </w:rPr>
        <w:t>נמצא</w:t>
      </w:r>
      <w:r w:rsidRPr="005C2874">
        <w:rPr>
          <w:rtl/>
        </w:rPr>
        <w:t xml:space="preserve"> כי על רקע אופי שהותם בישראל נמנעת מהרשו</w:t>
      </w:r>
      <w:r w:rsidRPr="005C2874">
        <w:rPr>
          <w:rFonts w:hint="cs"/>
          <w:rtl/>
        </w:rPr>
        <w:t>יו</w:t>
      </w:r>
      <w:r w:rsidRPr="005C2874">
        <w:rPr>
          <w:rtl/>
        </w:rPr>
        <w:t>ת כמעט לחלוטין האפשרות לקיים זיהוי ואכיפה יעילה.</w:t>
      </w:r>
    </w:p>
    <w:p w:rsidR="005C2874" w:rsidRPr="005C2874" w:rsidRDefault="005C2874" w:rsidP="005C2874">
      <w:pPr>
        <w:rPr>
          <w:rtl/>
        </w:rPr>
      </w:pPr>
      <w:r w:rsidRPr="005C2874">
        <w:rPr>
          <w:rtl/>
        </w:rPr>
        <w:t xml:space="preserve">בנוסף, במסגרת השיקולים הרלוונטיים שקלו גורמי המקצוע ברשות גם שיקולים כללים הנובעים </w:t>
      </w:r>
      <w:proofErr w:type="spellStart"/>
      <w:r w:rsidRPr="005C2874">
        <w:rPr>
          <w:rtl/>
        </w:rPr>
        <w:t>מהיותה</w:t>
      </w:r>
      <w:proofErr w:type="spellEnd"/>
      <w:r w:rsidRPr="005C2874">
        <w:rPr>
          <w:rtl/>
        </w:rPr>
        <w:t xml:space="preserve"> רשות מרשויות</w:t>
      </w:r>
      <w:r w:rsidRPr="005C2874">
        <w:rPr>
          <w:rFonts w:hint="cs"/>
          <w:rtl/>
        </w:rPr>
        <w:t xml:space="preserve"> </w:t>
      </w:r>
      <w:r w:rsidRPr="005C2874">
        <w:rPr>
          <w:rtl/>
        </w:rPr>
        <w:t>המדינה המחויבת למדיניות הממשלה כלפי זרים המצויים בתחומה</w:t>
      </w:r>
      <w:r w:rsidRPr="005C2874">
        <w:rPr>
          <w:rFonts w:hint="cs"/>
          <w:rtl/>
        </w:rPr>
        <w:t xml:space="preserve"> ומצאו כי גם בשל כך רשות הרישוי לא תיתן אישור להכשרה אלא למי שמחזיק ברשותו רישיון ישיבה בישראל.</w:t>
      </w:r>
    </w:p>
    <w:p w:rsidR="005C2874" w:rsidRPr="005C2874" w:rsidRDefault="005C2874" w:rsidP="005C2874">
      <w:pPr>
        <w:rPr>
          <w:rtl/>
        </w:rPr>
      </w:pPr>
    </w:p>
    <w:p w:rsidR="005C2874" w:rsidRPr="005C2874" w:rsidRDefault="005C2874" w:rsidP="00BD55FD">
      <w:pPr>
        <w:rPr>
          <w:rtl/>
        </w:rPr>
      </w:pPr>
      <w:r w:rsidRPr="005C2874">
        <w:rPr>
          <w:rtl/>
        </w:rPr>
        <w:t>אשר על כן, מוצע לתקן את התקנה ולקבוע כי רשות הרישוי תיתן אישור על עמידה בהכשרה לנהיגה  למי שמחזיק ברשותו רישיון ישיבה בישראל כהגדרתה בתקנה 170</w:t>
      </w:r>
      <w:r w:rsidRPr="005C2874">
        <w:rPr>
          <w:rFonts w:hint="cs"/>
          <w:rtl/>
        </w:rPr>
        <w:t>.</w:t>
      </w:r>
    </w:p>
    <w:p w:rsidR="00BF5920" w:rsidRDefault="00BF5920" w:rsidP="00BF5920">
      <w:pPr>
        <w:spacing w:before="72"/>
        <w:ind w:right="1134"/>
        <w:rPr>
          <w:rtl/>
        </w:rPr>
      </w:pPr>
    </w:p>
    <w:p w:rsidR="00BF5920" w:rsidRPr="00BF5920" w:rsidRDefault="00BF5920" w:rsidP="00BF5920">
      <w:pPr>
        <w:spacing w:before="72"/>
        <w:ind w:right="1134"/>
        <w:rPr>
          <w:b/>
          <w:bCs/>
          <w:rtl/>
        </w:rPr>
      </w:pPr>
      <w:r w:rsidRPr="00BF5920">
        <w:rPr>
          <w:rFonts w:hint="cs"/>
          <w:b/>
          <w:bCs/>
          <w:rtl/>
        </w:rPr>
        <w:t>תקנה 551 לתקנות התעבורה</w:t>
      </w:r>
    </w:p>
    <w:p w:rsidR="00BF5920" w:rsidRDefault="00BF5920" w:rsidP="00BF5920">
      <w:pPr>
        <w:spacing w:before="72"/>
        <w:ind w:right="1134"/>
        <w:rPr>
          <w:rtl/>
        </w:rPr>
      </w:pPr>
    </w:p>
    <w:p w:rsidR="00BF5920" w:rsidRPr="00BF5920" w:rsidRDefault="00BF5920" w:rsidP="00BF5920">
      <w:pPr>
        <w:spacing w:before="240" w:after="200"/>
        <w:rPr>
          <w:rtl/>
        </w:rPr>
      </w:pPr>
      <w:bookmarkStart w:id="0" w:name="_GoBack"/>
      <w:r w:rsidRPr="0016043E">
        <w:rPr>
          <w:rtl/>
        </w:rPr>
        <w:t xml:space="preserve">תקנה 551(א) לתקנות  התעבורה קובעת כי על הנהג מוטלת החובה בביצוע אמצעי התיקון שעליהם החליטה רשות הרישוי לפי תקנה 549 לתקנות התעבורה  אלא אם כן </w:t>
      </w:r>
      <w:r w:rsidRPr="00BF5920">
        <w:rPr>
          <w:rtl/>
        </w:rPr>
        <w:t>נתן לרשות הרישוי, בהודעה מראש, סיבה סבירה לאי יכולתו לבצעם כאמור.</w:t>
      </w:r>
    </w:p>
    <w:p w:rsidR="00BF5920" w:rsidRPr="0016043E" w:rsidRDefault="00BF5920" w:rsidP="00BF5920">
      <w:pPr>
        <w:spacing w:before="240" w:after="200"/>
        <w:rPr>
          <w:rtl/>
        </w:rPr>
      </w:pPr>
      <w:r w:rsidRPr="0016043E">
        <w:rPr>
          <w:rtl/>
        </w:rPr>
        <w:t xml:space="preserve">תקנה 551 (ה) לתקנות קובעת, כי אם חלפו שישה חודשים מיום </w:t>
      </w:r>
      <w:proofErr w:type="spellStart"/>
      <w:r w:rsidRPr="0016043E">
        <w:rPr>
          <w:rtl/>
        </w:rPr>
        <w:t>שהודע</w:t>
      </w:r>
      <w:proofErr w:type="spellEnd"/>
      <w:r w:rsidRPr="0016043E">
        <w:rPr>
          <w:rtl/>
        </w:rPr>
        <w:t xml:space="preserve"> לנהג כי הוא חייב בביצוע אמצעי תיקון או מיום </w:t>
      </w:r>
      <w:proofErr w:type="spellStart"/>
      <w:r w:rsidRPr="0016043E">
        <w:rPr>
          <w:rtl/>
        </w:rPr>
        <w:t>שהודע</w:t>
      </w:r>
      <w:proofErr w:type="spellEnd"/>
      <w:r w:rsidRPr="0016043E">
        <w:rPr>
          <w:rtl/>
        </w:rPr>
        <w:t xml:space="preserve"> לו על החלטה של רשות הרישוי על הטלת אמצעי תיקון אחר (בהתאם לתקנה 551(ד)), והנהג לא ביצעם</w:t>
      </w:r>
      <w:r w:rsidRPr="00BF5920">
        <w:rPr>
          <w:u w:val="single"/>
          <w:rtl/>
        </w:rPr>
        <w:t>, רשאית רשות הרישוי להתלות את רישיונו של הנהג בהודעה</w:t>
      </w:r>
      <w:r w:rsidRPr="0016043E">
        <w:rPr>
          <w:rtl/>
        </w:rPr>
        <w:t xml:space="preserve">. </w:t>
      </w:r>
    </w:p>
    <w:p w:rsidR="00BF5920" w:rsidRPr="0016043E" w:rsidRDefault="00BF5920" w:rsidP="00BF5920">
      <w:pPr>
        <w:spacing w:before="72"/>
        <w:ind w:right="1134"/>
        <w:rPr>
          <w:rtl/>
        </w:rPr>
      </w:pPr>
    </w:p>
    <w:p w:rsidR="00BF5920" w:rsidRDefault="00BF5920" w:rsidP="00BF5920">
      <w:pPr>
        <w:spacing w:before="240" w:after="200"/>
        <w:rPr>
          <w:rtl/>
        </w:rPr>
      </w:pPr>
      <w:r w:rsidRPr="0016043E">
        <w:rPr>
          <w:rtl/>
        </w:rPr>
        <w:t>נמצא כי נהגים רבים אשר חויבו באמצעי תיקון מסוג קורס הנהיגה נכונה ביקשו לדחותו. על כן, מוצע לתקן את התקנה ולקבוע</w:t>
      </w:r>
      <w:r w:rsidRPr="00BF5920">
        <w:rPr>
          <w:rtl/>
        </w:rPr>
        <w:t xml:space="preserve"> </w:t>
      </w:r>
      <w:r w:rsidRPr="0016043E">
        <w:rPr>
          <w:rtl/>
        </w:rPr>
        <w:t xml:space="preserve">כי כל נהג המחויב באמצעי תיקון מסוג קורס בנהיגה נכונה יהא רשאי לבקש דחיה של הקורס פעם אחת לאחר שנרשם לקורס, והפגין נכונות לשיפור נהיגתו. </w:t>
      </w:r>
    </w:p>
    <w:bookmarkEnd w:id="0"/>
    <w:p w:rsidR="00ED4942" w:rsidRDefault="00ED4942" w:rsidP="00BF5920">
      <w:pPr>
        <w:spacing w:before="240" w:after="200"/>
        <w:rPr>
          <w:rtl/>
        </w:rPr>
      </w:pPr>
    </w:p>
    <w:p w:rsidR="00ED4942" w:rsidRPr="00ED4942" w:rsidRDefault="00ED4942" w:rsidP="00ED4942">
      <w:pPr>
        <w:spacing w:before="240" w:after="200"/>
        <w:ind w:left="-1"/>
        <w:rPr>
          <w:rFonts w:hint="cs"/>
          <w:b/>
          <w:bCs/>
          <w:u w:val="single"/>
          <w:rtl/>
        </w:rPr>
      </w:pPr>
      <w:r w:rsidRPr="00ED4942">
        <w:rPr>
          <w:rFonts w:hint="cs"/>
          <w:b/>
          <w:bCs/>
          <w:u w:val="single"/>
          <w:rtl/>
        </w:rPr>
        <w:t>דוח הערכת רגולציה (</w:t>
      </w:r>
      <w:r w:rsidRPr="00ED4942">
        <w:rPr>
          <w:rFonts w:hint="cs"/>
          <w:b/>
          <w:bCs/>
          <w:u w:val="single"/>
        </w:rPr>
        <w:t>RIA</w:t>
      </w:r>
      <w:r w:rsidRPr="00ED4942">
        <w:rPr>
          <w:rFonts w:hint="cs"/>
          <w:b/>
          <w:bCs/>
          <w:u w:val="single"/>
          <w:rtl/>
        </w:rPr>
        <w:t>)</w:t>
      </w:r>
    </w:p>
    <w:p w:rsidR="00ED4942" w:rsidRPr="0016043E" w:rsidRDefault="00ED4942" w:rsidP="00BF5920">
      <w:pPr>
        <w:spacing w:before="240" w:after="200"/>
      </w:pPr>
    </w:p>
    <w:p w:rsidR="00ED4942" w:rsidRPr="00ED4942" w:rsidRDefault="00ED4942" w:rsidP="00ED4942">
      <w:pPr>
        <w:widowControl/>
        <w:tabs>
          <w:tab w:val="left" w:pos="424"/>
        </w:tabs>
        <w:ind w:left="0"/>
        <w:outlineLvl w:val="0"/>
        <w:rPr>
          <w:rFonts w:eastAsiaTheme="minorEastAsia"/>
          <w:b/>
          <w:bCs/>
          <w:u w:val="single"/>
          <w:rtl/>
        </w:rPr>
      </w:pPr>
      <w:r w:rsidRPr="00ED4942">
        <w:rPr>
          <w:rFonts w:eastAsiaTheme="minorEastAsia"/>
          <w:b/>
          <w:bCs/>
          <w:u w:val="single"/>
          <w:rtl/>
        </w:rPr>
        <w:t>הגדרת תכלית והצורך בהתערבות</w:t>
      </w:r>
    </w:p>
    <w:p w:rsidR="00ED4942" w:rsidRPr="00ED4942" w:rsidRDefault="00ED4942" w:rsidP="00ED4942">
      <w:pPr>
        <w:widowControl/>
        <w:numPr>
          <w:ilvl w:val="1"/>
          <w:numId w:val="0"/>
        </w:numPr>
        <w:tabs>
          <w:tab w:val="left" w:pos="424"/>
        </w:tabs>
        <w:ind w:left="792" w:hanging="793"/>
        <w:outlineLvl w:val="1"/>
        <w:rPr>
          <w:rFonts w:eastAsiaTheme="minorEastAsia"/>
          <w:b/>
          <w:bCs/>
          <w:rtl/>
        </w:rPr>
      </w:pPr>
      <w:r w:rsidRPr="00ED4942">
        <w:rPr>
          <w:rFonts w:eastAsiaTheme="minorEastAsia"/>
          <w:b/>
          <w:bCs/>
          <w:rtl/>
        </w:rPr>
        <w:t>רקע</w:t>
      </w:r>
    </w:p>
    <w:p w:rsidR="00ED4942" w:rsidRPr="00ED4942" w:rsidRDefault="00ED4942" w:rsidP="00ED4942">
      <w:pPr>
        <w:widowControl/>
        <w:tabs>
          <w:tab w:val="left" w:pos="424"/>
        </w:tabs>
        <w:ind w:left="0"/>
        <w:contextualSpacing w:val="0"/>
        <w:rPr>
          <w:rFonts w:eastAsiaTheme="minorEastAsia"/>
          <w:noProof/>
          <w:rtl/>
        </w:rPr>
      </w:pPr>
      <w:r w:rsidRPr="00ED4942">
        <w:rPr>
          <w:rFonts w:eastAsiaTheme="minorEastAsia" w:hint="cs"/>
          <w:noProof/>
          <w:rtl/>
        </w:rPr>
        <w:t xml:space="preserve">סעיף 221א לתקנות התעבורה קובעת כי </w:t>
      </w:r>
      <w:r w:rsidRPr="00ED4942">
        <w:rPr>
          <w:rFonts w:eastAsiaTheme="minorEastAsia"/>
          <w:noProof/>
          <w:rtl/>
        </w:rPr>
        <w:t>מי שאיננו תושב ישראל, לא ילמד נהיגה ברכב מנועי ולא ייבחן בבחינת נהיגה עיונית או מעשית, אלא אם כן יש בידו רישיון ישיבה בישראל</w:t>
      </w:r>
      <w:r w:rsidRPr="00ED4942">
        <w:rPr>
          <w:rFonts w:eastAsiaTheme="minorEastAsia" w:hint="cs"/>
          <w:noProof/>
          <w:rtl/>
        </w:rPr>
        <w:t>. רישיון ישיבה בישראל מוגדר כרישיון שניתן בהתאם ל</w:t>
      </w:r>
      <w:r w:rsidRPr="00ED4942">
        <w:rPr>
          <w:rFonts w:eastAsiaTheme="minorEastAsia"/>
          <w:noProof/>
          <w:rtl/>
        </w:rPr>
        <w:t>סעיף 2(א) לחוק הכניסה לישראל התשי"ב -1952 (להלן-חוק הכניסה לישראל)</w:t>
      </w:r>
      <w:r w:rsidRPr="00ED4942">
        <w:rPr>
          <w:rFonts w:eastAsiaTheme="minorEastAsia" w:hint="cs"/>
          <w:noProof/>
          <w:rtl/>
        </w:rPr>
        <w:t xml:space="preserve">, אשר </w:t>
      </w:r>
      <w:r w:rsidRPr="00ED4942">
        <w:rPr>
          <w:rFonts w:eastAsiaTheme="minorEastAsia"/>
          <w:noProof/>
          <w:rtl/>
        </w:rPr>
        <w:t xml:space="preserve">מפרט </w:t>
      </w:r>
      <w:r w:rsidRPr="00ED4942">
        <w:rPr>
          <w:rFonts w:eastAsiaTheme="minorEastAsia" w:hint="cs"/>
          <w:noProof/>
          <w:rtl/>
        </w:rPr>
        <w:t>בסעיפים 2(א)(1) עד 2(א)(5)חמישה</w:t>
      </w:r>
      <w:r w:rsidRPr="00ED4942">
        <w:rPr>
          <w:rFonts w:eastAsiaTheme="minorEastAsia"/>
          <w:noProof/>
          <w:rtl/>
        </w:rPr>
        <w:t xml:space="preserve"> סוגי אשרות ורישיונות ישיבה וביקור אשר שר הפנים רשאי להעניק</w:t>
      </w:r>
      <w:r w:rsidRPr="00ED4942">
        <w:rPr>
          <w:rFonts w:eastAsiaTheme="minorEastAsia" w:hint="cs"/>
          <w:noProof/>
          <w:rtl/>
        </w:rPr>
        <w:t>:</w:t>
      </w:r>
    </w:p>
    <w:p w:rsidR="00ED4942" w:rsidRPr="00ED4942" w:rsidRDefault="00ED4942" w:rsidP="00ED4942">
      <w:pPr>
        <w:widowControl/>
        <w:numPr>
          <w:ilvl w:val="0"/>
          <w:numId w:val="21"/>
        </w:numPr>
        <w:tabs>
          <w:tab w:val="left" w:pos="424"/>
        </w:tabs>
        <w:contextualSpacing w:val="0"/>
        <w:rPr>
          <w:rFonts w:eastAsiaTheme="minorEastAsia"/>
          <w:noProof/>
          <w:rtl/>
        </w:rPr>
      </w:pPr>
      <w:r w:rsidRPr="00ED4942">
        <w:rPr>
          <w:rFonts w:eastAsiaTheme="minorEastAsia"/>
          <w:noProof/>
          <w:rtl/>
        </w:rPr>
        <w:t>אשרה ורשיון לישיבת מעבר – עד לחמישה ימים</w:t>
      </w:r>
    </w:p>
    <w:p w:rsidR="00ED4942" w:rsidRPr="00ED4942" w:rsidRDefault="00ED4942" w:rsidP="00ED4942">
      <w:pPr>
        <w:widowControl/>
        <w:numPr>
          <w:ilvl w:val="0"/>
          <w:numId w:val="21"/>
        </w:numPr>
        <w:tabs>
          <w:tab w:val="left" w:pos="424"/>
        </w:tabs>
        <w:contextualSpacing w:val="0"/>
        <w:rPr>
          <w:rFonts w:eastAsiaTheme="minorEastAsia"/>
          <w:noProof/>
          <w:rtl/>
        </w:rPr>
      </w:pPr>
      <w:r w:rsidRPr="00ED4942">
        <w:rPr>
          <w:rFonts w:eastAsiaTheme="minorEastAsia"/>
          <w:noProof/>
          <w:rtl/>
        </w:rPr>
        <w:t>אשרה ורשיון לישיבת ביקור – עד לשלושה חדשים</w:t>
      </w:r>
    </w:p>
    <w:p w:rsidR="00ED4942" w:rsidRPr="00ED4942" w:rsidRDefault="00ED4942" w:rsidP="00ED4942">
      <w:pPr>
        <w:widowControl/>
        <w:numPr>
          <w:ilvl w:val="0"/>
          <w:numId w:val="21"/>
        </w:numPr>
        <w:tabs>
          <w:tab w:val="left" w:pos="424"/>
        </w:tabs>
        <w:contextualSpacing w:val="0"/>
        <w:rPr>
          <w:rFonts w:eastAsiaTheme="minorEastAsia"/>
          <w:noProof/>
          <w:rtl/>
        </w:rPr>
      </w:pPr>
      <w:r w:rsidRPr="00ED4942">
        <w:rPr>
          <w:rFonts w:eastAsiaTheme="minorEastAsia"/>
          <w:noProof/>
          <w:rtl/>
        </w:rPr>
        <w:t>אשרה ורשיון לישיבת ארעי – עד לשלוש שנים</w:t>
      </w:r>
    </w:p>
    <w:p w:rsidR="00ED4942" w:rsidRPr="00ED4942" w:rsidRDefault="00ED4942" w:rsidP="00ED4942">
      <w:pPr>
        <w:widowControl/>
        <w:numPr>
          <w:ilvl w:val="0"/>
          <w:numId w:val="21"/>
        </w:numPr>
        <w:tabs>
          <w:tab w:val="left" w:pos="424"/>
        </w:tabs>
        <w:contextualSpacing w:val="0"/>
        <w:rPr>
          <w:rFonts w:eastAsiaTheme="minorEastAsia"/>
          <w:noProof/>
          <w:rtl/>
        </w:rPr>
      </w:pPr>
      <w:r w:rsidRPr="00ED4942">
        <w:rPr>
          <w:rFonts w:eastAsiaTheme="minorEastAsia"/>
          <w:noProof/>
          <w:rtl/>
        </w:rPr>
        <w:t>אשרה ורשיון לישיבת קבע</w:t>
      </w:r>
    </w:p>
    <w:p w:rsidR="00ED4942" w:rsidRPr="00ED4942" w:rsidRDefault="00ED4942" w:rsidP="00ED4942">
      <w:pPr>
        <w:widowControl/>
        <w:numPr>
          <w:ilvl w:val="0"/>
          <w:numId w:val="21"/>
        </w:numPr>
        <w:tabs>
          <w:tab w:val="left" w:pos="424"/>
        </w:tabs>
        <w:contextualSpacing w:val="0"/>
        <w:rPr>
          <w:rFonts w:eastAsiaTheme="minorEastAsia"/>
          <w:noProof/>
          <w:rtl/>
        </w:rPr>
      </w:pPr>
      <w:r w:rsidRPr="00ED4942">
        <w:rPr>
          <w:rFonts w:eastAsiaTheme="minorEastAsia"/>
          <w:noProof/>
          <w:rtl/>
        </w:rPr>
        <w:lastRenderedPageBreak/>
        <w:t>רישיון זמני לישיבת ביקור למי שנמצא בישראל בלי רישיון ישיבה וניתן עליו צו הרחקה – עד ליציאתו מישראל או הרחקתו ממנה.</w:t>
      </w:r>
    </w:p>
    <w:p w:rsidR="00ED4942" w:rsidRPr="00ED4942" w:rsidRDefault="00ED4942" w:rsidP="00ED4942">
      <w:pPr>
        <w:widowControl/>
        <w:tabs>
          <w:tab w:val="left" w:pos="424"/>
        </w:tabs>
        <w:ind w:left="0"/>
        <w:contextualSpacing w:val="0"/>
        <w:rPr>
          <w:rFonts w:eastAsiaTheme="minorEastAsia"/>
          <w:rtl/>
        </w:rPr>
      </w:pPr>
      <w:r w:rsidRPr="00ED4942">
        <w:rPr>
          <w:rFonts w:eastAsiaTheme="minorEastAsia" w:hint="cs"/>
          <w:rtl/>
        </w:rPr>
        <w:t>עפ"י תקנות 221א ו-170 לתקנות התעבורה רק בעלי אשרה לפי סעיפים 2(א)(1) עד 2(א)(4) רשאים  להמיר את רישיונם וללמוד נהיגה ברכב מנועי בישראל.</w:t>
      </w:r>
    </w:p>
    <w:p w:rsidR="00ED4942" w:rsidRPr="00ED4942" w:rsidRDefault="00ED4942" w:rsidP="00ED4942">
      <w:pPr>
        <w:widowControl/>
        <w:tabs>
          <w:tab w:val="left" w:pos="424"/>
        </w:tabs>
        <w:ind w:left="0"/>
        <w:contextualSpacing w:val="0"/>
        <w:rPr>
          <w:rFonts w:eastAsiaTheme="minorEastAsia"/>
        </w:rPr>
      </w:pPr>
    </w:p>
    <w:p w:rsidR="00ED4942" w:rsidRPr="00ED4942" w:rsidRDefault="00ED4942" w:rsidP="00ED4942">
      <w:pPr>
        <w:widowControl/>
        <w:numPr>
          <w:ilvl w:val="1"/>
          <w:numId w:val="0"/>
        </w:numPr>
        <w:tabs>
          <w:tab w:val="left" w:pos="424"/>
        </w:tabs>
        <w:ind w:left="792" w:hanging="793"/>
        <w:outlineLvl w:val="1"/>
        <w:rPr>
          <w:rFonts w:eastAsiaTheme="minorEastAsia"/>
          <w:b/>
          <w:bCs/>
          <w:rtl/>
        </w:rPr>
      </w:pPr>
      <w:bookmarkStart w:id="1" w:name="_Ref489359283"/>
      <w:r w:rsidRPr="00ED4942">
        <w:rPr>
          <w:rFonts w:eastAsiaTheme="minorEastAsia"/>
          <w:b/>
          <w:bCs/>
          <w:rtl/>
        </w:rPr>
        <w:t>זיהוי הבעיה וסיבותיה</w:t>
      </w:r>
      <w:bookmarkEnd w:id="1"/>
    </w:p>
    <w:p w:rsidR="00ED4942" w:rsidRPr="00ED4942" w:rsidRDefault="00ED4942" w:rsidP="00ED4942">
      <w:pPr>
        <w:widowControl/>
        <w:tabs>
          <w:tab w:val="left" w:pos="424"/>
        </w:tabs>
        <w:ind w:left="0"/>
        <w:contextualSpacing w:val="0"/>
        <w:rPr>
          <w:rFonts w:eastAsiaTheme="minorEastAsia"/>
          <w:rtl/>
        </w:rPr>
      </w:pPr>
      <w:r w:rsidRPr="00ED4942">
        <w:rPr>
          <w:rFonts w:eastAsiaTheme="minorEastAsia" w:hint="cs"/>
          <w:rtl/>
        </w:rPr>
        <w:t>ביולי 2019 נכנס לתוקף תיקון המחייב רוכבים על אופניים חשמליים (אופניים עם מנוע עזר חשמלי) להחזיק רישיון נהיגה או לעבור הכשרה ייעודית, בהתאם לתקנה 39טז. תקנות 170 ו-221א לתקנות התעבורה אינן חלות על תקנה 39טז. לכן, לשם העקביות יש לבצע השלמה ולקבוע כי רשות הרישוי לא תיתן אישור על עמידה בהכשרה לנהיגה על אופנים שבהם מותקן מנוע עזר למי שמחזיק באשרה לפי סעיף 2(א)(5) לחוק הכניסה לישראל.</w:t>
      </w:r>
    </w:p>
    <w:p w:rsidR="00ED4942" w:rsidRPr="00ED4942" w:rsidRDefault="00ED4942" w:rsidP="00ED4942">
      <w:pPr>
        <w:widowControl/>
        <w:tabs>
          <w:tab w:val="left" w:pos="424"/>
        </w:tabs>
        <w:ind w:left="360"/>
        <w:contextualSpacing w:val="0"/>
        <w:rPr>
          <w:rFonts w:eastAsiaTheme="minorEastAsia"/>
        </w:rPr>
      </w:pPr>
    </w:p>
    <w:p w:rsidR="00ED4942" w:rsidRPr="00ED4942" w:rsidRDefault="00ED4942" w:rsidP="00ED4942">
      <w:pPr>
        <w:widowControl/>
        <w:numPr>
          <w:ilvl w:val="1"/>
          <w:numId w:val="0"/>
        </w:numPr>
        <w:tabs>
          <w:tab w:val="left" w:pos="424"/>
        </w:tabs>
        <w:ind w:left="792" w:hanging="793"/>
        <w:outlineLvl w:val="1"/>
        <w:rPr>
          <w:rFonts w:eastAsiaTheme="minorEastAsia"/>
          <w:b/>
          <w:bCs/>
          <w:rtl/>
        </w:rPr>
      </w:pPr>
      <w:r w:rsidRPr="00ED4942">
        <w:rPr>
          <w:rFonts w:eastAsiaTheme="minorEastAsia"/>
          <w:b/>
          <w:bCs/>
          <w:rtl/>
        </w:rPr>
        <w:t>תכליות ויעדים</w:t>
      </w:r>
    </w:p>
    <w:p w:rsidR="00ED4942" w:rsidRPr="00ED4942" w:rsidRDefault="00ED4942" w:rsidP="00ED4942">
      <w:pPr>
        <w:widowControl/>
        <w:tabs>
          <w:tab w:val="left" w:pos="424"/>
        </w:tabs>
        <w:ind w:left="0"/>
        <w:contextualSpacing w:val="0"/>
        <w:rPr>
          <w:rFonts w:eastAsiaTheme="minorEastAsia"/>
          <w:rtl/>
        </w:rPr>
      </w:pPr>
      <w:r w:rsidRPr="00ED4942">
        <w:rPr>
          <w:rFonts w:eastAsiaTheme="minorEastAsia" w:hint="cs"/>
          <w:rtl/>
        </w:rPr>
        <w:t>התכלית המרכזית של התיקון הוא עקביות ויישור קו מפורש בין כלי הרכב המנועיים המסורתיים לבין כלי הרכב הזעירים שנכנסו לישראל בשנים האחרונות.</w:t>
      </w:r>
    </w:p>
    <w:p w:rsidR="00ED4942" w:rsidRPr="00ED4942" w:rsidRDefault="00ED4942" w:rsidP="00ED4942">
      <w:pPr>
        <w:widowControl/>
        <w:tabs>
          <w:tab w:val="left" w:pos="424"/>
        </w:tabs>
        <w:ind w:left="0"/>
        <w:contextualSpacing w:val="0"/>
        <w:rPr>
          <w:rFonts w:eastAsiaTheme="minorEastAsia"/>
          <w:rtl/>
        </w:rPr>
      </w:pPr>
    </w:p>
    <w:p w:rsidR="00ED4942" w:rsidRPr="00ED4942" w:rsidRDefault="00ED4942" w:rsidP="00ED4942">
      <w:pPr>
        <w:widowControl/>
        <w:tabs>
          <w:tab w:val="left" w:pos="424"/>
        </w:tabs>
        <w:ind w:left="360" w:hanging="360"/>
        <w:outlineLvl w:val="0"/>
        <w:rPr>
          <w:rFonts w:eastAsiaTheme="minorEastAsia"/>
          <w:b/>
          <w:bCs/>
          <w:u w:val="single"/>
          <w:rtl/>
        </w:rPr>
      </w:pPr>
      <w:r w:rsidRPr="00ED4942">
        <w:rPr>
          <w:rFonts w:eastAsiaTheme="minorEastAsia"/>
          <w:b/>
          <w:bCs/>
          <w:u w:val="single"/>
          <w:rtl/>
        </w:rPr>
        <w:t>חלופות</w:t>
      </w:r>
    </w:p>
    <w:p w:rsidR="00ED4942" w:rsidRPr="00ED4942" w:rsidRDefault="00ED4942" w:rsidP="00ED4942">
      <w:pPr>
        <w:widowControl/>
        <w:numPr>
          <w:ilvl w:val="1"/>
          <w:numId w:val="0"/>
        </w:numPr>
        <w:tabs>
          <w:tab w:val="left" w:pos="424"/>
        </w:tabs>
        <w:ind w:left="792" w:hanging="793"/>
        <w:outlineLvl w:val="1"/>
        <w:rPr>
          <w:rFonts w:eastAsiaTheme="minorEastAsia"/>
          <w:b/>
          <w:bCs/>
          <w:rtl/>
        </w:rPr>
      </w:pPr>
      <w:r w:rsidRPr="00ED4942">
        <w:rPr>
          <w:rFonts w:eastAsiaTheme="minorEastAsia"/>
          <w:b/>
          <w:bCs/>
          <w:rtl/>
        </w:rPr>
        <w:t>תיאור החלופות</w:t>
      </w:r>
    </w:p>
    <w:p w:rsidR="00ED4942" w:rsidRPr="00ED4942" w:rsidRDefault="00ED4942" w:rsidP="00ED4942">
      <w:pPr>
        <w:widowControl/>
        <w:tabs>
          <w:tab w:val="left" w:pos="424"/>
        </w:tabs>
        <w:ind w:left="0"/>
        <w:contextualSpacing w:val="0"/>
        <w:rPr>
          <w:rFonts w:eastAsiaTheme="minorEastAsia"/>
          <w:rtl/>
        </w:rPr>
      </w:pPr>
      <w:r w:rsidRPr="00ED4942">
        <w:rPr>
          <w:rFonts w:eastAsiaTheme="minorEastAsia" w:hint="cs"/>
          <w:rtl/>
        </w:rPr>
        <w:t>להלכה יש לרגולטור שתי חלופות:</w:t>
      </w:r>
    </w:p>
    <w:p w:rsidR="00ED4942" w:rsidRPr="00ED4942" w:rsidRDefault="00ED4942" w:rsidP="00ED4942">
      <w:pPr>
        <w:widowControl/>
        <w:numPr>
          <w:ilvl w:val="0"/>
          <w:numId w:val="20"/>
        </w:numPr>
        <w:tabs>
          <w:tab w:val="left" w:pos="424"/>
        </w:tabs>
        <w:contextualSpacing w:val="0"/>
        <w:rPr>
          <w:rFonts w:eastAsiaTheme="minorEastAsia"/>
        </w:rPr>
      </w:pPr>
      <w:r w:rsidRPr="00ED4942">
        <w:rPr>
          <w:rFonts w:eastAsiaTheme="minorEastAsia" w:hint="cs"/>
          <w:rtl/>
        </w:rPr>
        <w:t xml:space="preserve">חלופה 0 </w:t>
      </w:r>
      <w:r w:rsidRPr="00ED4942">
        <w:rPr>
          <w:rFonts w:eastAsiaTheme="minorEastAsia"/>
          <w:rtl/>
        </w:rPr>
        <w:t>–</w:t>
      </w:r>
      <w:r w:rsidRPr="00ED4942">
        <w:rPr>
          <w:rFonts w:eastAsiaTheme="minorEastAsia" w:hint="cs"/>
          <w:rtl/>
        </w:rPr>
        <w:t xml:space="preserve"> השארת העמימות הקיימת בלשון החוק כיום.</w:t>
      </w:r>
    </w:p>
    <w:p w:rsidR="00ED4942" w:rsidRPr="00ED4942" w:rsidRDefault="00ED4942" w:rsidP="00ED4942">
      <w:pPr>
        <w:widowControl/>
        <w:numPr>
          <w:ilvl w:val="0"/>
          <w:numId w:val="20"/>
        </w:numPr>
        <w:tabs>
          <w:tab w:val="left" w:pos="424"/>
        </w:tabs>
        <w:contextualSpacing w:val="0"/>
        <w:rPr>
          <w:rFonts w:eastAsiaTheme="minorEastAsia"/>
        </w:rPr>
      </w:pPr>
      <w:r w:rsidRPr="00ED4942">
        <w:rPr>
          <w:rFonts w:eastAsiaTheme="minorEastAsia" w:hint="cs"/>
          <w:rtl/>
        </w:rPr>
        <w:t xml:space="preserve">חלופה 1 </w:t>
      </w:r>
      <w:r w:rsidRPr="00ED4942">
        <w:rPr>
          <w:rFonts w:eastAsiaTheme="minorEastAsia"/>
          <w:rtl/>
        </w:rPr>
        <w:t>–</w:t>
      </w:r>
      <w:r w:rsidRPr="00ED4942">
        <w:rPr>
          <w:rFonts w:eastAsiaTheme="minorEastAsia" w:hint="cs"/>
          <w:rtl/>
        </w:rPr>
        <w:t xml:space="preserve"> חידוד התקנות, כך שיהיה ברור באופן מפורש, שכלי הרכב המנועיים אינם נבדלים בתנאי הבסיס לקבלת רישיון נהיגה.</w:t>
      </w:r>
    </w:p>
    <w:p w:rsidR="00ED4942" w:rsidRPr="00ED4942" w:rsidRDefault="00ED4942" w:rsidP="00ED4942">
      <w:pPr>
        <w:widowControl/>
        <w:tabs>
          <w:tab w:val="left" w:pos="424"/>
        </w:tabs>
        <w:ind w:left="0"/>
        <w:contextualSpacing w:val="0"/>
        <w:rPr>
          <w:rFonts w:eastAsiaTheme="minorEastAsia"/>
        </w:rPr>
      </w:pPr>
    </w:p>
    <w:p w:rsidR="00ED4942" w:rsidRPr="00ED4942" w:rsidRDefault="00ED4942" w:rsidP="00ED4942">
      <w:pPr>
        <w:widowControl/>
        <w:numPr>
          <w:ilvl w:val="1"/>
          <w:numId w:val="0"/>
        </w:numPr>
        <w:tabs>
          <w:tab w:val="left" w:pos="424"/>
        </w:tabs>
        <w:ind w:left="792" w:hanging="793"/>
        <w:outlineLvl w:val="1"/>
        <w:rPr>
          <w:rFonts w:eastAsiaTheme="minorEastAsia"/>
          <w:b/>
          <w:bCs/>
          <w:rtl/>
        </w:rPr>
      </w:pPr>
      <w:r w:rsidRPr="00ED4942">
        <w:rPr>
          <w:rFonts w:eastAsiaTheme="minorEastAsia"/>
          <w:b/>
          <w:bCs/>
          <w:rtl/>
        </w:rPr>
        <w:t xml:space="preserve">ניתוח והשוואת חלופות </w:t>
      </w:r>
    </w:p>
    <w:p w:rsidR="00ED4942" w:rsidRPr="00ED4942" w:rsidRDefault="00ED4942" w:rsidP="00ED4942">
      <w:pPr>
        <w:widowControl/>
        <w:tabs>
          <w:tab w:val="left" w:pos="424"/>
        </w:tabs>
        <w:ind w:left="0"/>
        <w:contextualSpacing w:val="0"/>
        <w:rPr>
          <w:rFonts w:eastAsiaTheme="minorEastAsia"/>
          <w:rtl/>
        </w:rPr>
      </w:pPr>
      <w:r w:rsidRPr="00ED4942">
        <w:rPr>
          <w:rFonts w:eastAsiaTheme="minorEastAsia" w:hint="cs"/>
          <w:rtl/>
        </w:rPr>
        <w:t>לחלופה 0 אין יתרונות על חלופה 1, לאור הגדרת התכלית, ולכן היא "חלופת קש", ואיננה קבילה.</w:t>
      </w:r>
    </w:p>
    <w:p w:rsidR="00ED4942" w:rsidRPr="00ED4942" w:rsidRDefault="00ED4942" w:rsidP="00ED4942">
      <w:pPr>
        <w:widowControl/>
        <w:bidi w:val="0"/>
        <w:spacing w:after="160" w:line="259" w:lineRule="auto"/>
        <w:ind w:left="0"/>
        <w:contextualSpacing w:val="0"/>
        <w:jc w:val="left"/>
        <w:rPr>
          <w:rFonts w:eastAsiaTheme="minorEastAsia"/>
        </w:rPr>
      </w:pPr>
      <w:r w:rsidRPr="00ED4942">
        <w:rPr>
          <w:rFonts w:eastAsiaTheme="minorEastAsia"/>
          <w:b/>
          <w:bCs/>
        </w:rPr>
        <w:br w:type="page"/>
      </w:r>
    </w:p>
    <w:p w:rsidR="00ED4942" w:rsidRPr="00ED4942" w:rsidRDefault="00ED4942" w:rsidP="00ED4942">
      <w:pPr>
        <w:widowControl/>
        <w:tabs>
          <w:tab w:val="left" w:pos="424"/>
        </w:tabs>
        <w:ind w:left="360" w:hanging="360"/>
        <w:outlineLvl w:val="0"/>
        <w:rPr>
          <w:rFonts w:eastAsiaTheme="minorEastAsia"/>
          <w:b/>
          <w:bCs/>
          <w:u w:val="single"/>
          <w:rtl/>
        </w:rPr>
      </w:pPr>
      <w:r w:rsidRPr="00ED4942">
        <w:rPr>
          <w:rFonts w:eastAsiaTheme="minorEastAsia"/>
          <w:b/>
          <w:bCs/>
          <w:u w:val="single"/>
          <w:rtl/>
        </w:rPr>
        <w:lastRenderedPageBreak/>
        <w:t>שיח עם בעלי עניין, עם מומחים ועם יחידים וקבוצות מהציבור</w:t>
      </w:r>
    </w:p>
    <w:p w:rsidR="00ED4942" w:rsidRPr="00ED4942" w:rsidRDefault="00ED4942" w:rsidP="00ED4942">
      <w:pPr>
        <w:widowControl/>
        <w:numPr>
          <w:ilvl w:val="1"/>
          <w:numId w:val="0"/>
        </w:numPr>
        <w:tabs>
          <w:tab w:val="left" w:pos="424"/>
        </w:tabs>
        <w:ind w:left="792" w:hanging="793"/>
        <w:outlineLvl w:val="1"/>
        <w:rPr>
          <w:rFonts w:eastAsiaTheme="minorEastAsia"/>
          <w:b/>
          <w:bCs/>
        </w:rPr>
      </w:pPr>
      <w:r w:rsidRPr="00ED4942">
        <w:rPr>
          <w:rFonts w:eastAsiaTheme="minorEastAsia"/>
          <w:b/>
          <w:bCs/>
          <w:rtl/>
        </w:rPr>
        <w:t>תיאור תהליך השיח</w:t>
      </w:r>
    </w:p>
    <w:p w:rsidR="00ED4942" w:rsidRPr="00ED4942" w:rsidRDefault="00ED4942" w:rsidP="00ED4942">
      <w:pPr>
        <w:widowControl/>
        <w:tabs>
          <w:tab w:val="left" w:pos="424"/>
        </w:tabs>
        <w:ind w:left="0"/>
        <w:contextualSpacing w:val="0"/>
        <w:rPr>
          <w:rFonts w:eastAsiaTheme="minorEastAsia"/>
          <w:rtl/>
        </w:rPr>
      </w:pPr>
      <w:r w:rsidRPr="00ED4942">
        <w:rPr>
          <w:rFonts w:eastAsiaTheme="minorEastAsia" w:hint="cs"/>
          <w:rtl/>
        </w:rPr>
        <w:t>התיקון יעבור שימוע ציבורי, במסגרת אתר קשרי ממשל.</w:t>
      </w:r>
    </w:p>
    <w:p w:rsidR="00ED4942" w:rsidRPr="00ED4942" w:rsidRDefault="00ED4942" w:rsidP="00ED4942">
      <w:pPr>
        <w:widowControl/>
        <w:tabs>
          <w:tab w:val="left" w:pos="424"/>
        </w:tabs>
        <w:ind w:left="0"/>
        <w:contextualSpacing w:val="0"/>
        <w:rPr>
          <w:rFonts w:eastAsiaTheme="minorEastAsia"/>
          <w:rtl/>
        </w:rPr>
      </w:pPr>
    </w:p>
    <w:p w:rsidR="00ED4942" w:rsidRPr="00ED4942" w:rsidRDefault="00ED4942" w:rsidP="00ED4942">
      <w:pPr>
        <w:widowControl/>
        <w:tabs>
          <w:tab w:val="left" w:pos="424"/>
        </w:tabs>
        <w:ind w:left="360" w:hanging="360"/>
        <w:outlineLvl w:val="0"/>
        <w:rPr>
          <w:rFonts w:eastAsiaTheme="minorEastAsia"/>
          <w:b/>
          <w:bCs/>
          <w:u w:val="single"/>
          <w:rtl/>
        </w:rPr>
      </w:pPr>
      <w:r w:rsidRPr="00ED4942">
        <w:rPr>
          <w:rFonts w:eastAsiaTheme="minorEastAsia"/>
          <w:b/>
          <w:bCs/>
          <w:u w:val="single"/>
          <w:rtl/>
        </w:rPr>
        <w:t>מתודולוגיה ותהליך הכנת הדוח</w:t>
      </w:r>
    </w:p>
    <w:p w:rsidR="00ED4942" w:rsidRPr="00ED4942" w:rsidRDefault="00ED4942" w:rsidP="00ED4942">
      <w:pPr>
        <w:widowControl/>
        <w:numPr>
          <w:ilvl w:val="1"/>
          <w:numId w:val="0"/>
        </w:numPr>
        <w:tabs>
          <w:tab w:val="left" w:pos="424"/>
        </w:tabs>
        <w:ind w:left="792" w:hanging="793"/>
        <w:outlineLvl w:val="1"/>
        <w:rPr>
          <w:rFonts w:eastAsiaTheme="minorEastAsia"/>
          <w:b/>
          <w:bCs/>
          <w:rtl/>
        </w:rPr>
      </w:pPr>
      <w:r w:rsidRPr="00ED4942">
        <w:rPr>
          <w:rFonts w:eastAsiaTheme="minorEastAsia"/>
          <w:b/>
          <w:bCs/>
          <w:rtl/>
        </w:rPr>
        <w:t>מתודולוגיה</w:t>
      </w:r>
    </w:p>
    <w:p w:rsidR="00ED4942" w:rsidRPr="00ED4942" w:rsidRDefault="00ED4942" w:rsidP="00ED4942">
      <w:pPr>
        <w:widowControl/>
        <w:tabs>
          <w:tab w:val="left" w:pos="424"/>
        </w:tabs>
        <w:ind w:left="0"/>
        <w:contextualSpacing w:val="0"/>
        <w:rPr>
          <w:rFonts w:eastAsiaTheme="minorEastAsia"/>
          <w:rtl/>
        </w:rPr>
      </w:pPr>
      <w:r w:rsidRPr="00ED4942">
        <w:rPr>
          <w:rFonts w:eastAsiaTheme="minorEastAsia" w:hint="cs"/>
          <w:rtl/>
        </w:rPr>
        <w:t>הדו"ח נכתב בשיח עם הרגולטור והלשכה המשפטית, ולאור הנחיית שר התחבורה לקדם את חידוד התקנות בהקדם.</w:t>
      </w:r>
    </w:p>
    <w:p w:rsidR="00ED4942" w:rsidRPr="00ED4942" w:rsidRDefault="00ED4942" w:rsidP="00ED4942">
      <w:pPr>
        <w:widowControl/>
        <w:tabs>
          <w:tab w:val="left" w:pos="424"/>
        </w:tabs>
        <w:ind w:left="0"/>
        <w:contextualSpacing w:val="0"/>
        <w:rPr>
          <w:rFonts w:eastAsiaTheme="minorEastAsia"/>
        </w:rPr>
      </w:pPr>
    </w:p>
    <w:p w:rsidR="00ED4942" w:rsidRPr="00ED4942" w:rsidRDefault="00ED4942" w:rsidP="00ED4942">
      <w:pPr>
        <w:widowControl/>
        <w:numPr>
          <w:ilvl w:val="1"/>
          <w:numId w:val="0"/>
        </w:numPr>
        <w:tabs>
          <w:tab w:val="left" w:pos="424"/>
        </w:tabs>
        <w:ind w:left="792" w:hanging="793"/>
        <w:outlineLvl w:val="1"/>
        <w:rPr>
          <w:rFonts w:eastAsiaTheme="minorEastAsia"/>
          <w:b/>
          <w:bCs/>
          <w:rtl/>
        </w:rPr>
      </w:pPr>
      <w:r w:rsidRPr="00ED4942">
        <w:rPr>
          <w:rFonts w:eastAsiaTheme="minorEastAsia"/>
          <w:b/>
          <w:bCs/>
          <w:rtl/>
        </w:rPr>
        <w:t>מקורות וחומרים</w:t>
      </w:r>
    </w:p>
    <w:p w:rsidR="00ED4942" w:rsidRPr="00ED4942" w:rsidRDefault="00ED4942" w:rsidP="00ED4942">
      <w:pPr>
        <w:widowControl/>
        <w:numPr>
          <w:ilvl w:val="0"/>
          <w:numId w:val="22"/>
        </w:numPr>
        <w:tabs>
          <w:tab w:val="left" w:pos="424"/>
        </w:tabs>
        <w:contextualSpacing w:val="0"/>
        <w:jc w:val="left"/>
        <w:rPr>
          <w:rFonts w:eastAsiaTheme="minorEastAsia"/>
        </w:rPr>
      </w:pPr>
      <w:hyperlink r:id="rId8" w:history="1">
        <w:r w:rsidRPr="00ED4942">
          <w:rPr>
            <w:rFonts w:eastAsiaTheme="minorEastAsia" w:hint="cs"/>
            <w:color w:val="0000FF"/>
            <w:u w:val="single"/>
            <w:rtl/>
          </w:rPr>
          <w:t>תקנות התעבורה</w:t>
        </w:r>
      </w:hyperlink>
      <w:r w:rsidRPr="00ED4942">
        <w:rPr>
          <w:rFonts w:eastAsiaTheme="minorEastAsia" w:hint="cs"/>
          <w:rtl/>
        </w:rPr>
        <w:t>- סעיפים 39טז, סעיף 170, סעיף 221א.</w:t>
      </w:r>
    </w:p>
    <w:p w:rsidR="00ED4942" w:rsidRPr="00ED4942" w:rsidRDefault="00ED4942" w:rsidP="00ED4942">
      <w:pPr>
        <w:widowControl/>
        <w:numPr>
          <w:ilvl w:val="0"/>
          <w:numId w:val="22"/>
        </w:numPr>
        <w:tabs>
          <w:tab w:val="left" w:pos="424"/>
        </w:tabs>
        <w:contextualSpacing w:val="0"/>
        <w:jc w:val="left"/>
        <w:rPr>
          <w:rFonts w:eastAsiaTheme="minorEastAsia"/>
        </w:rPr>
      </w:pPr>
      <w:hyperlink r:id="rId9" w:history="1">
        <w:r w:rsidRPr="00ED4942">
          <w:rPr>
            <w:rFonts w:eastAsiaTheme="minorEastAsia" w:hint="cs"/>
            <w:color w:val="0000FF"/>
            <w:u w:val="single"/>
            <w:rtl/>
          </w:rPr>
          <w:t>חוק הכניסה לישראל</w:t>
        </w:r>
      </w:hyperlink>
      <w:r w:rsidRPr="00ED4942">
        <w:rPr>
          <w:rFonts w:eastAsiaTheme="minorEastAsia" w:hint="cs"/>
          <w:rtl/>
        </w:rPr>
        <w:t>- סעיף 2(א)</w:t>
      </w:r>
    </w:p>
    <w:p w:rsidR="00B2751E" w:rsidRPr="00ED4942" w:rsidRDefault="00B2751E"/>
    <w:sectPr w:rsidR="00B2751E" w:rsidRPr="00ED4942" w:rsidSect="00740AED">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71" w:rsidRDefault="00EC6971" w:rsidP="00740AED">
      <w:pPr>
        <w:spacing w:line="240" w:lineRule="auto"/>
      </w:pPr>
      <w:r>
        <w:separator/>
      </w:r>
    </w:p>
  </w:endnote>
  <w:endnote w:type="continuationSeparator" w:id="0">
    <w:p w:rsidR="00EC6971" w:rsidRDefault="00EC6971" w:rsidP="00740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71" w:rsidRDefault="00EC6971" w:rsidP="00740AED">
      <w:pPr>
        <w:spacing w:line="240" w:lineRule="auto"/>
      </w:pPr>
      <w:r>
        <w:separator/>
      </w:r>
    </w:p>
  </w:footnote>
  <w:footnote w:type="continuationSeparator" w:id="0">
    <w:p w:rsidR="00EC6971" w:rsidRDefault="00EC6971" w:rsidP="00740AED">
      <w:pPr>
        <w:spacing w:line="240" w:lineRule="auto"/>
      </w:pPr>
      <w:r>
        <w:continuationSeparator/>
      </w:r>
    </w:p>
  </w:footnote>
  <w:footnote w:id="1">
    <w:p w:rsidR="00740AED" w:rsidRDefault="00740AED" w:rsidP="00740AED">
      <w:pPr>
        <w:pStyle w:val="a5"/>
      </w:pPr>
      <w:r>
        <w:rPr>
          <w:rStyle w:val="a7"/>
        </w:rPr>
        <w:footnoteRef/>
      </w:r>
      <w:r>
        <w:rPr>
          <w:rtl/>
        </w:rPr>
        <w:t xml:space="preserve"> </w:t>
      </w:r>
      <w:r w:rsidRPr="00740AED">
        <w:rPr>
          <w:rFonts w:hint="cs"/>
          <w:rtl/>
        </w:rPr>
        <w:t>ד</w:t>
      </w:r>
      <w:r>
        <w:rPr>
          <w:rFonts w:hint="cs"/>
          <w:rtl/>
        </w:rPr>
        <w:t>י</w:t>
      </w:r>
      <w:r w:rsidRPr="00740AED">
        <w:rPr>
          <w:rFonts w:hint="cs"/>
          <w:rtl/>
        </w:rPr>
        <w:t>ני מדינת ישראל נוסח חדש</w:t>
      </w:r>
      <w:r>
        <w:rPr>
          <w:rFonts w:hint="cs"/>
          <w:rtl/>
        </w:rPr>
        <w:t xml:space="preserve"> </w:t>
      </w:r>
      <w:r w:rsidRPr="00740AED">
        <w:rPr>
          <w:rFonts w:hint="cs"/>
          <w:rtl/>
        </w:rPr>
        <w:t xml:space="preserve">7, עמ' </w:t>
      </w:r>
      <w:r>
        <w:rPr>
          <w:rFonts w:hint="cs"/>
          <w:rtl/>
        </w:rPr>
        <w:t>173.</w:t>
      </w:r>
    </w:p>
  </w:footnote>
  <w:footnote w:id="2">
    <w:p w:rsidR="00740AED" w:rsidRDefault="00740AED">
      <w:pPr>
        <w:pStyle w:val="a5"/>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התשכ"א</w:t>
      </w:r>
      <w:proofErr w:type="spellEnd"/>
      <w:r>
        <w:rPr>
          <w:rFonts w:hint="cs"/>
          <w:rtl/>
        </w:rPr>
        <w:t>, עמ' 1425;התשע"ט...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7C561D"/>
    <w:multiLevelType w:val="hybridMultilevel"/>
    <w:tmpl w:val="A192DB9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53965E29"/>
    <w:multiLevelType w:val="hybridMultilevel"/>
    <w:tmpl w:val="208C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79C29BE"/>
    <w:multiLevelType w:val="hybridMultilevel"/>
    <w:tmpl w:val="2070DB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1"/>
  </w:num>
  <w:num w:numId="6">
    <w:abstractNumId w:val="18"/>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4"/>
    <w:lvlOverride w:ilvl="0">
      <w:startOverride w:val="1"/>
    </w:lvlOverride>
  </w:num>
  <w:num w:numId="18">
    <w:abstractNumId w:val="10"/>
  </w:num>
  <w:num w:numId="19">
    <w:abstractNumId w:val="15"/>
  </w:num>
  <w:num w:numId="20">
    <w:abstractNumId w:val="16"/>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ED"/>
    <w:rsid w:val="000B0594"/>
    <w:rsid w:val="0010075E"/>
    <w:rsid w:val="005C2874"/>
    <w:rsid w:val="0062276A"/>
    <w:rsid w:val="00740AED"/>
    <w:rsid w:val="007C5499"/>
    <w:rsid w:val="0081152A"/>
    <w:rsid w:val="00B2751E"/>
    <w:rsid w:val="00BD55FD"/>
    <w:rsid w:val="00BF5920"/>
    <w:rsid w:val="00C829A0"/>
    <w:rsid w:val="00EC6971"/>
    <w:rsid w:val="00ED4942"/>
    <w:rsid w:val="00F032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9E8C7-E636-4B46-B158-188B0B2C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AED"/>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740AED"/>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740AED"/>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740AED"/>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740AED"/>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740AED"/>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40AED"/>
    <w:rPr>
      <w:rFonts w:asciiTheme="majorHAnsi" w:eastAsiaTheme="majorEastAsia" w:hAnsiTheme="majorHAnsi" w:cs="David"/>
      <w:bCs/>
      <w:sz w:val="32"/>
      <w:szCs w:val="36"/>
    </w:rPr>
  </w:style>
  <w:style w:type="character" w:customStyle="1" w:styleId="40">
    <w:name w:val="כותרת 4 תו"/>
    <w:basedOn w:val="a0"/>
    <w:link w:val="4"/>
    <w:uiPriority w:val="9"/>
    <w:rsid w:val="00740AED"/>
    <w:rPr>
      <w:rFonts w:ascii="David" w:hAnsi="David" w:cs="David"/>
      <w:b/>
      <w:bCs/>
      <w:color w:val="000000" w:themeColor="text1"/>
      <w:sz w:val="24"/>
      <w:szCs w:val="28"/>
    </w:rPr>
  </w:style>
  <w:style w:type="paragraph" w:customStyle="1" w:styleId="TableText">
    <w:name w:val="Table Text"/>
    <w:basedOn w:val="a"/>
    <w:rsid w:val="00740AED"/>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740AED"/>
    <w:pPr>
      <w:outlineLvl w:val="2"/>
    </w:pPr>
  </w:style>
  <w:style w:type="paragraph" w:customStyle="1" w:styleId="TableBlock">
    <w:name w:val="Table Block"/>
    <w:basedOn w:val="TableText"/>
    <w:rsid w:val="00740AED"/>
    <w:pPr>
      <w:jc w:val="both"/>
    </w:pPr>
  </w:style>
  <w:style w:type="paragraph" w:customStyle="1" w:styleId="TableHead">
    <w:name w:val="Table Head"/>
    <w:basedOn w:val="TableText"/>
    <w:rsid w:val="00740AED"/>
    <w:pPr>
      <w:jc w:val="center"/>
      <w:outlineLvl w:val="1"/>
    </w:pPr>
    <w:rPr>
      <w:b/>
      <w:bCs/>
    </w:rPr>
  </w:style>
  <w:style w:type="paragraph" w:customStyle="1" w:styleId="HeadMitparsemetBaze">
    <w:name w:val="Head MitparsemetBaze"/>
    <w:basedOn w:val="a"/>
    <w:rsid w:val="00740AED"/>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740AED"/>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740AED"/>
    <w:pPr>
      <w:tabs>
        <w:tab w:val="left" w:pos="680"/>
        <w:tab w:val="left" w:pos="1020"/>
      </w:tabs>
      <w:ind w:firstLine="0"/>
    </w:pPr>
  </w:style>
  <w:style w:type="paragraph" w:customStyle="1" w:styleId="HeadDivreiHesber">
    <w:name w:val="Head DivreiHesber"/>
    <w:basedOn w:val="a"/>
    <w:rsid w:val="00740AED"/>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740AED"/>
    <w:rPr>
      <w:rFonts w:asciiTheme="majorHAnsi" w:eastAsiaTheme="majorEastAsia" w:hAnsiTheme="majorHAnsi" w:cs="David"/>
      <w:bCs/>
      <w:sz w:val="26"/>
      <w:szCs w:val="36"/>
      <w:u w:val="single"/>
    </w:rPr>
  </w:style>
  <w:style w:type="character" w:customStyle="1" w:styleId="30">
    <w:name w:val="כותרת 3 תו"/>
    <w:basedOn w:val="a0"/>
    <w:link w:val="3"/>
    <w:rsid w:val="00740AED"/>
    <w:rPr>
      <w:rFonts w:asciiTheme="majorHAnsi" w:eastAsiaTheme="majorEastAsia" w:hAnsiTheme="majorHAnsi" w:cs="David"/>
      <w:sz w:val="24"/>
      <w:szCs w:val="28"/>
      <w:u w:val="double"/>
    </w:rPr>
  </w:style>
  <w:style w:type="character" w:customStyle="1" w:styleId="50">
    <w:name w:val="כותרת 5 תו"/>
    <w:basedOn w:val="a0"/>
    <w:link w:val="5"/>
    <w:uiPriority w:val="9"/>
    <w:rsid w:val="00740AED"/>
    <w:rPr>
      <w:rFonts w:ascii="David" w:hAnsi="David" w:cs="David"/>
      <w:color w:val="000000" w:themeColor="text1"/>
      <w:sz w:val="24"/>
      <w:szCs w:val="24"/>
    </w:rPr>
  </w:style>
  <w:style w:type="paragraph" w:customStyle="1" w:styleId="HeadHatzaotHok4Futer">
    <w:name w:val="Head HatzaotHok4Futer"/>
    <w:basedOn w:val="HeadHatzaotHok"/>
    <w:rsid w:val="00740AED"/>
    <w:pPr>
      <w:spacing w:before="120" w:after="120"/>
    </w:pPr>
    <w:rPr>
      <w:color w:val="FF0000"/>
      <w:w w:val="80"/>
    </w:rPr>
  </w:style>
  <w:style w:type="paragraph" w:styleId="a3">
    <w:name w:val="endnote text"/>
    <w:basedOn w:val="a"/>
    <w:link w:val="a4"/>
    <w:semiHidden/>
    <w:rsid w:val="00740AED"/>
    <w:pPr>
      <w:ind w:left="227" w:hanging="227"/>
    </w:pPr>
    <w:rPr>
      <w:sz w:val="14"/>
      <w:szCs w:val="22"/>
    </w:rPr>
  </w:style>
  <w:style w:type="character" w:customStyle="1" w:styleId="a4">
    <w:name w:val="טקסט הערת סיום תו"/>
    <w:basedOn w:val="a0"/>
    <w:link w:val="a3"/>
    <w:semiHidden/>
    <w:rsid w:val="00740AED"/>
    <w:rPr>
      <w:rFonts w:ascii="David" w:hAnsi="David" w:cs="David"/>
      <w:sz w:val="14"/>
    </w:rPr>
  </w:style>
  <w:style w:type="paragraph" w:customStyle="1" w:styleId="TableInnerSideHeading">
    <w:name w:val="Table InnerSideHeading"/>
    <w:basedOn w:val="TableSideHeading"/>
    <w:rsid w:val="00740AED"/>
    <w:pPr>
      <w:outlineLvl w:val="9"/>
    </w:pPr>
  </w:style>
  <w:style w:type="paragraph" w:customStyle="1" w:styleId="Hesber">
    <w:name w:val="Hesber"/>
    <w:basedOn w:val="a"/>
    <w:rsid w:val="00740AED"/>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740AED"/>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740AED"/>
    <w:rPr>
      <w:rFonts w:ascii="Arial" w:eastAsia="Arial Unicode MS" w:hAnsi="Arial" w:cs="David"/>
      <w:snapToGrid w:val="0"/>
      <w:sz w:val="14"/>
      <w:szCs w:val="20"/>
    </w:rPr>
  </w:style>
  <w:style w:type="character" w:styleId="a7">
    <w:name w:val="footnote reference"/>
    <w:aliases w:val="Footnote Reference"/>
    <w:basedOn w:val="a0"/>
    <w:semiHidden/>
    <w:rsid w:val="00740AED"/>
    <w:rPr>
      <w:vertAlign w:val="superscript"/>
    </w:rPr>
  </w:style>
  <w:style w:type="paragraph" w:customStyle="1" w:styleId="HesberHeading">
    <w:name w:val="Hesber Heading"/>
    <w:basedOn w:val="Hesber"/>
    <w:rsid w:val="00740AED"/>
    <w:pPr>
      <w:tabs>
        <w:tab w:val="left" w:pos="624"/>
        <w:tab w:val="left" w:pos="1247"/>
      </w:tabs>
    </w:pPr>
    <w:rPr>
      <w:b/>
      <w:bCs/>
    </w:rPr>
  </w:style>
  <w:style w:type="paragraph" w:customStyle="1" w:styleId="HesberWriters">
    <w:name w:val="Hesber Writers"/>
    <w:basedOn w:val="Hesber"/>
    <w:rsid w:val="00740AED"/>
    <w:pPr>
      <w:spacing w:before="120" w:after="120"/>
      <w:ind w:left="1418"/>
      <w:jc w:val="right"/>
    </w:pPr>
    <w:rPr>
      <w:b/>
      <w:bCs/>
    </w:rPr>
  </w:style>
  <w:style w:type="character" w:styleId="a8">
    <w:name w:val="endnote reference"/>
    <w:basedOn w:val="a0"/>
    <w:semiHidden/>
    <w:rsid w:val="00740AED"/>
    <w:rPr>
      <w:vertAlign w:val="superscript"/>
    </w:rPr>
  </w:style>
  <w:style w:type="paragraph" w:customStyle="1" w:styleId="TableBlockOutdent">
    <w:name w:val="Table BlockOutdent"/>
    <w:basedOn w:val="TableBlock"/>
    <w:rsid w:val="00740AED"/>
    <w:pPr>
      <w:ind w:left="624" w:hanging="624"/>
    </w:pPr>
  </w:style>
  <w:style w:type="paragraph" w:styleId="a9">
    <w:name w:val="header"/>
    <w:basedOn w:val="a"/>
    <w:link w:val="aa"/>
    <w:rsid w:val="00740AED"/>
    <w:pPr>
      <w:tabs>
        <w:tab w:val="center" w:pos="4153"/>
        <w:tab w:val="right" w:pos="8306"/>
      </w:tabs>
    </w:pPr>
  </w:style>
  <w:style w:type="character" w:customStyle="1" w:styleId="aa">
    <w:name w:val="כותרת עליונה תו"/>
    <w:basedOn w:val="a0"/>
    <w:link w:val="a9"/>
    <w:rsid w:val="00740AED"/>
    <w:rPr>
      <w:rFonts w:ascii="David" w:hAnsi="David" w:cs="David"/>
      <w:sz w:val="24"/>
      <w:szCs w:val="24"/>
    </w:rPr>
  </w:style>
  <w:style w:type="paragraph" w:styleId="ab">
    <w:name w:val="footer"/>
    <w:basedOn w:val="a"/>
    <w:link w:val="ac"/>
    <w:rsid w:val="00740AED"/>
    <w:pPr>
      <w:tabs>
        <w:tab w:val="center" w:pos="4153"/>
        <w:tab w:val="right" w:pos="8306"/>
      </w:tabs>
    </w:pPr>
  </w:style>
  <w:style w:type="character" w:customStyle="1" w:styleId="ac">
    <w:name w:val="כותרת תחתונה תו"/>
    <w:basedOn w:val="a0"/>
    <w:link w:val="ab"/>
    <w:rsid w:val="00740AED"/>
    <w:rPr>
      <w:rFonts w:ascii="David" w:hAnsi="David" w:cs="David"/>
      <w:sz w:val="24"/>
      <w:szCs w:val="24"/>
    </w:rPr>
  </w:style>
  <w:style w:type="character" w:styleId="ad">
    <w:name w:val="page number"/>
    <w:basedOn w:val="a0"/>
    <w:rsid w:val="00740AED"/>
  </w:style>
  <w:style w:type="paragraph" w:customStyle="1" w:styleId="Cover1-Reshumot">
    <w:name w:val="Cover 1-Reshumot"/>
    <w:basedOn w:val="a"/>
    <w:rsid w:val="00740AED"/>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740AED"/>
    <w:rPr>
      <w:sz w:val="36"/>
      <w:szCs w:val="52"/>
    </w:rPr>
  </w:style>
  <w:style w:type="paragraph" w:customStyle="1" w:styleId="Cover3-Haknesset">
    <w:name w:val="Cover 3-Haknesset"/>
    <w:basedOn w:val="Cover1-Reshumot"/>
    <w:rsid w:val="00740AED"/>
    <w:rPr>
      <w:b/>
      <w:bCs/>
      <w:spacing w:val="60"/>
    </w:rPr>
  </w:style>
  <w:style w:type="paragraph" w:customStyle="1" w:styleId="Cover4-Date">
    <w:name w:val="Cover 4-Date"/>
    <w:basedOn w:val="a"/>
    <w:rsid w:val="00740AED"/>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740AED"/>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740AED"/>
    <w:pPr>
      <w:widowControl/>
      <w:spacing w:before="120" w:after="120"/>
      <w:outlineLvl w:val="9"/>
    </w:pPr>
    <w:rPr>
      <w:rtl/>
      <w:cs/>
    </w:rPr>
  </w:style>
  <w:style w:type="paragraph" w:styleId="TOC1">
    <w:name w:val="toc 1"/>
    <w:basedOn w:val="a"/>
    <w:next w:val="a"/>
    <w:autoRedefine/>
    <w:uiPriority w:val="39"/>
    <w:unhideWhenUsed/>
    <w:rsid w:val="00740AED"/>
    <w:pPr>
      <w:tabs>
        <w:tab w:val="right" w:leader="dot" w:pos="9629"/>
      </w:tabs>
      <w:spacing w:after="100"/>
    </w:pPr>
    <w:rPr>
      <w:bCs/>
      <w:szCs w:val="22"/>
    </w:rPr>
  </w:style>
  <w:style w:type="paragraph" w:styleId="TOC2">
    <w:name w:val="toc 2"/>
    <w:basedOn w:val="a"/>
    <w:next w:val="a"/>
    <w:uiPriority w:val="39"/>
    <w:unhideWhenUsed/>
    <w:rsid w:val="00740AED"/>
    <w:pPr>
      <w:tabs>
        <w:tab w:val="right" w:leader="dot" w:pos="9628"/>
      </w:tabs>
      <w:spacing w:after="100"/>
    </w:pPr>
    <w:rPr>
      <w:szCs w:val="22"/>
    </w:rPr>
  </w:style>
  <w:style w:type="character" w:styleId="Hyperlink">
    <w:name w:val="Hyperlink"/>
    <w:basedOn w:val="a0"/>
    <w:uiPriority w:val="99"/>
    <w:unhideWhenUsed/>
    <w:rsid w:val="00740AED"/>
    <w:rPr>
      <w:color w:val="0563C1" w:themeColor="hyperlink"/>
      <w:u w:val="single"/>
    </w:rPr>
  </w:style>
  <w:style w:type="paragraph" w:styleId="TOC3">
    <w:name w:val="toc 3"/>
    <w:basedOn w:val="a"/>
    <w:next w:val="a"/>
    <w:uiPriority w:val="39"/>
    <w:unhideWhenUsed/>
    <w:rsid w:val="00740AED"/>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740AED"/>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740AED"/>
    <w:pPr>
      <w:tabs>
        <w:tab w:val="right" w:leader="dot" w:pos="9628"/>
      </w:tabs>
      <w:spacing w:after="100"/>
      <w:ind w:left="567"/>
    </w:pPr>
    <w:rPr>
      <w:szCs w:val="22"/>
    </w:rPr>
  </w:style>
  <w:style w:type="paragraph" w:styleId="TOC6">
    <w:name w:val="toc 6"/>
    <w:basedOn w:val="a"/>
    <w:next w:val="a"/>
    <w:autoRedefine/>
    <w:semiHidden/>
    <w:unhideWhenUsed/>
    <w:rsid w:val="00740AED"/>
    <w:pPr>
      <w:spacing w:after="100"/>
      <w:ind w:left="850"/>
    </w:pPr>
  </w:style>
  <w:style w:type="paragraph" w:styleId="TOC7">
    <w:name w:val="toc 7"/>
    <w:basedOn w:val="a"/>
    <w:next w:val="a"/>
    <w:autoRedefine/>
    <w:semiHidden/>
    <w:unhideWhenUsed/>
    <w:rsid w:val="00740AED"/>
    <w:pPr>
      <w:spacing w:after="100"/>
      <w:ind w:left="1020"/>
    </w:pPr>
  </w:style>
  <w:style w:type="paragraph" w:styleId="TOC8">
    <w:name w:val="toc 8"/>
    <w:basedOn w:val="a"/>
    <w:next w:val="a"/>
    <w:autoRedefine/>
    <w:semiHidden/>
    <w:unhideWhenUsed/>
    <w:rsid w:val="00740AED"/>
    <w:pPr>
      <w:spacing w:after="100"/>
      <w:ind w:left="1190"/>
    </w:pPr>
  </w:style>
  <w:style w:type="paragraph" w:styleId="TOC9">
    <w:name w:val="toc 9"/>
    <w:basedOn w:val="a"/>
    <w:next w:val="a"/>
    <w:autoRedefine/>
    <w:semiHidden/>
    <w:unhideWhenUsed/>
    <w:rsid w:val="00740AED"/>
    <w:pPr>
      <w:spacing w:after="100"/>
      <w:ind w:left="1360"/>
    </w:pPr>
  </w:style>
  <w:style w:type="paragraph" w:customStyle="1" w:styleId="TableHead2">
    <w:name w:val="Table Head2"/>
    <w:basedOn w:val="TableHead"/>
    <w:qFormat/>
    <w:rsid w:val="00740AED"/>
    <w:pPr>
      <w:outlineLvl w:val="9"/>
    </w:pPr>
  </w:style>
  <w:style w:type="paragraph" w:customStyle="1" w:styleId="TableSideHeading2">
    <w:name w:val="Table SideHeading2"/>
    <w:basedOn w:val="TableSideHeading"/>
    <w:autoRedefine/>
    <w:qFormat/>
    <w:rsid w:val="00740AED"/>
    <w:pPr>
      <w:keepLines w:val="0"/>
      <w:outlineLvl w:val="9"/>
    </w:pPr>
  </w:style>
  <w:style w:type="paragraph" w:customStyle="1" w:styleId="0">
    <w:name w:val="סגנון שורה ראשונה:  0  ס''מ"/>
    <w:basedOn w:val="2"/>
    <w:rsid w:val="00740AED"/>
    <w:rPr>
      <w:rFonts w:eastAsia="Times New Roman"/>
    </w:rPr>
  </w:style>
  <w:style w:type="paragraph" w:styleId="af">
    <w:name w:val="List Paragraph"/>
    <w:basedOn w:val="a"/>
    <w:uiPriority w:val="34"/>
    <w:qFormat/>
    <w:rsid w:val="00740AED"/>
    <w:pPr>
      <w:widowControl/>
      <w:spacing w:line="259" w:lineRule="auto"/>
    </w:pPr>
    <w:rPr>
      <w:rFonts w:asciiTheme="minorHAnsi" w:hAnsiTheme="minorHAnsi"/>
      <w:sz w:val="22"/>
    </w:rPr>
  </w:style>
  <w:style w:type="table" w:styleId="af0">
    <w:name w:val="Table Grid"/>
    <w:basedOn w:val="a1"/>
    <w:rsid w:val="00740AE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740AE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740AE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740AED"/>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740AED"/>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BF5920"/>
    <w:rPr>
      <w:sz w:val="16"/>
      <w:szCs w:val="16"/>
    </w:rPr>
  </w:style>
  <w:style w:type="paragraph" w:styleId="af3">
    <w:name w:val="annotation text"/>
    <w:basedOn w:val="a"/>
    <w:link w:val="af4"/>
    <w:uiPriority w:val="99"/>
    <w:semiHidden/>
    <w:unhideWhenUsed/>
    <w:rsid w:val="00BF5920"/>
    <w:pPr>
      <w:widowControl/>
      <w:spacing w:after="160" w:line="240" w:lineRule="auto"/>
      <w:ind w:left="0"/>
      <w:contextualSpacing w:val="0"/>
      <w:jc w:val="left"/>
    </w:pPr>
    <w:rPr>
      <w:rFonts w:asciiTheme="minorHAnsi" w:hAnsiTheme="minorHAnsi" w:cstheme="minorBidi"/>
      <w:sz w:val="20"/>
      <w:szCs w:val="20"/>
    </w:rPr>
  </w:style>
  <w:style w:type="character" w:customStyle="1" w:styleId="af4">
    <w:name w:val="טקסט הערה תו"/>
    <w:basedOn w:val="a0"/>
    <w:link w:val="af3"/>
    <w:uiPriority w:val="99"/>
    <w:semiHidden/>
    <w:rsid w:val="00BF5920"/>
    <w:rPr>
      <w:sz w:val="20"/>
      <w:szCs w:val="20"/>
    </w:rPr>
  </w:style>
  <w:style w:type="paragraph" w:styleId="af5">
    <w:name w:val="Balloon Text"/>
    <w:basedOn w:val="a"/>
    <w:link w:val="af6"/>
    <w:uiPriority w:val="99"/>
    <w:semiHidden/>
    <w:unhideWhenUsed/>
    <w:rsid w:val="00BF5920"/>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BF592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o.co.il/law_html/Law01/p230_011.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vo.co.il/law_html/Law01/189_003.htm" TargetMode="External"/><Relationship Id="rId14" Type="http://schemas.openxmlformats.org/officeDocument/2006/relationships/customXml" Target="../customXml/item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fNumber xmlns="d2589617-2f74-4077-aee7-f516ed639388">45501</RefNumber>
  </documentManagement>
</p:properties>
</file>

<file path=customXml/itemProps1.xml><?xml version="1.0" encoding="utf-8"?>
<ds:datastoreItem xmlns:ds="http://schemas.openxmlformats.org/officeDocument/2006/customXml" ds:itemID="{533DD949-509D-428A-B0AA-6A1F06E9B467}"/>
</file>

<file path=customXml/itemProps2.xml><?xml version="1.0" encoding="utf-8"?>
<ds:datastoreItem xmlns:ds="http://schemas.openxmlformats.org/officeDocument/2006/customXml" ds:itemID="{757504FE-A27C-4F8D-BFFA-DD3856AB0E4E}"/>
</file>

<file path=customXml/itemProps3.xml><?xml version="1.0" encoding="utf-8"?>
<ds:datastoreItem xmlns:ds="http://schemas.openxmlformats.org/officeDocument/2006/customXml" ds:itemID="{77526946-F41C-458B-B593-6950AC70B16A}"/>
</file>

<file path=customXml/itemProps4.xml><?xml version="1.0" encoding="utf-8"?>
<ds:datastoreItem xmlns:ds="http://schemas.openxmlformats.org/officeDocument/2006/customXml" ds:itemID="{8F23C538-1A5C-4F29-A4B9-82F89FAED8AF}"/>
</file>

<file path=docProps/app.xml><?xml version="1.0" encoding="utf-8"?>
<Properties xmlns="http://schemas.openxmlformats.org/officeDocument/2006/extended-properties" xmlns:vt="http://schemas.openxmlformats.org/officeDocument/2006/docPropsVTypes">
  <Template>Normal</Template>
  <TotalTime>7</TotalTime>
  <Pages>4</Pages>
  <Words>844</Words>
  <Characters>4220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MOT</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תקנות אופנים חשמלים תושב והתליה אמצעי תיקון נוסח להערות ציבור.docx</dc:title>
  <dc:subject/>
  <dc:creator>תמי פרידמן</dc:creator>
  <cp:keywords/>
  <dc:description/>
  <cp:lastModifiedBy>חוה ראובני</cp:lastModifiedBy>
  <cp:revision>3</cp:revision>
  <cp:lastPrinted>2020-01-01T05:46:00Z</cp:lastPrinted>
  <dcterms:created xsi:type="dcterms:W3CDTF">2020-01-14T08:27:00Z</dcterms:created>
  <dcterms:modified xsi:type="dcterms:W3CDTF">2020-01-14T08:34:00Z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