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72" w:type="dxa"/>
        <w:tblLook w:val="0000" w:firstRow="0" w:lastRow="0" w:firstColumn="0" w:lastColumn="0" w:noHBand="0" w:noVBand="0"/>
      </w:tblPr>
      <w:tblGrid>
        <w:gridCol w:w="9"/>
        <w:gridCol w:w="8354"/>
        <w:gridCol w:w="9"/>
      </w:tblGrid>
      <w:tr w:rsidR="00036227" w:rsidTr="00DE3381">
        <w:trPr>
          <w:gridBefore w:val="1"/>
          <w:wBefore w:w="9" w:type="dxa"/>
        </w:trPr>
        <w:tc>
          <w:tcPr>
            <w:tcW w:w="8363" w:type="dxa"/>
            <w:gridSpan w:val="2"/>
          </w:tcPr>
          <w:p w:rsidR="00916FF8" w:rsidRPr="00624A42" w:rsidRDefault="00B657C5" w:rsidP="004C7868">
            <w:pPr>
              <w:pStyle w:val="FileNumber0"/>
              <w:rPr>
                <w:sz w:val="28"/>
                <w:u w:val="single"/>
                <w:rtl/>
              </w:rPr>
            </w:pPr>
            <w:r>
              <w:rPr>
                <w:u w:val="single"/>
                <w:rtl/>
              </w:rPr>
              <w:t xml:space="preserve">בבית המשפט העליון </w:t>
            </w:r>
          </w:p>
        </w:tc>
      </w:tr>
      <w:tr w:rsidR="00036227" w:rsidTr="00DE3381">
        <w:trPr>
          <w:gridAfter w:val="1"/>
          <w:wAfter w:w="9" w:type="dxa"/>
          <w:trHeight w:val="342"/>
        </w:trPr>
        <w:tc>
          <w:tcPr>
            <w:tcW w:w="8363" w:type="dxa"/>
            <w:gridSpan w:val="2"/>
          </w:tcPr>
          <w:p w:rsidR="00916FF8" w:rsidRPr="00810894" w:rsidRDefault="00B657C5">
            <w:pPr>
              <w:pStyle w:val="FileNumber"/>
              <w:rPr>
                <w:sz w:val="28"/>
                <w:szCs w:val="28"/>
              </w:rPr>
            </w:pPr>
            <w:bookmarkStart w:id="0" w:name="casename_body"/>
            <w:proofErr w:type="spellStart"/>
            <w:r>
              <w:rPr>
                <w:sz w:val="28"/>
                <w:szCs w:val="28"/>
                <w:rtl/>
              </w:rPr>
              <w:t>דנג"ץ</w:t>
            </w:r>
            <w:proofErr w:type="spellEnd"/>
            <w:r>
              <w:rPr>
                <w:sz w:val="28"/>
                <w:szCs w:val="28"/>
                <w:rtl/>
              </w:rPr>
              <w:t xml:space="preserve">  8537/18</w:t>
            </w:r>
          </w:p>
        </w:tc>
      </w:tr>
      <w:bookmarkEnd w:id="0"/>
    </w:tbl>
    <w:p w:rsidR="00916FF8" w:rsidRDefault="00916FF8">
      <w:pPr>
        <w:jc w:val="right"/>
        <w:rPr>
          <w:rFonts w:cs="Miriam"/>
          <w:b/>
          <w:bCs/>
          <w:u w:val="single"/>
        </w:rPr>
      </w:pPr>
    </w:p>
    <w:tbl>
      <w:tblPr>
        <w:bidiVisual/>
        <w:tblW w:w="8372" w:type="dxa"/>
        <w:tblLook w:val="0000" w:firstRow="0" w:lastRow="0" w:firstColumn="0" w:lastColumn="0" w:noHBand="0" w:noVBand="0"/>
      </w:tblPr>
      <w:tblGrid>
        <w:gridCol w:w="3213"/>
        <w:gridCol w:w="5159"/>
      </w:tblGrid>
      <w:tr w:rsidR="00C94AF1" w:rsidTr="00760584">
        <w:trPr>
          <w:trHeight w:val="287"/>
        </w:trPr>
        <w:tc>
          <w:tcPr>
            <w:tcW w:w="3210" w:type="dxa"/>
          </w:tcPr>
          <w:p w:rsidR="00C94AF1" w:rsidRDefault="00C94AF1" w:rsidP="00760584">
            <w:pPr>
              <w:pStyle w:val="BodyRuller"/>
              <w:rPr>
                <w:rFonts w:cs="Miriam"/>
                <w:b/>
                <w:bCs/>
                <w:u w:val="single"/>
              </w:rPr>
            </w:pPr>
            <w:r>
              <w:rPr>
                <w:rFonts w:hint="cs"/>
                <w:rtl/>
              </w:rPr>
              <w:t>ל</w:t>
            </w:r>
            <w:r>
              <w:rPr>
                <w:rtl/>
              </w:rPr>
              <w:t>פני:</w:t>
            </w:r>
            <w:r>
              <w:rPr>
                <w:rtl/>
              </w:rPr>
              <w:tab/>
            </w:r>
          </w:p>
        </w:tc>
        <w:tc>
          <w:tcPr>
            <w:tcW w:w="5154" w:type="dxa"/>
          </w:tcPr>
          <w:p w:rsidR="00C94AF1" w:rsidRDefault="00C94AF1" w:rsidP="00760584">
            <w:pPr>
              <w:pStyle w:val="BodyRuller"/>
            </w:pPr>
            <w:r>
              <w:rPr>
                <w:rtl/>
              </w:rPr>
              <w:t>כבוד הנשיאה א' חיות</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המשנה לנשיאה (בדימ') ח' מלצר</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השופט נ' הנדל</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השופט ע' פוגלמן</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השופט י' עמית</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השופט נ' סולברג</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השופטת ד' ברק-ארז</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השופט ד' מינץ</w:t>
            </w:r>
          </w:p>
        </w:tc>
      </w:tr>
      <w:tr w:rsidR="00C94AF1" w:rsidTr="00760584">
        <w:trPr>
          <w:trHeight w:val="287"/>
        </w:trPr>
        <w:tc>
          <w:tcPr>
            <w:tcW w:w="3210" w:type="dxa"/>
          </w:tcPr>
          <w:p w:rsidR="00C94AF1" w:rsidRDefault="00C94AF1" w:rsidP="00760584">
            <w:pPr>
              <w:pStyle w:val="BodyRuller"/>
              <w:rPr>
                <w:rtl/>
              </w:rPr>
            </w:pPr>
          </w:p>
        </w:tc>
        <w:tc>
          <w:tcPr>
            <w:tcW w:w="5154" w:type="dxa"/>
          </w:tcPr>
          <w:p w:rsidR="00C94AF1" w:rsidRDefault="00C94AF1" w:rsidP="00760584">
            <w:pPr>
              <w:pStyle w:val="BodyRuller"/>
              <w:rPr>
                <w:rtl/>
              </w:rPr>
            </w:pPr>
            <w:r>
              <w:rPr>
                <w:rtl/>
              </w:rPr>
              <w:t>כבוד השופט א' שטיין</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642972" w:rsidTr="00760584">
        <w:trPr>
          <w:trHeight w:val="287"/>
        </w:trPr>
        <w:tc>
          <w:tcPr>
            <w:tcW w:w="3261" w:type="dxa"/>
          </w:tcPr>
          <w:p w:rsidR="00642972" w:rsidRPr="00523686" w:rsidRDefault="00642972" w:rsidP="00760584">
            <w:pPr>
              <w:pStyle w:val="BodyRuller"/>
              <w:rPr>
                <w:rFonts w:ascii="David" w:hAnsi="David"/>
              </w:rPr>
            </w:pPr>
            <w:r>
              <w:rPr>
                <w:rFonts w:ascii="David" w:hAnsi="David"/>
                <w:rtl/>
              </w:rPr>
              <w:t>המבקש</w:t>
            </w:r>
            <w:r>
              <w:rPr>
                <w:rFonts w:ascii="David" w:hAnsi="David" w:hint="cs"/>
                <w:rtl/>
              </w:rPr>
              <w:t>ת</w:t>
            </w:r>
            <w:r>
              <w:rPr>
                <w:rFonts w:ascii="David" w:hAnsi="David"/>
                <w:rtl/>
              </w:rPr>
              <w:t>:</w:t>
            </w:r>
          </w:p>
        </w:tc>
        <w:tc>
          <w:tcPr>
            <w:tcW w:w="5239" w:type="dxa"/>
          </w:tcPr>
          <w:p w:rsidR="00642972" w:rsidRDefault="00642972" w:rsidP="00760584">
            <w:pPr>
              <w:pStyle w:val="BodyRuller"/>
            </w:pPr>
            <w:r>
              <w:rPr>
                <w:rtl/>
              </w:rPr>
              <w:t>פלוני</w:t>
            </w:r>
            <w:r>
              <w:rPr>
                <w:rFonts w:hint="cs"/>
                <w:rtl/>
              </w:rPr>
              <w:t>ת</w:t>
            </w:r>
          </w:p>
        </w:tc>
      </w:tr>
    </w:tbl>
    <w:p w:rsidR="00642972" w:rsidRDefault="00642972" w:rsidP="00642972">
      <w:pPr>
        <w:pStyle w:val="Ruller3"/>
      </w:pPr>
      <w:r>
        <w:tab/>
      </w:r>
    </w:p>
    <w:tbl>
      <w:tblPr>
        <w:bidiVisual/>
        <w:tblW w:w="8363" w:type="dxa"/>
        <w:tblLook w:val="0000" w:firstRow="0" w:lastRow="0" w:firstColumn="0" w:lastColumn="0" w:noHBand="0" w:noVBand="0"/>
      </w:tblPr>
      <w:tblGrid>
        <w:gridCol w:w="3222"/>
        <w:gridCol w:w="5141"/>
      </w:tblGrid>
      <w:tr w:rsidR="00642972" w:rsidTr="00760584">
        <w:tc>
          <w:tcPr>
            <w:tcW w:w="3284" w:type="dxa"/>
          </w:tcPr>
          <w:p w:rsidR="00642972" w:rsidRDefault="00642972" w:rsidP="00760584">
            <w:pPr>
              <w:pStyle w:val="BodyRuller"/>
            </w:pPr>
          </w:p>
        </w:tc>
        <w:tc>
          <w:tcPr>
            <w:tcW w:w="5238" w:type="dxa"/>
          </w:tcPr>
          <w:p w:rsidR="00642972" w:rsidRDefault="00642972" w:rsidP="00760584">
            <w:pPr>
              <w:pStyle w:val="BodyRuller"/>
            </w:pPr>
            <w:r>
              <w:rPr>
                <w:rFonts w:hint="cs"/>
                <w:rtl/>
              </w:rPr>
              <w:t>נ</w:t>
            </w:r>
            <w:r>
              <w:t xml:space="preserve">  </w:t>
            </w:r>
            <w:r>
              <w:rPr>
                <w:rFonts w:hint="cs"/>
                <w:rtl/>
              </w:rPr>
              <w:t>ג</w:t>
            </w:r>
            <w:r>
              <w:t xml:space="preserve">  </w:t>
            </w:r>
            <w:r>
              <w:rPr>
                <w:rFonts w:hint="cs"/>
                <w:rtl/>
              </w:rPr>
              <w:t>ד</w:t>
            </w:r>
          </w:p>
        </w:tc>
      </w:tr>
    </w:tbl>
    <w:p w:rsidR="00642972" w:rsidRDefault="00642972" w:rsidP="00642972">
      <w:pPr>
        <w:pStyle w:val="Ruller3"/>
        <w:rPr>
          <w:rtl/>
        </w:rPr>
      </w:pPr>
      <w:r>
        <w:tab/>
      </w:r>
      <w:r>
        <w:tab/>
      </w:r>
      <w:r>
        <w:tab/>
        <w:t xml:space="preserve">     </w:t>
      </w:r>
    </w:p>
    <w:tbl>
      <w:tblPr>
        <w:bidiVisual/>
        <w:tblW w:w="8364" w:type="dxa"/>
        <w:tblLayout w:type="fixed"/>
        <w:tblLook w:val="0000" w:firstRow="0" w:lastRow="0" w:firstColumn="0" w:lastColumn="0" w:noHBand="0" w:noVBand="0"/>
      </w:tblPr>
      <w:tblGrid>
        <w:gridCol w:w="3210"/>
        <w:gridCol w:w="5154"/>
      </w:tblGrid>
      <w:tr w:rsidR="00642972" w:rsidTr="00642972">
        <w:trPr>
          <w:trHeight w:val="287"/>
        </w:trPr>
        <w:tc>
          <w:tcPr>
            <w:tcW w:w="3210" w:type="dxa"/>
          </w:tcPr>
          <w:p w:rsidR="00642972" w:rsidRPr="00523686" w:rsidRDefault="00642972" w:rsidP="00760584">
            <w:pPr>
              <w:pStyle w:val="BodyRuller"/>
              <w:rPr>
                <w:rFonts w:ascii="David" w:hAnsi="David"/>
              </w:rPr>
            </w:pPr>
            <w:r>
              <w:rPr>
                <w:rFonts w:ascii="David" w:hAnsi="David"/>
                <w:rtl/>
              </w:rPr>
              <w:t>המשיבים:</w:t>
            </w:r>
          </w:p>
        </w:tc>
        <w:tc>
          <w:tcPr>
            <w:tcW w:w="5154" w:type="dxa"/>
          </w:tcPr>
          <w:p w:rsidR="00642972" w:rsidRDefault="00642972" w:rsidP="00760584">
            <w:pPr>
              <w:pStyle w:val="BodyRuller"/>
            </w:pPr>
            <w:r>
              <w:rPr>
                <w:rtl/>
              </w:rPr>
              <w:t>1. בית הדין הרבני הגדול בירושלים</w:t>
            </w:r>
          </w:p>
        </w:tc>
      </w:tr>
      <w:tr w:rsidR="00642972" w:rsidTr="00642972">
        <w:trPr>
          <w:trHeight w:val="287"/>
        </w:trPr>
        <w:tc>
          <w:tcPr>
            <w:tcW w:w="3210" w:type="dxa"/>
          </w:tcPr>
          <w:p w:rsidR="00642972" w:rsidRDefault="00642972" w:rsidP="00760584">
            <w:pPr>
              <w:pStyle w:val="BodyRuller"/>
              <w:rPr>
                <w:rFonts w:ascii="David" w:hAnsi="David"/>
                <w:rtl/>
              </w:rPr>
            </w:pPr>
          </w:p>
        </w:tc>
        <w:tc>
          <w:tcPr>
            <w:tcW w:w="5154" w:type="dxa"/>
          </w:tcPr>
          <w:p w:rsidR="00642972" w:rsidRDefault="00642972" w:rsidP="00760584">
            <w:pPr>
              <w:pStyle w:val="BodyRuller"/>
              <w:rPr>
                <w:rtl/>
              </w:rPr>
            </w:pPr>
            <w:r>
              <w:rPr>
                <w:rtl/>
              </w:rPr>
              <w:t>2. בית הדין הרבני האזורי בחיפה</w:t>
            </w:r>
          </w:p>
        </w:tc>
      </w:tr>
      <w:tr w:rsidR="00642972" w:rsidTr="00642972">
        <w:trPr>
          <w:trHeight w:val="287"/>
        </w:trPr>
        <w:tc>
          <w:tcPr>
            <w:tcW w:w="3210" w:type="dxa"/>
          </w:tcPr>
          <w:p w:rsidR="00642972" w:rsidRDefault="00642972" w:rsidP="00760584">
            <w:pPr>
              <w:pStyle w:val="BodyRuller"/>
              <w:rPr>
                <w:rFonts w:ascii="David" w:hAnsi="David"/>
                <w:rtl/>
              </w:rPr>
            </w:pPr>
          </w:p>
        </w:tc>
        <w:tc>
          <w:tcPr>
            <w:tcW w:w="5154" w:type="dxa"/>
          </w:tcPr>
          <w:p w:rsidR="00642972" w:rsidRDefault="00642972" w:rsidP="00760584">
            <w:pPr>
              <w:pStyle w:val="BodyRuller"/>
              <w:rPr>
                <w:rtl/>
              </w:rPr>
            </w:pPr>
            <w:r>
              <w:rPr>
                <w:rtl/>
              </w:rPr>
              <w:t>3. פלוני</w:t>
            </w:r>
          </w:p>
        </w:tc>
      </w:tr>
      <w:tr w:rsidR="00642972" w:rsidTr="00642972">
        <w:trPr>
          <w:trHeight w:val="287"/>
        </w:trPr>
        <w:tc>
          <w:tcPr>
            <w:tcW w:w="3210" w:type="dxa"/>
          </w:tcPr>
          <w:p w:rsidR="00642972" w:rsidRDefault="00642972" w:rsidP="00760584">
            <w:pPr>
              <w:pStyle w:val="BodyRuller"/>
              <w:rPr>
                <w:rFonts w:ascii="David" w:hAnsi="David"/>
                <w:rtl/>
              </w:rPr>
            </w:pPr>
          </w:p>
        </w:tc>
        <w:tc>
          <w:tcPr>
            <w:tcW w:w="5154" w:type="dxa"/>
          </w:tcPr>
          <w:p w:rsidR="00642972" w:rsidRDefault="00642972" w:rsidP="00760584">
            <w:pPr>
              <w:pStyle w:val="BodyRuller"/>
              <w:rPr>
                <w:rtl/>
              </w:rPr>
            </w:pPr>
            <w:r>
              <w:rPr>
                <w:rtl/>
              </w:rPr>
              <w:t>4. היועץ המשפטי לממשלה</w:t>
            </w:r>
          </w:p>
        </w:tc>
      </w:tr>
    </w:tbl>
    <w:p w:rsidR="00356F5C" w:rsidRDefault="00356F5C" w:rsidP="00356F5C">
      <w:pPr>
        <w:tabs>
          <w:tab w:val="left" w:pos="2552"/>
        </w:tabs>
        <w:rPr>
          <w:sz w:val="14"/>
          <w:szCs w:val="18"/>
          <w:rtl/>
        </w:rPr>
      </w:pPr>
    </w:p>
    <w:p w:rsidR="00356F5C" w:rsidRPr="002E50A0" w:rsidRDefault="00356F5C" w:rsidP="00356F5C">
      <w:pPr>
        <w:tabs>
          <w:tab w:val="left" w:pos="2552"/>
        </w:tabs>
        <w:rPr>
          <w:sz w:val="14"/>
          <w:szCs w:val="18"/>
        </w:rPr>
      </w:pPr>
      <w:bookmarkStart w:id="1" w:name="_GoBack"/>
      <w:bookmarkEnd w:id="1"/>
    </w:p>
    <w:tbl>
      <w:tblPr>
        <w:bidiVisual/>
        <w:tblW w:w="0" w:type="auto"/>
        <w:tblInd w:w="-49" w:type="dxa"/>
        <w:tblCellMar>
          <w:left w:w="0" w:type="dxa"/>
          <w:right w:w="0" w:type="dxa"/>
        </w:tblCellMar>
        <w:tblLook w:val="04A0" w:firstRow="1" w:lastRow="0" w:firstColumn="1" w:lastColumn="0" w:noHBand="0" w:noVBand="1"/>
      </w:tblPr>
      <w:tblGrid>
        <w:gridCol w:w="3285"/>
        <w:gridCol w:w="5076"/>
      </w:tblGrid>
      <w:tr w:rsidR="00356F5C" w:rsidRPr="00C503E1" w:rsidTr="00EA4284">
        <w:tc>
          <w:tcPr>
            <w:tcW w:w="3285" w:type="dxa"/>
            <w:tcMar>
              <w:top w:w="0" w:type="dxa"/>
              <w:left w:w="108" w:type="dxa"/>
              <w:bottom w:w="0" w:type="dxa"/>
              <w:right w:w="108" w:type="dxa"/>
            </w:tcMar>
            <w:hideMark/>
          </w:tcPr>
          <w:p w:rsidR="00356F5C" w:rsidRPr="00C503E1" w:rsidRDefault="00356F5C" w:rsidP="00EA4284">
            <w:pPr>
              <w:rPr>
                <w:rFonts w:cs="Calibri"/>
                <w:sz w:val="28"/>
                <w:szCs w:val="28"/>
              </w:rPr>
            </w:pPr>
            <w:r w:rsidRPr="00C503E1">
              <w:rPr>
                <w:rFonts w:hint="cs"/>
                <w:sz w:val="28"/>
                <w:szCs w:val="28"/>
                <w:rtl/>
              </w:rPr>
              <w:t>המבקשים להצטרף כידידי בית המשפט:</w:t>
            </w:r>
          </w:p>
        </w:tc>
        <w:tc>
          <w:tcPr>
            <w:tcW w:w="5076" w:type="dxa"/>
            <w:tcMar>
              <w:top w:w="0" w:type="dxa"/>
              <w:left w:w="108" w:type="dxa"/>
              <w:bottom w:w="0" w:type="dxa"/>
              <w:right w:w="108" w:type="dxa"/>
            </w:tcMar>
          </w:tcPr>
          <w:p w:rsidR="00356F5C" w:rsidRPr="00C503E1" w:rsidRDefault="00356F5C" w:rsidP="00EA4284">
            <w:pPr>
              <w:rPr>
                <w:sz w:val="28"/>
                <w:szCs w:val="28"/>
                <w:rtl/>
              </w:rPr>
            </w:pPr>
            <w:r w:rsidRPr="00C503E1">
              <w:rPr>
                <w:rFonts w:hint="cs"/>
                <w:sz w:val="28"/>
                <w:szCs w:val="28"/>
                <w:rtl/>
              </w:rPr>
              <w:t>1. מרכז קונקורד לחקר קליטת המשפט הבינלאומי בישראל</w:t>
            </w:r>
          </w:p>
          <w:p w:rsidR="00356F5C" w:rsidRPr="00C503E1" w:rsidRDefault="00356F5C" w:rsidP="00EA4284">
            <w:pPr>
              <w:rPr>
                <w:sz w:val="28"/>
                <w:szCs w:val="28"/>
                <w:rtl/>
              </w:rPr>
            </w:pPr>
            <w:r w:rsidRPr="00C503E1">
              <w:rPr>
                <w:rFonts w:hint="cs"/>
                <w:sz w:val="28"/>
                <w:szCs w:val="28"/>
                <w:rtl/>
              </w:rPr>
              <w:t>2. נעמ"ת – תנועת נשים עובדות ומתנדבות</w:t>
            </w:r>
          </w:p>
          <w:p w:rsidR="00356F5C" w:rsidRPr="00C503E1" w:rsidRDefault="00356F5C" w:rsidP="00EA4284">
            <w:pPr>
              <w:rPr>
                <w:sz w:val="28"/>
                <w:szCs w:val="28"/>
                <w:rtl/>
              </w:rPr>
            </w:pPr>
            <w:r w:rsidRPr="00C503E1">
              <w:rPr>
                <w:rFonts w:hint="cs"/>
                <w:sz w:val="28"/>
                <w:szCs w:val="28"/>
                <w:rtl/>
              </w:rPr>
              <w:t>3. מבוי סתום</w:t>
            </w:r>
          </w:p>
          <w:p w:rsidR="00356F5C" w:rsidRPr="00C503E1" w:rsidRDefault="00356F5C" w:rsidP="00EA4284">
            <w:pPr>
              <w:rPr>
                <w:sz w:val="28"/>
                <w:szCs w:val="28"/>
                <w:rtl/>
              </w:rPr>
            </w:pPr>
            <w:r w:rsidRPr="00C503E1">
              <w:rPr>
                <w:rFonts w:hint="cs"/>
                <w:sz w:val="28"/>
                <w:szCs w:val="28"/>
                <w:rtl/>
              </w:rPr>
              <w:t>4. מרכז צדק נשים</w:t>
            </w:r>
          </w:p>
          <w:p w:rsidR="00356F5C" w:rsidRPr="00C503E1" w:rsidRDefault="00356F5C" w:rsidP="00EA4284">
            <w:pPr>
              <w:rPr>
                <w:sz w:val="28"/>
                <w:szCs w:val="28"/>
                <w:rtl/>
              </w:rPr>
            </w:pPr>
            <w:r w:rsidRPr="00C503E1">
              <w:rPr>
                <w:rFonts w:hint="cs"/>
                <w:sz w:val="28"/>
                <w:szCs w:val="28"/>
                <w:rtl/>
              </w:rPr>
              <w:t>5. קולך – פורום נשים דתיות</w:t>
            </w:r>
          </w:p>
          <w:p w:rsidR="00356F5C" w:rsidRPr="00C503E1" w:rsidRDefault="00356F5C" w:rsidP="00EA4284">
            <w:pPr>
              <w:rPr>
                <w:sz w:val="28"/>
                <w:szCs w:val="28"/>
                <w:rtl/>
              </w:rPr>
            </w:pPr>
            <w:r w:rsidRPr="00C503E1">
              <w:rPr>
                <w:rFonts w:hint="cs"/>
                <w:sz w:val="28"/>
                <w:szCs w:val="28"/>
                <w:rtl/>
              </w:rPr>
              <w:t>6. שדולת הנשים בישראל</w:t>
            </w:r>
          </w:p>
          <w:p w:rsidR="00356F5C" w:rsidRPr="00C503E1" w:rsidRDefault="00356F5C" w:rsidP="00EA4284">
            <w:pPr>
              <w:rPr>
                <w:sz w:val="28"/>
                <w:szCs w:val="28"/>
                <w:rtl/>
              </w:rPr>
            </w:pPr>
            <w:r w:rsidRPr="00C503E1">
              <w:rPr>
                <w:rFonts w:hint="cs"/>
                <w:sz w:val="28"/>
                <w:szCs w:val="28"/>
                <w:rtl/>
              </w:rPr>
              <w:t>7. עו"ד מנחם הכהן – סגן נשיא בית המשפט לענייני משפחה</w:t>
            </w:r>
          </w:p>
          <w:p w:rsidR="00356F5C" w:rsidRPr="00C503E1" w:rsidRDefault="00356F5C" w:rsidP="00EA4284">
            <w:pPr>
              <w:rPr>
                <w:sz w:val="28"/>
                <w:szCs w:val="28"/>
                <w:rtl/>
              </w:rPr>
            </w:pPr>
          </w:p>
        </w:tc>
      </w:tr>
    </w:tbl>
    <w:p w:rsidR="00AD61D3" w:rsidRPr="00356F5C" w:rsidRDefault="00AD61D3" w:rsidP="00AD61D3">
      <w:pPr>
        <w:pStyle w:val="Ruller3"/>
        <w:rPr>
          <w:sz w:val="8"/>
          <w:szCs w:val="14"/>
        </w:rPr>
      </w:pPr>
    </w:p>
    <w:tbl>
      <w:tblPr>
        <w:bidiVisual/>
        <w:tblW w:w="0" w:type="auto"/>
        <w:tblInd w:w="3209" w:type="dxa"/>
        <w:tblLook w:val="0000" w:firstRow="0" w:lastRow="0" w:firstColumn="0" w:lastColumn="0" w:noHBand="0" w:noVBand="0"/>
      </w:tblPr>
      <w:tblGrid>
        <w:gridCol w:w="5103"/>
      </w:tblGrid>
      <w:tr w:rsidR="00AD61D3" w:rsidTr="00760584">
        <w:tc>
          <w:tcPr>
            <w:tcW w:w="5103" w:type="dxa"/>
          </w:tcPr>
          <w:p w:rsidR="00AD61D3" w:rsidRPr="00AD61D3" w:rsidRDefault="00AD61D3" w:rsidP="00AD61D3">
            <w:pPr>
              <w:pStyle w:val="BodyRuller"/>
              <w:jc w:val="both"/>
              <w:rPr>
                <w:rFonts w:ascii="Century" w:hAnsi="Century"/>
                <w:b/>
                <w:szCs w:val="24"/>
                <w:rtl/>
              </w:rPr>
            </w:pPr>
            <w:r w:rsidRPr="00AD61D3">
              <w:rPr>
                <w:rFonts w:ascii="Century" w:hAnsi="Century" w:hint="cs"/>
                <w:b/>
                <w:szCs w:val="24"/>
                <w:rtl/>
              </w:rPr>
              <w:t xml:space="preserve">בקשה לדיון נוסף על פסק דינו של בית המשפט העליון בבג"ץ 4602/13 ובבג"ץ 9780/17 מיום 18.11.2018 אשר ניתן על ידי כבוד השופטים </w:t>
            </w:r>
            <w:r w:rsidRPr="00AD61D3">
              <w:rPr>
                <w:rFonts w:ascii="Century" w:hAnsi="Century" w:cs="Miriam" w:hint="cs"/>
                <w:b/>
                <w:szCs w:val="24"/>
                <w:rtl/>
              </w:rPr>
              <w:t>ד' מינץ, א' שטיין</w:t>
            </w:r>
            <w:r w:rsidRPr="00AD61D3">
              <w:rPr>
                <w:rFonts w:ascii="Century" w:hAnsi="Century" w:hint="cs"/>
                <w:b/>
                <w:szCs w:val="24"/>
                <w:rtl/>
              </w:rPr>
              <w:t xml:space="preserve"> ו-</w:t>
            </w:r>
            <w:r w:rsidRPr="00AD61D3">
              <w:rPr>
                <w:rFonts w:ascii="Century" w:hAnsi="Century" w:cs="Miriam" w:hint="cs"/>
                <w:b/>
                <w:szCs w:val="24"/>
                <w:rtl/>
              </w:rPr>
              <w:t>י' עמית</w:t>
            </w:r>
          </w:p>
        </w:tc>
      </w:tr>
    </w:tbl>
    <w:p w:rsidR="00AD61D3" w:rsidRPr="002E50A0" w:rsidRDefault="00AD61D3" w:rsidP="00AD61D3">
      <w:pPr>
        <w:pStyle w:val="Ruller3"/>
        <w:rPr>
          <w:sz w:val="12"/>
          <w:szCs w:val="18"/>
          <w:rtl/>
        </w:rPr>
      </w:pPr>
    </w:p>
    <w:p w:rsidR="00AD61D3" w:rsidRDefault="00AD61D3" w:rsidP="00AD61D3">
      <w:pPr>
        <w:pStyle w:val="BodyRuller"/>
        <w:rPr>
          <w:rFonts w:ascii="David" w:hAnsi="David"/>
          <w:rtl/>
        </w:rPr>
      </w:pPr>
      <w:r>
        <w:rPr>
          <w:rFonts w:ascii="David" w:hAnsi="David" w:hint="cs"/>
          <w:rtl/>
        </w:rPr>
        <w:t xml:space="preserve">בשם </w:t>
      </w:r>
      <w:r>
        <w:rPr>
          <w:rFonts w:ascii="David" w:hAnsi="David"/>
          <w:rtl/>
        </w:rPr>
        <w:t>המבקש</w:t>
      </w:r>
      <w:r>
        <w:rPr>
          <w:rFonts w:ascii="David" w:hAnsi="David" w:hint="cs"/>
          <w:rtl/>
        </w:rPr>
        <w:t>ת</w:t>
      </w:r>
      <w:r>
        <w:rPr>
          <w:rFonts w:ascii="David" w:hAnsi="David"/>
          <w:rtl/>
        </w:rPr>
        <w:t>:</w:t>
      </w:r>
      <w:r>
        <w:rPr>
          <w:rFonts w:ascii="David" w:hAnsi="David" w:hint="cs"/>
          <w:rtl/>
        </w:rPr>
        <w:t xml:space="preserve">                          עו"ד שי </w:t>
      </w:r>
      <w:proofErr w:type="spellStart"/>
      <w:r>
        <w:rPr>
          <w:rFonts w:ascii="David" w:hAnsi="David" w:hint="cs"/>
          <w:rtl/>
        </w:rPr>
        <w:t>זילברברג</w:t>
      </w:r>
      <w:proofErr w:type="spellEnd"/>
      <w:r>
        <w:rPr>
          <w:rFonts w:ascii="David" w:hAnsi="David" w:hint="cs"/>
          <w:rtl/>
        </w:rPr>
        <w:t>; עו"ד עדי רז; עו"ד אייל מנחם</w:t>
      </w:r>
    </w:p>
    <w:p w:rsidR="002E50A0" w:rsidRPr="002E50A0" w:rsidRDefault="002E50A0" w:rsidP="00AD61D3">
      <w:pPr>
        <w:pStyle w:val="BodyRuller"/>
        <w:rPr>
          <w:rFonts w:ascii="David" w:hAnsi="David"/>
          <w:sz w:val="14"/>
          <w:szCs w:val="20"/>
          <w:rtl/>
        </w:rPr>
      </w:pPr>
    </w:p>
    <w:p w:rsidR="002E50A0" w:rsidRDefault="002E50A0" w:rsidP="002E50A0">
      <w:pPr>
        <w:pStyle w:val="BodyRuller"/>
        <w:rPr>
          <w:rFonts w:ascii="David" w:hAnsi="David"/>
          <w:rtl/>
        </w:rPr>
      </w:pPr>
      <w:r>
        <w:rPr>
          <w:rFonts w:ascii="David" w:hAnsi="David" w:hint="cs"/>
          <w:rtl/>
        </w:rPr>
        <w:t xml:space="preserve">בשם היועץ המשפטי </w:t>
      </w:r>
    </w:p>
    <w:p w:rsidR="002E50A0" w:rsidRDefault="002E50A0" w:rsidP="002E50A0">
      <w:pPr>
        <w:pStyle w:val="BodyRuller"/>
        <w:rPr>
          <w:rFonts w:ascii="David" w:hAnsi="David"/>
          <w:rtl/>
        </w:rPr>
      </w:pPr>
      <w:r>
        <w:rPr>
          <w:rFonts w:ascii="David" w:hAnsi="David" w:hint="cs"/>
          <w:rtl/>
        </w:rPr>
        <w:t>לשיפוט הרבני:</w:t>
      </w:r>
      <w:r>
        <w:rPr>
          <w:rFonts w:ascii="David" w:hAnsi="David"/>
          <w:rtl/>
        </w:rPr>
        <w:tab/>
      </w:r>
      <w:r>
        <w:rPr>
          <w:rFonts w:ascii="David" w:hAnsi="David"/>
          <w:rtl/>
        </w:rPr>
        <w:tab/>
      </w:r>
      <w:r>
        <w:rPr>
          <w:rFonts w:ascii="David" w:hAnsi="David" w:hint="cs"/>
          <w:rtl/>
        </w:rPr>
        <w:t xml:space="preserve">     עו"ד רפי רכס; עו"ד יצחק שמואל רוזנטל</w:t>
      </w:r>
    </w:p>
    <w:p w:rsidR="002E50A0" w:rsidRPr="002E50A0" w:rsidRDefault="002E50A0" w:rsidP="002E50A0">
      <w:pPr>
        <w:pStyle w:val="BodyRuller"/>
        <w:rPr>
          <w:rFonts w:ascii="David" w:hAnsi="David"/>
          <w:sz w:val="14"/>
          <w:szCs w:val="20"/>
          <w:rtl/>
        </w:rPr>
      </w:pPr>
    </w:p>
    <w:p w:rsidR="002E50A0" w:rsidRDefault="002E50A0" w:rsidP="002E50A0">
      <w:pPr>
        <w:pStyle w:val="BodyRuller"/>
        <w:rPr>
          <w:rFonts w:ascii="David" w:hAnsi="David"/>
          <w:rtl/>
        </w:rPr>
      </w:pPr>
      <w:r>
        <w:rPr>
          <w:rFonts w:ascii="David" w:hAnsi="David" w:hint="cs"/>
          <w:rtl/>
        </w:rPr>
        <w:t>בשם המשיב 3:</w:t>
      </w:r>
      <w:r>
        <w:rPr>
          <w:rFonts w:ascii="David" w:hAnsi="David"/>
          <w:rtl/>
        </w:rPr>
        <w:tab/>
      </w:r>
      <w:r>
        <w:rPr>
          <w:rFonts w:ascii="David" w:hAnsi="David"/>
          <w:rtl/>
        </w:rPr>
        <w:tab/>
      </w:r>
      <w:r>
        <w:rPr>
          <w:rFonts w:ascii="David" w:hAnsi="David" w:hint="cs"/>
          <w:rtl/>
        </w:rPr>
        <w:t xml:space="preserve">     עו"ד ברוך </w:t>
      </w:r>
      <w:proofErr w:type="spellStart"/>
      <w:r>
        <w:rPr>
          <w:rFonts w:ascii="David" w:hAnsi="David" w:hint="cs"/>
          <w:rtl/>
        </w:rPr>
        <w:t>אבוקרט</w:t>
      </w:r>
      <w:proofErr w:type="spellEnd"/>
      <w:r>
        <w:rPr>
          <w:rFonts w:ascii="David" w:hAnsi="David" w:hint="cs"/>
          <w:rtl/>
        </w:rPr>
        <w:t>; עו"ד רונן גפני</w:t>
      </w:r>
    </w:p>
    <w:p w:rsidR="002E50A0" w:rsidRPr="002E50A0" w:rsidRDefault="002E50A0" w:rsidP="002E50A0">
      <w:pPr>
        <w:pStyle w:val="BodyRuller"/>
        <w:rPr>
          <w:rFonts w:ascii="David" w:hAnsi="David"/>
          <w:sz w:val="14"/>
          <w:szCs w:val="20"/>
          <w:rtl/>
        </w:rPr>
      </w:pPr>
    </w:p>
    <w:p w:rsidR="002E50A0" w:rsidRDefault="002E50A0" w:rsidP="002E50A0">
      <w:pPr>
        <w:pStyle w:val="BodyRuller"/>
        <w:rPr>
          <w:rFonts w:ascii="David" w:hAnsi="David"/>
          <w:rtl/>
        </w:rPr>
      </w:pPr>
      <w:r>
        <w:rPr>
          <w:rFonts w:ascii="David" w:hAnsi="David" w:hint="cs"/>
          <w:rtl/>
        </w:rPr>
        <w:t xml:space="preserve">בשם המשיב 4:                           עו"ד יונתן </w:t>
      </w:r>
      <w:proofErr w:type="spellStart"/>
      <w:r>
        <w:rPr>
          <w:rFonts w:ascii="David" w:hAnsi="David" w:hint="cs"/>
          <w:rtl/>
        </w:rPr>
        <w:t>נד"ב</w:t>
      </w:r>
      <w:proofErr w:type="spellEnd"/>
    </w:p>
    <w:p w:rsidR="00C503E1" w:rsidRPr="00C503E1" w:rsidRDefault="00941B17" w:rsidP="00356F5C">
      <w:pPr>
        <w:tabs>
          <w:tab w:val="left" w:pos="2552"/>
        </w:tabs>
        <w:rPr>
          <w:rFonts w:ascii="Arial" w:hAnsi="Arial" w:cs="Arial"/>
          <w:color w:val="1F497D"/>
          <w:sz w:val="28"/>
          <w:szCs w:val="28"/>
          <w:rtl/>
        </w:rPr>
      </w:pPr>
      <w:r>
        <w:rPr>
          <w:rFonts w:cs="FrankRuehl"/>
          <w:spacing w:val="10"/>
          <w:sz w:val="22"/>
          <w:szCs w:val="28"/>
          <w:rtl/>
        </w:rPr>
        <w:lastRenderedPageBreak/>
        <w:br/>
      </w:r>
    </w:p>
    <w:tbl>
      <w:tblPr>
        <w:bidiVisual/>
        <w:tblW w:w="0" w:type="auto"/>
        <w:tblInd w:w="27" w:type="dxa"/>
        <w:tblCellMar>
          <w:left w:w="0" w:type="dxa"/>
          <w:right w:w="0" w:type="dxa"/>
        </w:tblCellMar>
        <w:tblLook w:val="04A0" w:firstRow="1" w:lastRow="0" w:firstColumn="1" w:lastColumn="0" w:noHBand="0" w:noVBand="1"/>
      </w:tblPr>
      <w:tblGrid>
        <w:gridCol w:w="3181"/>
        <w:gridCol w:w="5104"/>
      </w:tblGrid>
      <w:tr w:rsidR="00C503E1" w:rsidRPr="00C503E1" w:rsidTr="00626388">
        <w:tc>
          <w:tcPr>
            <w:tcW w:w="3181" w:type="dxa"/>
            <w:tcMar>
              <w:top w:w="0" w:type="dxa"/>
              <w:left w:w="108" w:type="dxa"/>
              <w:bottom w:w="0" w:type="dxa"/>
              <w:right w:w="108" w:type="dxa"/>
            </w:tcMar>
          </w:tcPr>
          <w:p w:rsidR="00C503E1" w:rsidRPr="00C503E1" w:rsidRDefault="00C503E1">
            <w:pPr>
              <w:pStyle w:val="ruller31"/>
              <w:rPr>
                <w:rFonts w:cs="David"/>
                <w:sz w:val="28"/>
                <w:szCs w:val="28"/>
                <w:rtl/>
              </w:rPr>
            </w:pPr>
            <w:r w:rsidRPr="00C503E1">
              <w:rPr>
                <w:rFonts w:cs="David" w:hint="cs"/>
                <w:sz w:val="28"/>
                <w:szCs w:val="28"/>
                <w:rtl/>
              </w:rPr>
              <w:t xml:space="preserve">בשם המבקשים להצטרף כידידי בית המשפט </w:t>
            </w:r>
          </w:p>
          <w:p w:rsidR="00C503E1" w:rsidRPr="00C503E1" w:rsidRDefault="00C503E1">
            <w:pPr>
              <w:pStyle w:val="ruller31"/>
              <w:rPr>
                <w:rFonts w:cs="David"/>
                <w:sz w:val="28"/>
                <w:szCs w:val="28"/>
                <w:rtl/>
              </w:rPr>
            </w:pPr>
            <w:r w:rsidRPr="00C503E1">
              <w:rPr>
                <w:rFonts w:cs="David" w:hint="cs"/>
                <w:sz w:val="28"/>
                <w:szCs w:val="28"/>
                <w:rtl/>
              </w:rPr>
              <w:t>1-5:</w:t>
            </w:r>
          </w:p>
          <w:p w:rsidR="00C503E1" w:rsidRPr="00C503E1" w:rsidRDefault="00C503E1">
            <w:pPr>
              <w:pStyle w:val="ruller31"/>
              <w:rPr>
                <w:rFonts w:cs="David"/>
                <w:sz w:val="28"/>
                <w:szCs w:val="28"/>
                <w:rtl/>
              </w:rPr>
            </w:pPr>
          </w:p>
          <w:p w:rsidR="00C503E1" w:rsidRPr="00C503E1" w:rsidRDefault="00C503E1">
            <w:pPr>
              <w:pStyle w:val="ruller31"/>
              <w:rPr>
                <w:rFonts w:cs="David"/>
                <w:sz w:val="28"/>
                <w:szCs w:val="28"/>
                <w:rtl/>
              </w:rPr>
            </w:pPr>
            <w:r w:rsidRPr="00C503E1">
              <w:rPr>
                <w:rFonts w:cs="David" w:hint="cs"/>
                <w:sz w:val="28"/>
                <w:szCs w:val="28"/>
                <w:rtl/>
              </w:rPr>
              <w:t>בשם המבקש להצטרף כידיד בית המשפט 6:</w:t>
            </w:r>
          </w:p>
          <w:p w:rsidR="00C503E1" w:rsidRPr="00C503E1" w:rsidRDefault="00C503E1">
            <w:pPr>
              <w:pStyle w:val="ruller31"/>
              <w:rPr>
                <w:rFonts w:cs="David"/>
                <w:sz w:val="28"/>
                <w:szCs w:val="28"/>
                <w:rtl/>
              </w:rPr>
            </w:pPr>
          </w:p>
          <w:p w:rsidR="00C503E1" w:rsidRPr="00C503E1" w:rsidRDefault="00C503E1">
            <w:pPr>
              <w:pStyle w:val="ruller31"/>
              <w:rPr>
                <w:rFonts w:cs="David"/>
                <w:sz w:val="28"/>
                <w:szCs w:val="28"/>
                <w:rtl/>
              </w:rPr>
            </w:pPr>
          </w:p>
          <w:p w:rsidR="00C503E1" w:rsidRPr="00C503E1" w:rsidRDefault="00C503E1">
            <w:pPr>
              <w:pStyle w:val="ruller31"/>
              <w:rPr>
                <w:rFonts w:cs="David"/>
                <w:sz w:val="28"/>
                <w:szCs w:val="28"/>
                <w:rtl/>
              </w:rPr>
            </w:pPr>
            <w:r w:rsidRPr="00C503E1">
              <w:rPr>
                <w:rFonts w:cs="David" w:hint="cs"/>
                <w:sz w:val="28"/>
                <w:szCs w:val="28"/>
                <w:rtl/>
              </w:rPr>
              <w:t>בשם המבקש להצטרף כידיד בית המשפט 7:</w:t>
            </w:r>
          </w:p>
          <w:p w:rsidR="00C503E1" w:rsidRPr="00C503E1" w:rsidRDefault="00C503E1">
            <w:pPr>
              <w:pStyle w:val="ruller31"/>
              <w:rPr>
                <w:rFonts w:cs="David"/>
                <w:sz w:val="28"/>
                <w:szCs w:val="28"/>
                <w:rtl/>
              </w:rPr>
            </w:pPr>
          </w:p>
        </w:tc>
        <w:tc>
          <w:tcPr>
            <w:tcW w:w="5104" w:type="dxa"/>
            <w:tcMar>
              <w:top w:w="0" w:type="dxa"/>
              <w:left w:w="108" w:type="dxa"/>
              <w:bottom w:w="0" w:type="dxa"/>
              <w:right w:w="108" w:type="dxa"/>
            </w:tcMar>
          </w:tcPr>
          <w:p w:rsidR="00C503E1" w:rsidRPr="00C503E1" w:rsidRDefault="00C503E1">
            <w:pPr>
              <w:pStyle w:val="precasestyle"/>
              <w:ind w:right="0"/>
              <w:rPr>
                <w:rFonts w:cs="David"/>
                <w:sz w:val="28"/>
                <w:szCs w:val="28"/>
                <w:rtl/>
              </w:rPr>
            </w:pPr>
          </w:p>
          <w:p w:rsidR="00C503E1" w:rsidRPr="00C503E1" w:rsidRDefault="00C503E1">
            <w:pPr>
              <w:pStyle w:val="precasestyle"/>
              <w:ind w:right="0"/>
              <w:rPr>
                <w:rFonts w:cs="David"/>
                <w:sz w:val="28"/>
                <w:szCs w:val="28"/>
                <w:rtl/>
              </w:rPr>
            </w:pPr>
          </w:p>
          <w:p w:rsidR="00C503E1" w:rsidRPr="00C503E1" w:rsidRDefault="00C503E1">
            <w:pPr>
              <w:pStyle w:val="precasestyle"/>
              <w:ind w:right="0"/>
              <w:rPr>
                <w:rFonts w:cs="David"/>
                <w:sz w:val="28"/>
                <w:szCs w:val="28"/>
                <w:rtl/>
              </w:rPr>
            </w:pPr>
            <w:r w:rsidRPr="00C503E1">
              <w:rPr>
                <w:rFonts w:cs="David" w:hint="cs"/>
                <w:sz w:val="28"/>
                <w:szCs w:val="28"/>
                <w:rtl/>
              </w:rPr>
              <w:t xml:space="preserve">עו"ד פרנסס </w:t>
            </w:r>
            <w:proofErr w:type="spellStart"/>
            <w:r w:rsidRPr="00C503E1">
              <w:rPr>
                <w:rFonts w:cs="David" w:hint="cs"/>
                <w:sz w:val="28"/>
                <w:szCs w:val="28"/>
                <w:rtl/>
              </w:rPr>
              <w:t>רדאי</w:t>
            </w:r>
            <w:proofErr w:type="spellEnd"/>
          </w:p>
          <w:p w:rsidR="00C503E1" w:rsidRPr="00C503E1" w:rsidRDefault="00C503E1">
            <w:pPr>
              <w:pStyle w:val="precasestyle"/>
              <w:ind w:right="0"/>
              <w:rPr>
                <w:rFonts w:cs="David"/>
                <w:sz w:val="28"/>
                <w:szCs w:val="28"/>
                <w:rtl/>
              </w:rPr>
            </w:pPr>
          </w:p>
          <w:p w:rsidR="00C503E1" w:rsidRPr="00C503E1" w:rsidRDefault="00C503E1">
            <w:pPr>
              <w:pStyle w:val="precasestyle"/>
              <w:ind w:right="0"/>
              <w:rPr>
                <w:rFonts w:cs="David"/>
                <w:sz w:val="28"/>
                <w:szCs w:val="28"/>
                <w:rtl/>
              </w:rPr>
            </w:pPr>
          </w:p>
          <w:p w:rsidR="00C503E1" w:rsidRPr="00C503E1" w:rsidRDefault="00C503E1">
            <w:pPr>
              <w:pStyle w:val="precasestyle"/>
              <w:ind w:right="0"/>
              <w:rPr>
                <w:rFonts w:cs="David"/>
                <w:sz w:val="28"/>
                <w:szCs w:val="28"/>
                <w:rtl/>
              </w:rPr>
            </w:pPr>
            <w:r w:rsidRPr="00C503E1">
              <w:rPr>
                <w:rFonts w:cs="David" w:hint="cs"/>
                <w:sz w:val="28"/>
                <w:szCs w:val="28"/>
                <w:rtl/>
              </w:rPr>
              <w:t>עו"ד חגי קלעי; עו"ד גלי זינגר</w:t>
            </w:r>
          </w:p>
          <w:p w:rsidR="00C503E1" w:rsidRPr="00C503E1" w:rsidRDefault="00C503E1">
            <w:pPr>
              <w:pStyle w:val="precasestyle"/>
              <w:ind w:right="0"/>
              <w:rPr>
                <w:rFonts w:cs="David"/>
                <w:sz w:val="28"/>
                <w:szCs w:val="28"/>
                <w:rtl/>
              </w:rPr>
            </w:pPr>
          </w:p>
          <w:p w:rsidR="00C503E1" w:rsidRPr="00C503E1" w:rsidRDefault="00C503E1">
            <w:pPr>
              <w:pStyle w:val="precasestyle"/>
              <w:ind w:right="0"/>
              <w:rPr>
                <w:rFonts w:cs="David"/>
                <w:sz w:val="28"/>
                <w:szCs w:val="28"/>
                <w:rtl/>
              </w:rPr>
            </w:pPr>
          </w:p>
          <w:p w:rsidR="00C503E1" w:rsidRPr="00C503E1" w:rsidRDefault="00C503E1">
            <w:pPr>
              <w:pStyle w:val="precasestyle"/>
              <w:ind w:right="0"/>
              <w:rPr>
                <w:rFonts w:cs="David"/>
                <w:sz w:val="28"/>
                <w:szCs w:val="28"/>
                <w:rtl/>
              </w:rPr>
            </w:pPr>
          </w:p>
          <w:p w:rsidR="00C503E1" w:rsidRPr="00C503E1" w:rsidRDefault="00C503E1">
            <w:pPr>
              <w:pStyle w:val="precasestyle"/>
              <w:ind w:right="0"/>
              <w:rPr>
                <w:rFonts w:cs="David"/>
                <w:sz w:val="28"/>
                <w:szCs w:val="28"/>
                <w:rtl/>
              </w:rPr>
            </w:pPr>
            <w:r w:rsidRPr="00C503E1">
              <w:rPr>
                <w:rFonts w:cs="David" w:hint="cs"/>
                <w:sz w:val="28"/>
                <w:szCs w:val="28"/>
                <w:rtl/>
              </w:rPr>
              <w:t xml:space="preserve">בעצמו                                 </w:t>
            </w:r>
          </w:p>
        </w:tc>
      </w:tr>
    </w:tbl>
    <w:p w:rsidR="00916FF8" w:rsidRPr="002E50A0" w:rsidRDefault="00916FF8">
      <w:pPr>
        <w:tabs>
          <w:tab w:val="left" w:pos="2552"/>
        </w:tabs>
        <w:rPr>
          <w:sz w:val="14"/>
          <w:szCs w:val="18"/>
        </w:rPr>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941B17">
            <w:pPr>
              <w:pStyle w:val="DocumentHead"/>
            </w:pPr>
            <w:bookmarkStart w:id="2" w:name="secretary"/>
            <w:bookmarkStart w:id="3" w:name="BeginProtocol"/>
            <w:bookmarkEnd w:id="2"/>
            <w:bookmarkEnd w:id="3"/>
            <w:r>
              <w:rPr>
                <w:rFonts w:hint="cs"/>
                <w:rtl/>
              </w:rPr>
              <w:t>פסק-דין</w:t>
            </w:r>
          </w:p>
        </w:tc>
      </w:tr>
    </w:tbl>
    <w:p w:rsidR="0065522F" w:rsidRDefault="0065522F">
      <w:pPr>
        <w:pStyle w:val="BODYVERDICT"/>
      </w:pPr>
    </w:p>
    <w:p w:rsidR="00916FF8" w:rsidRPr="00503A3E" w:rsidRDefault="00B657C5">
      <w:pPr>
        <w:pStyle w:val="BODYVERDICT"/>
        <w:rPr>
          <w:rFonts w:cs="Miriam"/>
          <w:sz w:val="24"/>
          <w:szCs w:val="24"/>
          <w:u w:val="single"/>
          <w:rtl/>
        </w:rPr>
      </w:pPr>
      <w:bookmarkStart w:id="4" w:name="Writer_Name"/>
      <w:bookmarkEnd w:id="4"/>
      <w:r>
        <w:rPr>
          <w:rFonts w:cs="Miriam"/>
          <w:sz w:val="24"/>
          <w:szCs w:val="24"/>
          <w:u w:val="single"/>
          <w:rtl/>
        </w:rPr>
        <w:t>הנשיאה א' חיות:</w:t>
      </w:r>
    </w:p>
    <w:p w:rsidR="00FA3A86" w:rsidRDefault="00FA3A86" w:rsidP="00A51FAE">
      <w:pPr>
        <w:pStyle w:val="Ruller41"/>
        <w:rPr>
          <w:rtl/>
        </w:rPr>
      </w:pPr>
      <w:bookmarkStart w:id="5" w:name="Start_Write"/>
      <w:bookmarkEnd w:id="5"/>
    </w:p>
    <w:p w:rsidR="00FA3A86" w:rsidRPr="001E0D8D" w:rsidRDefault="00FA3A86" w:rsidP="00FA3A86">
      <w:pPr>
        <w:pStyle w:val="Ruller4"/>
        <w:numPr>
          <w:ilvl w:val="0"/>
          <w:numId w:val="0"/>
        </w:numPr>
        <w:rPr>
          <w:rtl/>
        </w:rPr>
      </w:pPr>
      <w:r>
        <w:rPr>
          <w:rtl/>
        </w:rPr>
        <w:tab/>
      </w:r>
      <w:r w:rsidRPr="001E0D8D">
        <w:rPr>
          <w:rFonts w:hint="cs"/>
          <w:rtl/>
        </w:rPr>
        <w:t xml:space="preserve">דיון נוסף </w:t>
      </w:r>
      <w:r w:rsidRPr="001E0D8D">
        <w:rPr>
          <w:rtl/>
        </w:rPr>
        <w:t xml:space="preserve">בפסק דינו של בית משפט </w:t>
      </w:r>
      <w:r w:rsidRPr="001E0D8D">
        <w:rPr>
          <w:rFonts w:hint="cs"/>
          <w:rtl/>
        </w:rPr>
        <w:t>זה מיום 18.11.2018, ב</w:t>
      </w:r>
      <w:r w:rsidRPr="001E0D8D">
        <w:rPr>
          <w:rFonts w:hint="eastAsia"/>
          <w:rtl/>
        </w:rPr>
        <w:t>בג</w:t>
      </w:r>
      <w:r w:rsidRPr="001E0D8D">
        <w:rPr>
          <w:rtl/>
        </w:rPr>
        <w:t>"</w:t>
      </w:r>
      <w:r w:rsidRPr="001E0D8D">
        <w:rPr>
          <w:rFonts w:hint="eastAsia"/>
          <w:rtl/>
        </w:rPr>
        <w:t>ץ</w:t>
      </w:r>
      <w:r w:rsidRPr="001E0D8D">
        <w:rPr>
          <w:rFonts w:hint="cs"/>
          <w:rtl/>
        </w:rPr>
        <w:t xml:space="preserve"> 4602/13 ובבג"ץ</w:t>
      </w:r>
      <w:r w:rsidRPr="001E0D8D">
        <w:rPr>
          <w:rtl/>
        </w:rPr>
        <w:t xml:space="preserve"> 9780/17</w:t>
      </w:r>
      <w:r w:rsidRPr="001E0D8D">
        <w:rPr>
          <w:rFonts w:hint="cs"/>
          <w:rtl/>
        </w:rPr>
        <w:t xml:space="preserve">, אשר דחה, בדעת רוב (השופטים </w:t>
      </w:r>
      <w:r w:rsidRPr="002C7E46">
        <w:rPr>
          <w:rFonts w:cs="Miriam" w:hint="cs"/>
          <w:sz w:val="22"/>
          <w:szCs w:val="24"/>
          <w:rtl/>
        </w:rPr>
        <w:t>ד' מינץ ו-א' שטיין</w:t>
      </w:r>
      <w:r w:rsidRPr="001E0D8D">
        <w:rPr>
          <w:rFonts w:hint="cs"/>
          <w:rtl/>
        </w:rPr>
        <w:t xml:space="preserve">, כנגד דעתו החולקת של השופט </w:t>
      </w:r>
      <w:r w:rsidRPr="002C7E46">
        <w:rPr>
          <w:rFonts w:cs="Miriam" w:hint="cs"/>
          <w:sz w:val="22"/>
          <w:szCs w:val="24"/>
          <w:rtl/>
        </w:rPr>
        <w:t>י' עמית</w:t>
      </w:r>
      <w:r w:rsidRPr="001E0D8D">
        <w:rPr>
          <w:rFonts w:hint="cs"/>
          <w:rtl/>
        </w:rPr>
        <w:t xml:space="preserve">), עתירות על פסק דינו של בית הדין הרבני הגדול. </w:t>
      </w:r>
    </w:p>
    <w:p w:rsidR="00FA3A86" w:rsidRDefault="00FA3A86" w:rsidP="00FA3A86">
      <w:pPr>
        <w:pStyle w:val="Ruller4"/>
        <w:numPr>
          <w:ilvl w:val="0"/>
          <w:numId w:val="0"/>
        </w:numPr>
        <w:rPr>
          <w:rtl/>
        </w:rPr>
      </w:pPr>
    </w:p>
    <w:p w:rsidR="00FA3A86" w:rsidRPr="0022668D" w:rsidRDefault="00FA3A86" w:rsidP="00FA3A86">
      <w:pPr>
        <w:tabs>
          <w:tab w:val="left" w:pos="800"/>
        </w:tabs>
        <w:jc w:val="both"/>
        <w:rPr>
          <w:rFonts w:cs="Miriam"/>
          <w:b/>
          <w:sz w:val="22"/>
          <w:rtl/>
        </w:rPr>
      </w:pPr>
      <w:r w:rsidRPr="0022668D">
        <w:rPr>
          <w:rFonts w:cs="Miriam" w:hint="cs"/>
          <w:b/>
          <w:sz w:val="22"/>
          <w:rtl/>
        </w:rPr>
        <w:t xml:space="preserve">פתח דבר </w:t>
      </w:r>
    </w:p>
    <w:p w:rsidR="00FA3A86" w:rsidRPr="00604EF9" w:rsidRDefault="00FA3A86" w:rsidP="00FA3A86">
      <w:pPr>
        <w:tabs>
          <w:tab w:val="left" w:pos="800"/>
        </w:tabs>
        <w:jc w:val="both"/>
        <w:rPr>
          <w:sz w:val="24"/>
          <w:rtl/>
        </w:rPr>
      </w:pPr>
    </w:p>
    <w:p w:rsidR="00FA3A86" w:rsidRDefault="00FA3A86" w:rsidP="00FA3A86">
      <w:pPr>
        <w:pStyle w:val="Ruller4"/>
        <w:rPr>
          <w:rtl/>
        </w:rPr>
      </w:pPr>
      <w:r w:rsidRPr="00604EF9">
        <w:rPr>
          <w:rFonts w:hint="cs"/>
          <w:rtl/>
        </w:rPr>
        <w:t xml:space="preserve">לאחר שלושים שנות נישואין </w:t>
      </w:r>
      <w:r>
        <w:rPr>
          <w:rFonts w:hint="cs"/>
          <w:rtl/>
        </w:rPr>
        <w:t>מוגשת לבית הדין הרבני תביעת גירושין</w:t>
      </w:r>
      <w:r w:rsidRPr="00604EF9">
        <w:rPr>
          <w:rFonts w:hint="cs"/>
          <w:rtl/>
        </w:rPr>
        <w:t>, בין היתר</w:t>
      </w:r>
      <w:r>
        <w:rPr>
          <w:rFonts w:hint="cs"/>
          <w:rtl/>
        </w:rPr>
        <w:t xml:space="preserve">, בשל טענת הבעל כי אשתו </w:t>
      </w:r>
      <w:r w:rsidRPr="005E1BD5">
        <w:rPr>
          <w:rFonts w:hint="cs"/>
          <w:rtl/>
        </w:rPr>
        <w:t xml:space="preserve">היא "אישה נואפת </w:t>
      </w:r>
      <w:r w:rsidRPr="005E1BD5">
        <w:rPr>
          <w:rFonts w:hint="cs"/>
          <w:b/>
          <w:rtl/>
        </w:rPr>
        <w:t>מזה מספר חודשים</w:t>
      </w:r>
      <w:r w:rsidRPr="005E1BD5">
        <w:rPr>
          <w:rFonts w:hint="cs"/>
          <w:rtl/>
        </w:rPr>
        <w:t>".</w:t>
      </w:r>
      <w:r w:rsidRPr="00604EF9">
        <w:rPr>
          <w:rFonts w:hint="cs"/>
          <w:rtl/>
        </w:rPr>
        <w:t xml:space="preserve"> בית המגורים של בני הזוג נבנה </w:t>
      </w:r>
      <w:r>
        <w:rPr>
          <w:rFonts w:hint="cs"/>
          <w:rtl/>
        </w:rPr>
        <w:t xml:space="preserve">לאחר הנישואין, </w:t>
      </w:r>
      <w:r w:rsidRPr="00604EF9">
        <w:rPr>
          <w:rFonts w:hint="cs"/>
          <w:rtl/>
        </w:rPr>
        <w:t>על מגרש שקיבל הבעל בירושה חודשים</w:t>
      </w:r>
      <w:r>
        <w:rPr>
          <w:rFonts w:hint="cs"/>
          <w:rtl/>
        </w:rPr>
        <w:t xml:space="preserve"> אחדים טרם</w:t>
      </w:r>
      <w:r w:rsidRPr="00604EF9">
        <w:rPr>
          <w:rFonts w:hint="cs"/>
          <w:rtl/>
        </w:rPr>
        <w:t xml:space="preserve"> נישואי בני הזוג</w:t>
      </w:r>
      <w:r>
        <w:rPr>
          <w:rFonts w:hint="cs"/>
          <w:rtl/>
        </w:rPr>
        <w:t xml:space="preserve">, והוא </w:t>
      </w:r>
      <w:r w:rsidRPr="00604EF9">
        <w:rPr>
          <w:rFonts w:hint="cs"/>
          <w:rtl/>
        </w:rPr>
        <w:t xml:space="preserve">נרשם על שמו בלבד. </w:t>
      </w:r>
    </w:p>
    <w:p w:rsidR="00FA3A86" w:rsidRDefault="00FA3A86" w:rsidP="00FA3A86">
      <w:pPr>
        <w:pStyle w:val="Ruller4"/>
        <w:numPr>
          <w:ilvl w:val="0"/>
          <w:numId w:val="0"/>
        </w:numPr>
        <w:rPr>
          <w:rtl/>
        </w:rPr>
      </w:pPr>
    </w:p>
    <w:p w:rsidR="00FA3A86" w:rsidRDefault="00FA3A86" w:rsidP="00FA3A86">
      <w:pPr>
        <w:pStyle w:val="Ruller4"/>
        <w:numPr>
          <w:ilvl w:val="0"/>
          <w:numId w:val="0"/>
        </w:numPr>
        <w:rPr>
          <w:rtl/>
        </w:rPr>
      </w:pPr>
      <w:r>
        <w:rPr>
          <w:rtl/>
        </w:rPr>
        <w:tab/>
      </w:r>
      <w:r w:rsidRPr="00604EF9">
        <w:rPr>
          <w:rFonts w:hint="cs"/>
          <w:rtl/>
        </w:rPr>
        <w:t xml:space="preserve">האם זכאית האישה לחלק מהזכויות בבית המגורים? </w:t>
      </w:r>
    </w:p>
    <w:p w:rsidR="00FA3A86" w:rsidRPr="00046E41" w:rsidRDefault="00FA3A86" w:rsidP="00FA3A86">
      <w:pPr>
        <w:pStyle w:val="Ruller41"/>
        <w:rPr>
          <w:rtl/>
        </w:rPr>
      </w:pPr>
    </w:p>
    <w:p w:rsidR="00FA3A86" w:rsidRPr="001E0D8D" w:rsidRDefault="00FA3A86" w:rsidP="00FA3A86">
      <w:pPr>
        <w:tabs>
          <w:tab w:val="left" w:pos="800"/>
        </w:tabs>
        <w:spacing w:line="360" w:lineRule="auto"/>
        <w:jc w:val="both"/>
        <w:rPr>
          <w:rFonts w:ascii="FrankRuehl" w:hAnsi="FrankRuehl" w:cs="FrankRuehl"/>
          <w:spacing w:val="10"/>
          <w:sz w:val="24"/>
          <w:szCs w:val="28"/>
          <w:rtl/>
        </w:rPr>
      </w:pPr>
      <w:r>
        <w:rPr>
          <w:rFonts w:hint="cs"/>
          <w:rtl/>
        </w:rPr>
        <w:t xml:space="preserve">2. </w:t>
      </w:r>
      <w:r>
        <w:rPr>
          <w:rtl/>
        </w:rPr>
        <w:tab/>
      </w:r>
      <w:r w:rsidRPr="001E0D8D">
        <w:rPr>
          <w:rFonts w:ascii="FrankRuehl" w:hAnsi="FrankRuehl" w:cs="FrankRuehl" w:hint="cs"/>
          <w:spacing w:val="10"/>
          <w:sz w:val="24"/>
          <w:szCs w:val="28"/>
          <w:rtl/>
        </w:rPr>
        <w:t xml:space="preserve">חוק יחסי ממון, התשל"ג-1973 (להלן: </w:t>
      </w:r>
      <w:r w:rsidRPr="001E0D8D">
        <w:rPr>
          <w:rFonts w:ascii="FrankRuehl" w:hAnsi="FrankRuehl" w:cs="Miriam" w:hint="cs"/>
          <w:spacing w:val="10"/>
          <w:sz w:val="22"/>
          <w:rtl/>
        </w:rPr>
        <w:t>חוק יחסי ממון</w:t>
      </w:r>
      <w:r w:rsidRPr="001E0D8D">
        <w:rPr>
          <w:rFonts w:ascii="FrankRuehl" w:hAnsi="FrankRuehl" w:cs="FrankRuehl" w:hint="cs"/>
          <w:spacing w:val="10"/>
          <w:sz w:val="24"/>
          <w:szCs w:val="28"/>
          <w:rtl/>
        </w:rPr>
        <w:t xml:space="preserve">) קובע כי על הרכוש הזוגי של מי שנישאו לאחר מועד תחילתו של החוק (יום 1.1.1974) יחול "הסדר איזון משאבים". על פי הסדר זה, במועד סיום הנישואין זכאי כל אחד מבני הזוג למחצית </w:t>
      </w:r>
      <w:proofErr w:type="spellStart"/>
      <w:r w:rsidRPr="001E0D8D">
        <w:rPr>
          <w:rFonts w:ascii="FrankRuehl" w:hAnsi="FrankRuehl" w:cs="FrankRuehl" w:hint="cs"/>
          <w:spacing w:val="10"/>
          <w:sz w:val="24"/>
          <w:szCs w:val="28"/>
          <w:rtl/>
        </w:rPr>
        <w:t>שוויים</w:t>
      </w:r>
      <w:proofErr w:type="spellEnd"/>
      <w:r w:rsidRPr="001E0D8D">
        <w:rPr>
          <w:rFonts w:ascii="FrankRuehl" w:hAnsi="FrankRuehl" w:cs="FrankRuehl" w:hint="cs"/>
          <w:spacing w:val="10"/>
          <w:sz w:val="24"/>
          <w:szCs w:val="28"/>
          <w:rtl/>
        </w:rPr>
        <w:t xml:space="preserve"> של כלל נכסי בני הזוג (סעיף 5(א) לחוק; להלן: </w:t>
      </w:r>
      <w:r w:rsidRPr="001E0D8D">
        <w:rPr>
          <w:rFonts w:ascii="FrankRuehl" w:hAnsi="FrankRuehl" w:cs="Miriam" w:hint="cs"/>
          <w:spacing w:val="10"/>
          <w:sz w:val="22"/>
          <w:rtl/>
        </w:rPr>
        <w:t>נכסים בני-איזון</w:t>
      </w:r>
      <w:r w:rsidRPr="001E0D8D">
        <w:rPr>
          <w:rFonts w:ascii="FrankRuehl" w:hAnsi="FrankRuehl" w:cs="FrankRuehl" w:hint="cs"/>
          <w:spacing w:val="10"/>
          <w:sz w:val="24"/>
          <w:szCs w:val="28"/>
          <w:rtl/>
        </w:rPr>
        <w:t xml:space="preserve">), למעט נכסים שהיו לבני הזוג ערב הנישואין או שקיבלו במתנה או בירושה בתקופת הנישואין (סעיף 5(א)(1) לחוק; להלן: </w:t>
      </w:r>
      <w:r w:rsidRPr="001E0D8D">
        <w:rPr>
          <w:rFonts w:ascii="FrankRuehl" w:hAnsi="FrankRuehl" w:cs="Miriam" w:hint="cs"/>
          <w:spacing w:val="10"/>
          <w:sz w:val="22"/>
          <w:rtl/>
        </w:rPr>
        <w:t>נכסים חיצוניים</w:t>
      </w:r>
      <w:r w:rsidRPr="001E0D8D">
        <w:rPr>
          <w:rFonts w:ascii="FrankRuehl" w:hAnsi="FrankRuehl" w:cs="FrankRuehl" w:hint="cs"/>
          <w:spacing w:val="10"/>
          <w:sz w:val="24"/>
          <w:szCs w:val="28"/>
          <w:rtl/>
        </w:rPr>
        <w:t xml:space="preserve">). על נכסים חיצוניים חל ההסדר הכללי שמעוגן בסעיף 4 לחוק, ולפיו "אין בכריתת הנישואין או בקיומם כשלעצמם כדי לפגוע </w:t>
      </w:r>
      <w:proofErr w:type="spellStart"/>
      <w:r w:rsidRPr="001E0D8D">
        <w:rPr>
          <w:rFonts w:ascii="FrankRuehl" w:hAnsi="FrankRuehl" w:cs="FrankRuehl" w:hint="cs"/>
          <w:spacing w:val="10"/>
          <w:sz w:val="24"/>
          <w:szCs w:val="28"/>
          <w:rtl/>
        </w:rPr>
        <w:t>בקנינים</w:t>
      </w:r>
      <w:proofErr w:type="spellEnd"/>
      <w:r w:rsidRPr="001E0D8D">
        <w:rPr>
          <w:rFonts w:ascii="FrankRuehl" w:hAnsi="FrankRuehl" w:cs="FrankRuehl" w:hint="cs"/>
          <w:spacing w:val="10"/>
          <w:sz w:val="24"/>
          <w:szCs w:val="28"/>
          <w:rtl/>
        </w:rPr>
        <w:t xml:space="preserve"> של בני הזוג, להקנות לאחד מהם זכויות בנכסי השני או להטיל עליו אחריות לחובות השני". עם זאת, בהתאם להלכה אשר התפתחה בפסיקה לאחר חקיקתו של חוק יחסי </w:t>
      </w:r>
      <w:r w:rsidRPr="001E0D8D">
        <w:rPr>
          <w:rFonts w:ascii="FrankRuehl" w:hAnsi="FrankRuehl" w:cs="FrankRuehl" w:hint="cs"/>
          <w:spacing w:val="10"/>
          <w:sz w:val="24"/>
          <w:szCs w:val="28"/>
          <w:rtl/>
        </w:rPr>
        <w:lastRenderedPageBreak/>
        <w:t xml:space="preserve">ממון, אין להוציא מכלל אפשרות יצירת שיתוף בנכס חיצוני מסוים מכוח הדין האזרחי הכללי (להלן: </w:t>
      </w:r>
      <w:r w:rsidRPr="001E0D8D">
        <w:rPr>
          <w:rFonts w:ascii="FrankRuehl" w:hAnsi="FrankRuehl" w:cs="Miriam" w:hint="cs"/>
          <w:spacing w:val="10"/>
          <w:sz w:val="22"/>
          <w:rtl/>
        </w:rPr>
        <w:t>הלכת השיתוף הספציפי</w:t>
      </w:r>
      <w:r w:rsidRPr="001E0D8D">
        <w:rPr>
          <w:rFonts w:ascii="FrankRuehl" w:hAnsi="FrankRuehl" w:cs="FrankRuehl" w:hint="cs"/>
          <w:spacing w:val="10"/>
          <w:sz w:val="24"/>
          <w:szCs w:val="28"/>
          <w:rtl/>
        </w:rPr>
        <w:t xml:space="preserve">). על פי הלכת השיתוף הספציפי, יכול שיתגבש בין בני זוג שיתוף בנכס חיצוני בהתקיים נסיבות מסוימות – המכונות בפסיקה "דבר מה נוסף" שמעבר לעצם קיומם של חיי הנישואים. </w:t>
      </w:r>
    </w:p>
    <w:p w:rsidR="00FA3A86" w:rsidRPr="001E0D8D" w:rsidRDefault="00FA3A86" w:rsidP="00FA3A86">
      <w:pPr>
        <w:tabs>
          <w:tab w:val="left" w:pos="800"/>
        </w:tabs>
        <w:jc w:val="both"/>
        <w:rPr>
          <w:rFonts w:ascii="Garamond" w:hAnsi="Garamond" w:cs="FrankRuehl"/>
          <w:spacing w:val="10"/>
          <w:sz w:val="24"/>
          <w:szCs w:val="28"/>
          <w:rtl/>
        </w:rPr>
      </w:pPr>
    </w:p>
    <w:p w:rsidR="00FA3A86" w:rsidRPr="008F13A7" w:rsidRDefault="00FA3A86" w:rsidP="00FA3A86">
      <w:pPr>
        <w:pStyle w:val="Ruller4"/>
        <w:numPr>
          <w:ilvl w:val="0"/>
          <w:numId w:val="0"/>
        </w:numPr>
        <w:rPr>
          <w:rtl/>
        </w:rPr>
      </w:pPr>
      <w:r w:rsidRPr="001E0D8D">
        <w:rPr>
          <w:rtl/>
        </w:rPr>
        <w:tab/>
      </w:r>
      <w:r w:rsidRPr="001E0D8D">
        <w:rPr>
          <w:rFonts w:hint="cs"/>
          <w:rtl/>
        </w:rPr>
        <w:t>הלכת השיתוף הספציפי</w:t>
      </w:r>
      <w:r>
        <w:rPr>
          <w:rFonts w:hint="cs"/>
          <w:rtl/>
        </w:rPr>
        <w:t>,</w:t>
      </w:r>
      <w:r w:rsidRPr="001E0D8D">
        <w:rPr>
          <w:rFonts w:hint="cs"/>
          <w:rtl/>
        </w:rPr>
        <w:t xml:space="preserve"> והשפעתה של בגידה נטענת על </w:t>
      </w:r>
      <w:r>
        <w:rPr>
          <w:rFonts w:hint="cs"/>
          <w:rtl/>
        </w:rPr>
        <w:t xml:space="preserve">תחולתה, </w:t>
      </w:r>
      <w:r w:rsidRPr="001E0D8D">
        <w:rPr>
          <w:rFonts w:hint="cs"/>
          <w:rtl/>
        </w:rPr>
        <w:t>ה</w:t>
      </w:r>
      <w:r>
        <w:rPr>
          <w:rFonts w:hint="cs"/>
          <w:rtl/>
        </w:rPr>
        <w:t>ן</w:t>
      </w:r>
      <w:r w:rsidRPr="001E0D8D">
        <w:rPr>
          <w:rFonts w:hint="cs"/>
          <w:rtl/>
        </w:rPr>
        <w:t xml:space="preserve"> העומד</w:t>
      </w:r>
      <w:r>
        <w:rPr>
          <w:rFonts w:hint="cs"/>
          <w:rtl/>
        </w:rPr>
        <w:t>ות</w:t>
      </w:r>
      <w:r w:rsidRPr="001E0D8D">
        <w:rPr>
          <w:rFonts w:hint="cs"/>
          <w:rtl/>
        </w:rPr>
        <w:t xml:space="preserve"> במוקד הדיון הנוסף שקיימנו </w:t>
      </w:r>
      <w:r w:rsidRPr="008F13A7">
        <w:rPr>
          <w:rFonts w:hint="cs"/>
          <w:rtl/>
        </w:rPr>
        <w:t>ביום 4.8.2020 בפני הרכב מורחב של תשעה שופטים.</w:t>
      </w:r>
    </w:p>
    <w:p w:rsidR="00FA3A86" w:rsidRPr="008F13A7" w:rsidRDefault="00FA3A86" w:rsidP="00FA3A86">
      <w:pPr>
        <w:pStyle w:val="Ruller4"/>
        <w:numPr>
          <w:ilvl w:val="0"/>
          <w:numId w:val="0"/>
        </w:numPr>
        <w:rPr>
          <w:rtl/>
        </w:rPr>
      </w:pPr>
      <w:r w:rsidRPr="008F13A7">
        <w:rPr>
          <w:rFonts w:hint="cs"/>
          <w:rtl/>
        </w:rPr>
        <w:t xml:space="preserve"> </w:t>
      </w:r>
    </w:p>
    <w:p w:rsidR="00FA3A86" w:rsidRPr="008F13A7" w:rsidRDefault="00FA3A86" w:rsidP="00FA3A86">
      <w:pPr>
        <w:pStyle w:val="Ruller4"/>
        <w:numPr>
          <w:ilvl w:val="0"/>
          <w:numId w:val="0"/>
        </w:numPr>
        <w:rPr>
          <w:rFonts w:ascii="Arial TUR" w:hAnsi="Arial TUR"/>
          <w:sz w:val="22"/>
          <w:rtl/>
        </w:rPr>
      </w:pPr>
      <w:r w:rsidRPr="008F13A7">
        <w:rPr>
          <w:rFonts w:hint="cs"/>
          <w:rtl/>
        </w:rPr>
        <w:t xml:space="preserve">3. </w:t>
      </w:r>
      <w:r w:rsidRPr="008F13A7">
        <w:rPr>
          <w:rtl/>
        </w:rPr>
        <w:tab/>
      </w:r>
      <w:r w:rsidRPr="008F13A7">
        <w:rPr>
          <w:rFonts w:hint="cs"/>
          <w:rtl/>
        </w:rPr>
        <w:t xml:space="preserve">ואלה תחנות הדיון שבהן נעבור: תחילה נעמוד על מהותה של הלכת השיתוף הספציפי ועל פסקי הדין שעיגנו אותה ופירשו את היקף התפרשותה. לאחר מכן נבחן אם, על בסיס התנאים שנקבעו עד כה בפסיקה, צדק בית הדין הרבני הגדול בקבעו כי לא התגבש בין בני הזוג בענייננו שיתוף בנכס נושא ההליך. לבסוף, נתייחס לשאלה מהי הנפקות שיש לייחס </w:t>
      </w:r>
      <w:r w:rsidRPr="008F13A7">
        <w:rPr>
          <w:rtl/>
        </w:rPr>
        <w:t>–</w:t>
      </w:r>
      <w:r w:rsidRPr="008F13A7">
        <w:rPr>
          <w:rFonts w:hint="cs"/>
          <w:rtl/>
        </w:rPr>
        <w:t xml:space="preserve"> אם בכלל </w:t>
      </w:r>
      <w:r w:rsidRPr="008F13A7">
        <w:rPr>
          <w:rtl/>
        </w:rPr>
        <w:t>–</w:t>
      </w:r>
      <w:r w:rsidRPr="008F13A7">
        <w:rPr>
          <w:rFonts w:hint="cs"/>
          <w:rtl/>
        </w:rPr>
        <w:t xml:space="preserve"> לאי-נאמנות מינית של אחד מבני הזוג על עצם התגבשותו של שיתוף בנכס ספציפי, ולשאלה אם יש אפשרות לשלול עקב </w:t>
      </w:r>
      <w:r>
        <w:rPr>
          <w:rFonts w:hint="cs"/>
          <w:rtl/>
        </w:rPr>
        <w:t>כך</w:t>
      </w:r>
      <w:r w:rsidRPr="008F13A7">
        <w:rPr>
          <w:rFonts w:hint="cs"/>
          <w:rtl/>
        </w:rPr>
        <w:t xml:space="preserve"> שיתוף שהתגבש בנכס.</w:t>
      </w:r>
    </w:p>
    <w:p w:rsidR="00FA3A86" w:rsidRDefault="00FA3A86" w:rsidP="00FA3A86">
      <w:pPr>
        <w:pStyle w:val="Ruller41"/>
        <w:rPr>
          <w:rtl/>
        </w:rPr>
      </w:pPr>
    </w:p>
    <w:p w:rsidR="007B0327" w:rsidRPr="008F13A7" w:rsidRDefault="007B0327" w:rsidP="00FA3A86">
      <w:pPr>
        <w:pStyle w:val="Ruller41"/>
        <w:rPr>
          <w:rtl/>
        </w:rPr>
      </w:pPr>
    </w:p>
    <w:p w:rsidR="00FA3A86" w:rsidRPr="00604EF9" w:rsidRDefault="00FA3A86" w:rsidP="00FA3A86">
      <w:pPr>
        <w:pStyle w:val="1"/>
        <w:rPr>
          <w:rtl/>
        </w:rPr>
      </w:pPr>
      <w:r w:rsidRPr="008F13A7">
        <w:rPr>
          <w:rFonts w:hint="cs"/>
          <w:rtl/>
        </w:rPr>
        <w:t>רקע עובדתי והשתלשלות ההליכים</w:t>
      </w:r>
      <w:r w:rsidRPr="00604EF9">
        <w:rPr>
          <w:rFonts w:hint="cs"/>
          <w:rtl/>
        </w:rPr>
        <w:t xml:space="preserve"> </w:t>
      </w:r>
    </w:p>
    <w:p w:rsidR="00FA3A86" w:rsidRDefault="00FA3A86" w:rsidP="00FA3A86">
      <w:pPr>
        <w:pStyle w:val="Ruller4"/>
        <w:numPr>
          <w:ilvl w:val="0"/>
          <w:numId w:val="0"/>
        </w:numPr>
        <w:rPr>
          <w:rFonts w:ascii="Arial TUR" w:hAnsi="Arial TUR"/>
          <w:sz w:val="22"/>
          <w:rtl/>
        </w:rPr>
      </w:pPr>
    </w:p>
    <w:p w:rsidR="00FA3A86" w:rsidRDefault="00FA3A86" w:rsidP="00FA3A86">
      <w:pPr>
        <w:pStyle w:val="Ruller4"/>
        <w:numPr>
          <w:ilvl w:val="0"/>
          <w:numId w:val="0"/>
        </w:numPr>
        <w:rPr>
          <w:rtl/>
        </w:rPr>
      </w:pPr>
      <w:r>
        <w:rPr>
          <w:rFonts w:ascii="Arial TUR" w:hAnsi="Arial TUR" w:hint="cs"/>
          <w:sz w:val="22"/>
          <w:rtl/>
        </w:rPr>
        <w:t xml:space="preserve">4. </w:t>
      </w:r>
      <w:r>
        <w:rPr>
          <w:rFonts w:ascii="Arial TUR" w:hAnsi="Arial TUR"/>
          <w:sz w:val="22"/>
          <w:rtl/>
        </w:rPr>
        <w:tab/>
      </w:r>
      <w:r w:rsidRPr="00604EF9">
        <w:rPr>
          <w:rFonts w:hint="cs"/>
          <w:rtl/>
        </w:rPr>
        <w:t xml:space="preserve">המבקשת והמשיב 3 (להלן: </w:t>
      </w:r>
      <w:r w:rsidRPr="00604EF9">
        <w:rPr>
          <w:rFonts w:ascii="Century" w:hAnsi="Century" w:cs="Miriam" w:hint="cs"/>
          <w:b/>
          <w:szCs w:val="24"/>
          <w:rtl/>
        </w:rPr>
        <w:t>המשיב</w:t>
      </w:r>
      <w:r w:rsidRPr="00604EF9">
        <w:rPr>
          <w:rFonts w:hint="cs"/>
          <w:rtl/>
        </w:rPr>
        <w:t xml:space="preserve">) נישאו זו לזה בשנת 1982 ולהם שלושה ילדים בגירים. לאחר למעלה משלושים שנות נישואין, הגיש המשיב בפברואר 2013 תביעת </w:t>
      </w:r>
      <w:r w:rsidRPr="005E1BD5">
        <w:rPr>
          <w:rFonts w:hint="cs"/>
          <w:rtl/>
        </w:rPr>
        <w:t xml:space="preserve">גירושין לבית הדין הרבני האזורי בחיפה </w:t>
      </w:r>
      <w:r w:rsidRPr="005E1BD5">
        <w:rPr>
          <w:rtl/>
        </w:rPr>
        <w:t>(</w:t>
      </w:r>
      <w:r w:rsidRPr="005E1BD5">
        <w:rPr>
          <w:rFonts w:hint="eastAsia"/>
          <w:rtl/>
        </w:rPr>
        <w:t>להלן</w:t>
      </w:r>
      <w:r w:rsidRPr="005E1BD5">
        <w:rPr>
          <w:rtl/>
        </w:rPr>
        <w:t xml:space="preserve">: </w:t>
      </w:r>
      <w:r w:rsidRPr="005E1BD5">
        <w:rPr>
          <w:rFonts w:ascii="Century" w:hAnsi="Century" w:cs="Miriam" w:hint="cs"/>
          <w:b/>
          <w:sz w:val="22"/>
          <w:szCs w:val="24"/>
          <w:rtl/>
        </w:rPr>
        <w:t>בית הדין האזורי</w:t>
      </w:r>
      <w:r w:rsidRPr="005E1BD5">
        <w:rPr>
          <w:rFonts w:ascii="Century" w:hAnsi="Century" w:hint="cs"/>
          <w:sz w:val="22"/>
          <w:rtl/>
        </w:rPr>
        <w:t>)</w:t>
      </w:r>
      <w:r w:rsidRPr="005E1BD5">
        <w:rPr>
          <w:rFonts w:hint="cs"/>
          <w:rtl/>
        </w:rPr>
        <w:t xml:space="preserve">, </w:t>
      </w:r>
      <w:r>
        <w:rPr>
          <w:rFonts w:hint="cs"/>
          <w:rtl/>
        </w:rPr>
        <w:t>בה</w:t>
      </w:r>
      <w:r w:rsidRPr="005E1BD5">
        <w:rPr>
          <w:rFonts w:hint="cs"/>
          <w:rtl/>
        </w:rPr>
        <w:t xml:space="preserve"> כרך את ענייני הרכוש. בין יתר עילות הגירושין, טען המשיב </w:t>
      </w:r>
      <w:r>
        <w:rPr>
          <w:rFonts w:hint="cs"/>
          <w:rtl/>
        </w:rPr>
        <w:t>כי מספר חודשים טרם הגשת הבקשה בגדה בו אשתו עם אחר</w:t>
      </w:r>
      <w:r w:rsidRPr="005E1BD5">
        <w:rPr>
          <w:rFonts w:hint="cs"/>
          <w:rtl/>
        </w:rPr>
        <w:t xml:space="preserve">. בית הדין האזורי חייב את המבקשת </w:t>
      </w:r>
      <w:r>
        <w:rPr>
          <w:rFonts w:hint="cs"/>
          <w:rtl/>
        </w:rPr>
        <w:t>לקבל</w:t>
      </w:r>
      <w:r w:rsidRPr="005E1BD5">
        <w:rPr>
          <w:rFonts w:hint="cs"/>
          <w:rtl/>
        </w:rPr>
        <w:t xml:space="preserve"> גט, אך זו סירבה והגישה עתירה לבית משפט זה (בג"ץ 4602/13). במסגרת העתירה הגיעו הצדדים להסכמה שקיבלה תוקף של החלטה, לפיה המבקשת תסכים להתגרש מהמשיב ותעזוב את בית המגורים "מבלי שהדבר ישתמע כהוא זה </w:t>
      </w:r>
      <w:proofErr w:type="spellStart"/>
      <w:r w:rsidRPr="005E1BD5">
        <w:rPr>
          <w:rFonts w:hint="cs"/>
          <w:rtl/>
        </w:rPr>
        <w:t>כויתור</w:t>
      </w:r>
      <w:proofErr w:type="spellEnd"/>
      <w:r w:rsidRPr="005E1BD5">
        <w:rPr>
          <w:rFonts w:hint="cs"/>
          <w:rtl/>
        </w:rPr>
        <w:t xml:space="preserve"> על תביעתה לזכויות בבית (אם </w:t>
      </w:r>
      <w:proofErr w:type="spellStart"/>
      <w:r w:rsidRPr="005E1BD5">
        <w:rPr>
          <w:rFonts w:hint="cs"/>
          <w:rtl/>
        </w:rPr>
        <w:t>מכח</w:t>
      </w:r>
      <w:proofErr w:type="spellEnd"/>
      <w:r w:rsidRPr="005E1BD5">
        <w:rPr>
          <w:rFonts w:hint="cs"/>
          <w:rtl/>
        </w:rPr>
        <w:t xml:space="preserve"> חזקת שיתוף ספציפי או כל טענה אחרת)"</w:t>
      </w:r>
      <w:r>
        <w:rPr>
          <w:rFonts w:hint="cs"/>
          <w:rtl/>
        </w:rPr>
        <w:t xml:space="preserve"> וכי עניין הרכוש יידון "בהתאם לחוק ולהלכה הפסוקה" </w:t>
      </w:r>
      <w:r w:rsidRPr="005E1BD5">
        <w:rPr>
          <w:rFonts w:hint="cs"/>
          <w:rtl/>
        </w:rPr>
        <w:t>(</w:t>
      </w:r>
      <w:r w:rsidRPr="005E1BD5">
        <w:rPr>
          <w:rFonts w:hint="eastAsia"/>
          <w:rtl/>
        </w:rPr>
        <w:t>ראו</w:t>
      </w:r>
      <w:r w:rsidRPr="005E1BD5">
        <w:rPr>
          <w:rtl/>
        </w:rPr>
        <w:t xml:space="preserve"> </w:t>
      </w:r>
      <w:r w:rsidRPr="005E1BD5">
        <w:rPr>
          <w:rFonts w:hint="eastAsia"/>
          <w:rtl/>
        </w:rPr>
        <w:t>החלטת</w:t>
      </w:r>
      <w:r w:rsidRPr="005E1BD5">
        <w:rPr>
          <w:rtl/>
        </w:rPr>
        <w:t xml:space="preserve"> </w:t>
      </w:r>
      <w:r w:rsidRPr="005E1BD5">
        <w:rPr>
          <w:rFonts w:hint="eastAsia"/>
          <w:rtl/>
        </w:rPr>
        <w:t>השופט</w:t>
      </w:r>
      <w:r w:rsidRPr="005E1BD5">
        <w:rPr>
          <w:rtl/>
        </w:rPr>
        <w:t xml:space="preserve"> </w:t>
      </w:r>
      <w:r w:rsidRPr="005E1BD5">
        <w:rPr>
          <w:rFonts w:ascii="Century" w:hAnsi="Century" w:cs="Miriam" w:hint="eastAsia"/>
          <w:b/>
          <w:sz w:val="22"/>
          <w:szCs w:val="24"/>
          <w:rtl/>
        </w:rPr>
        <w:t>י</w:t>
      </w:r>
      <w:r w:rsidRPr="005E1BD5">
        <w:rPr>
          <w:rFonts w:ascii="Century" w:hAnsi="Century" w:cs="Miriam"/>
          <w:b/>
          <w:sz w:val="22"/>
          <w:szCs w:val="24"/>
          <w:rtl/>
        </w:rPr>
        <w:t xml:space="preserve">' </w:t>
      </w:r>
      <w:r w:rsidRPr="005E1BD5">
        <w:rPr>
          <w:rFonts w:ascii="Century" w:hAnsi="Century" w:cs="Miriam" w:hint="eastAsia"/>
          <w:b/>
          <w:sz w:val="22"/>
          <w:szCs w:val="24"/>
          <w:rtl/>
        </w:rPr>
        <w:t>עמית</w:t>
      </w:r>
      <w:r w:rsidRPr="005E1BD5">
        <w:rPr>
          <w:rtl/>
        </w:rPr>
        <w:t xml:space="preserve"> </w:t>
      </w:r>
      <w:r w:rsidRPr="005E1BD5">
        <w:rPr>
          <w:rFonts w:hint="eastAsia"/>
          <w:rtl/>
        </w:rPr>
        <w:t>בבג</w:t>
      </w:r>
      <w:r w:rsidRPr="005E1BD5">
        <w:rPr>
          <w:rFonts w:hint="cs"/>
          <w:rtl/>
        </w:rPr>
        <w:t>"</w:t>
      </w:r>
      <w:r w:rsidRPr="005E1BD5">
        <w:rPr>
          <w:rFonts w:hint="eastAsia"/>
          <w:rtl/>
        </w:rPr>
        <w:t>ץ</w:t>
      </w:r>
      <w:r w:rsidRPr="005E1BD5">
        <w:rPr>
          <w:rtl/>
        </w:rPr>
        <w:t xml:space="preserve"> 4602/13‏ </w:t>
      </w:r>
      <w:r w:rsidRPr="005E1BD5">
        <w:rPr>
          <w:rFonts w:hint="eastAsia"/>
          <w:rtl/>
        </w:rPr>
        <w:t>מיום</w:t>
      </w:r>
      <w:r w:rsidRPr="005E1BD5">
        <w:rPr>
          <w:rtl/>
        </w:rPr>
        <w:t xml:space="preserve"> 3.7.2013)</w:t>
      </w:r>
      <w:r w:rsidRPr="005E1BD5">
        <w:rPr>
          <w:rFonts w:hint="cs"/>
          <w:rtl/>
        </w:rPr>
        <w:t>. המבקשת וה</w:t>
      </w:r>
      <w:r w:rsidRPr="00604EF9">
        <w:rPr>
          <w:rFonts w:hint="cs"/>
          <w:rtl/>
        </w:rPr>
        <w:t xml:space="preserve">משיב אכן התגרשו בעקבות ההסכמה, אך המשיכו להתדיין בנושא הרכוש בבית הדין האזורי. </w:t>
      </w:r>
    </w:p>
    <w:p w:rsidR="00FA3A86" w:rsidRDefault="00FA3A86" w:rsidP="00FA3A86">
      <w:pPr>
        <w:pStyle w:val="Ruller4"/>
        <w:numPr>
          <w:ilvl w:val="0"/>
          <w:numId w:val="0"/>
        </w:numPr>
        <w:rPr>
          <w:rtl/>
        </w:rPr>
      </w:pPr>
    </w:p>
    <w:p w:rsidR="00FA3A86" w:rsidRPr="00604EF9" w:rsidRDefault="00FA3A86" w:rsidP="00FA3A86">
      <w:pPr>
        <w:pStyle w:val="Ruller4"/>
        <w:numPr>
          <w:ilvl w:val="0"/>
          <w:numId w:val="0"/>
        </w:numPr>
        <w:rPr>
          <w:rtl/>
        </w:rPr>
      </w:pPr>
      <w:r>
        <w:rPr>
          <w:rFonts w:hint="cs"/>
          <w:rtl/>
        </w:rPr>
        <w:t xml:space="preserve">5. </w:t>
      </w:r>
      <w:r>
        <w:rPr>
          <w:rtl/>
        </w:rPr>
        <w:tab/>
      </w:r>
      <w:r w:rsidRPr="00604EF9">
        <w:rPr>
          <w:rFonts w:hint="cs"/>
          <w:rtl/>
        </w:rPr>
        <w:t xml:space="preserve">המחלוקת העיקרית בין </w:t>
      </w:r>
      <w:r>
        <w:rPr>
          <w:rFonts w:hint="cs"/>
          <w:rtl/>
        </w:rPr>
        <w:t>בני הזוג</w:t>
      </w:r>
      <w:r w:rsidRPr="00604EF9">
        <w:rPr>
          <w:rFonts w:hint="cs"/>
          <w:rtl/>
        </w:rPr>
        <w:t xml:space="preserve"> נסובה על בית המגורים שבו התגוררו</w:t>
      </w:r>
      <w:r>
        <w:rPr>
          <w:rFonts w:hint="cs"/>
          <w:rtl/>
        </w:rPr>
        <w:t xml:space="preserve"> יחד</w:t>
      </w:r>
      <w:r w:rsidRPr="00604EF9">
        <w:rPr>
          <w:rFonts w:hint="cs"/>
          <w:rtl/>
        </w:rPr>
        <w:t xml:space="preserve"> </w:t>
      </w:r>
      <w:r>
        <w:rPr>
          <w:rFonts w:hint="cs"/>
          <w:rtl/>
        </w:rPr>
        <w:t>במשך למעלה מעשרים שנה, עד שנתגלע ה</w:t>
      </w:r>
      <w:r w:rsidRPr="00604EF9">
        <w:rPr>
          <w:rFonts w:hint="cs"/>
          <w:rtl/>
        </w:rPr>
        <w:t>קרע ביניהם בשנת 2013. בית המגורים נבנה</w:t>
      </w:r>
      <w:r>
        <w:rPr>
          <w:rFonts w:hint="cs"/>
          <w:rtl/>
        </w:rPr>
        <w:t xml:space="preserve"> </w:t>
      </w:r>
      <w:r>
        <w:rPr>
          <w:rFonts w:hint="cs"/>
          <w:rtl/>
        </w:rPr>
        <w:lastRenderedPageBreak/>
        <w:t>כאמור,</w:t>
      </w:r>
      <w:r w:rsidRPr="00604EF9">
        <w:rPr>
          <w:rFonts w:hint="cs"/>
          <w:rtl/>
        </w:rPr>
        <w:t xml:space="preserve"> על מגרש שקיבל המשיב בירושה חודשים</w:t>
      </w:r>
      <w:r>
        <w:rPr>
          <w:rFonts w:hint="cs"/>
          <w:rtl/>
        </w:rPr>
        <w:t xml:space="preserve"> אחדים</w:t>
      </w:r>
      <w:r w:rsidRPr="00604EF9">
        <w:rPr>
          <w:rFonts w:hint="cs"/>
          <w:rtl/>
        </w:rPr>
        <w:t xml:space="preserve"> טרם נישואיו למבקשת בשנת 1982.</w:t>
      </w:r>
      <w:r>
        <w:rPr>
          <w:rFonts w:hint="cs"/>
          <w:rtl/>
        </w:rPr>
        <w:t xml:space="preserve"> כשש שנים לאחר הנישואין,</w:t>
      </w:r>
      <w:r w:rsidRPr="00604EF9">
        <w:rPr>
          <w:rFonts w:hint="cs"/>
          <w:rtl/>
        </w:rPr>
        <w:t xml:space="preserve"> בשנת 1988</w:t>
      </w:r>
      <w:r>
        <w:rPr>
          <w:rFonts w:hint="cs"/>
          <w:rtl/>
        </w:rPr>
        <w:t xml:space="preserve">, </w:t>
      </w:r>
      <w:r w:rsidRPr="00604EF9">
        <w:rPr>
          <w:rFonts w:hint="cs"/>
          <w:rtl/>
        </w:rPr>
        <w:t>התקשר המשיב בעסקת קומבינציה עם קבלן והעביר לו 3/4 מהמגרש</w:t>
      </w:r>
      <w:r>
        <w:rPr>
          <w:rFonts w:hint="cs"/>
          <w:rtl/>
        </w:rPr>
        <w:t>,</w:t>
      </w:r>
      <w:r w:rsidRPr="00604EF9">
        <w:rPr>
          <w:rFonts w:hint="cs"/>
          <w:rtl/>
        </w:rPr>
        <w:t xml:space="preserve"> בתמורה לבניית בית מגורים על הרבע הנותר</w:t>
      </w:r>
      <w:r>
        <w:rPr>
          <w:rFonts w:hint="cs"/>
          <w:rtl/>
        </w:rPr>
        <w:t xml:space="preserve"> (</w:t>
      </w:r>
      <w:r w:rsidRPr="00604EF9">
        <w:rPr>
          <w:rFonts w:hint="cs"/>
          <w:rtl/>
        </w:rPr>
        <w:t xml:space="preserve">וכן תשלום </w:t>
      </w:r>
      <w:r>
        <w:rPr>
          <w:rFonts w:hint="cs"/>
          <w:rtl/>
        </w:rPr>
        <w:t xml:space="preserve">בסך </w:t>
      </w:r>
      <w:r w:rsidRPr="00604EF9">
        <w:rPr>
          <w:rFonts w:hint="cs"/>
          <w:rtl/>
        </w:rPr>
        <w:t>30,000 דולר</w:t>
      </w:r>
      <w:r>
        <w:rPr>
          <w:rFonts w:hint="cs"/>
          <w:rtl/>
        </w:rPr>
        <w:t xml:space="preserve"> מהקבלן)</w:t>
      </w:r>
      <w:r w:rsidRPr="00604EF9">
        <w:rPr>
          <w:rFonts w:hint="cs"/>
          <w:rtl/>
        </w:rPr>
        <w:t>. בית הדין האזורי עמד על כך ש</w:t>
      </w:r>
      <w:r w:rsidRPr="00604EF9">
        <w:rPr>
          <w:rFonts w:hint="eastAsia"/>
          <w:rtl/>
        </w:rPr>
        <w:t>בהתאם</w:t>
      </w:r>
      <w:r w:rsidRPr="00604EF9">
        <w:rPr>
          <w:rtl/>
        </w:rPr>
        <w:t xml:space="preserve"> </w:t>
      </w:r>
      <w:r w:rsidRPr="00604EF9">
        <w:rPr>
          <w:rFonts w:hint="eastAsia"/>
          <w:rtl/>
        </w:rPr>
        <w:t>לסעיף</w:t>
      </w:r>
      <w:r w:rsidRPr="00604EF9">
        <w:rPr>
          <w:rtl/>
        </w:rPr>
        <w:t xml:space="preserve"> 5(</w:t>
      </w:r>
      <w:r w:rsidRPr="00604EF9">
        <w:rPr>
          <w:rFonts w:hint="eastAsia"/>
          <w:rtl/>
        </w:rPr>
        <w:t>א</w:t>
      </w:r>
      <w:r w:rsidRPr="00604EF9">
        <w:rPr>
          <w:rtl/>
        </w:rPr>
        <w:t>)(1)</w:t>
      </w:r>
      <w:r w:rsidRPr="00604EF9">
        <w:rPr>
          <w:rFonts w:hint="cs"/>
          <w:rtl/>
        </w:rPr>
        <w:t xml:space="preserve"> לחוק יחסי ממון, </w:t>
      </w:r>
      <w:r w:rsidRPr="00604EF9">
        <w:rPr>
          <w:rFonts w:hint="eastAsia"/>
          <w:rtl/>
        </w:rPr>
        <w:t>נכס</w:t>
      </w:r>
      <w:r w:rsidRPr="00604EF9">
        <w:rPr>
          <w:rtl/>
        </w:rPr>
        <w:t xml:space="preserve"> </w:t>
      </w:r>
      <w:r w:rsidRPr="00604EF9">
        <w:rPr>
          <w:rFonts w:hint="eastAsia"/>
          <w:rtl/>
        </w:rPr>
        <w:t>שה</w:t>
      </w:r>
      <w:r w:rsidRPr="00604EF9">
        <w:rPr>
          <w:rFonts w:hint="cs"/>
          <w:rtl/>
        </w:rPr>
        <w:t xml:space="preserve">ביא עמו אחד הצדדים לנישואין </w:t>
      </w:r>
      <w:r w:rsidRPr="00604EF9">
        <w:rPr>
          <w:rFonts w:hint="eastAsia"/>
          <w:rtl/>
        </w:rPr>
        <w:t>אינו</w:t>
      </w:r>
      <w:r w:rsidRPr="00604EF9">
        <w:rPr>
          <w:rtl/>
        </w:rPr>
        <w:t xml:space="preserve"> </w:t>
      </w:r>
      <w:r w:rsidRPr="00604EF9">
        <w:rPr>
          <w:rFonts w:hint="eastAsia"/>
          <w:rtl/>
        </w:rPr>
        <w:t>נכס</w:t>
      </w:r>
      <w:r w:rsidRPr="00604EF9">
        <w:rPr>
          <w:rtl/>
        </w:rPr>
        <w:t xml:space="preserve"> </w:t>
      </w:r>
      <w:r w:rsidRPr="00604EF9">
        <w:rPr>
          <w:rFonts w:hint="eastAsia"/>
          <w:rtl/>
        </w:rPr>
        <w:t>בר</w:t>
      </w:r>
      <w:r>
        <w:rPr>
          <w:rFonts w:hint="cs"/>
          <w:rtl/>
        </w:rPr>
        <w:t>-</w:t>
      </w:r>
      <w:r w:rsidRPr="00604EF9">
        <w:rPr>
          <w:rFonts w:hint="eastAsia"/>
          <w:rtl/>
        </w:rPr>
        <w:t>איזון</w:t>
      </w:r>
      <w:r w:rsidRPr="00604EF9">
        <w:rPr>
          <w:rFonts w:hint="cs"/>
          <w:rtl/>
        </w:rPr>
        <w:t xml:space="preserve">. </w:t>
      </w:r>
      <w:r>
        <w:rPr>
          <w:rFonts w:hint="cs"/>
          <w:rtl/>
        </w:rPr>
        <w:t xml:space="preserve">לפיכך, נפנה בית הדין לבחון את סוגית תחולת הלכת השיתוף הספציפי. בהקשר זה ציין בית הדין האזורי כי "באשר לפן המשפטי, ידועים הקריטריונים האמורים בפסיקה, ובעיקר בפסק דין בג"ץ הידוע (בע"מ 1398/11) שם ציינו שופטי בית המשפט העליון את הקריטריונים העקרוניים לשיטתם...". בהתאם לקריטריונים אלה קבע בית הדין כי </w:t>
      </w:r>
      <w:r w:rsidRPr="00604EF9">
        <w:rPr>
          <w:rFonts w:hint="cs"/>
          <w:rtl/>
        </w:rPr>
        <w:t xml:space="preserve">המבקשת </w:t>
      </w:r>
      <w:r>
        <w:rPr>
          <w:rFonts w:hint="cs"/>
          <w:rtl/>
        </w:rPr>
        <w:t>הוכיחה</w:t>
      </w:r>
      <w:r w:rsidRPr="00604EF9">
        <w:rPr>
          <w:rFonts w:hint="cs"/>
          <w:rtl/>
        </w:rPr>
        <w:t xml:space="preserve"> שיתוף ספציפי בבית המגורים.</w:t>
      </w:r>
      <w:r>
        <w:rPr>
          <w:rFonts w:hint="cs"/>
          <w:rtl/>
        </w:rPr>
        <w:t xml:space="preserve"> זאת, נוכח</w:t>
      </w:r>
      <w:r w:rsidRPr="00604EF9">
        <w:rPr>
          <w:rtl/>
        </w:rPr>
        <w:t xml:space="preserve"> </w:t>
      </w:r>
      <w:r w:rsidRPr="00604EF9">
        <w:rPr>
          <w:rFonts w:hint="eastAsia"/>
          <w:rtl/>
        </w:rPr>
        <w:t>שיפוץ</w:t>
      </w:r>
      <w:r w:rsidRPr="00604EF9">
        <w:rPr>
          <w:rtl/>
        </w:rPr>
        <w:t xml:space="preserve"> </w:t>
      </w:r>
      <w:r w:rsidRPr="00604EF9">
        <w:rPr>
          <w:rFonts w:hint="eastAsia"/>
          <w:rtl/>
        </w:rPr>
        <w:t>משותף</w:t>
      </w:r>
      <w:r>
        <w:rPr>
          <w:rFonts w:hint="cs"/>
          <w:rtl/>
        </w:rPr>
        <w:t xml:space="preserve"> שביצעו בני הזוג בבית</w:t>
      </w:r>
      <w:r w:rsidRPr="00604EF9">
        <w:rPr>
          <w:rFonts w:hint="cs"/>
          <w:rtl/>
        </w:rPr>
        <w:t xml:space="preserve"> שלא היה "מינורי ושגרתי"; נוכח התקופה הארוכה שבה התגוררו יחד בבית; ומשום ש</w:t>
      </w:r>
      <w:r w:rsidRPr="00604EF9">
        <w:rPr>
          <w:rtl/>
        </w:rPr>
        <w:t>"</w:t>
      </w:r>
      <w:r w:rsidRPr="00604EF9">
        <w:rPr>
          <w:rFonts w:hint="eastAsia"/>
          <w:rtl/>
        </w:rPr>
        <w:t>בנידון</w:t>
      </w:r>
      <w:r w:rsidRPr="00604EF9">
        <w:rPr>
          <w:rtl/>
        </w:rPr>
        <w:t xml:space="preserve"> </w:t>
      </w:r>
      <w:r w:rsidRPr="00604EF9">
        <w:rPr>
          <w:rFonts w:hint="eastAsia"/>
          <w:rtl/>
        </w:rPr>
        <w:t>דנן</w:t>
      </w:r>
      <w:r w:rsidRPr="00604EF9">
        <w:rPr>
          <w:rtl/>
        </w:rPr>
        <w:t xml:space="preserve"> </w:t>
      </w:r>
      <w:r w:rsidRPr="00604EF9">
        <w:rPr>
          <w:rFonts w:hint="eastAsia"/>
          <w:rtl/>
        </w:rPr>
        <w:t>לא</w:t>
      </w:r>
      <w:r w:rsidRPr="00604EF9">
        <w:rPr>
          <w:rtl/>
        </w:rPr>
        <w:t xml:space="preserve"> </w:t>
      </w:r>
      <w:r w:rsidRPr="00604EF9">
        <w:rPr>
          <w:rFonts w:hint="eastAsia"/>
          <w:rtl/>
        </w:rPr>
        <w:t>עסקינן</w:t>
      </w:r>
      <w:r w:rsidRPr="00604EF9">
        <w:rPr>
          <w:rtl/>
        </w:rPr>
        <w:t xml:space="preserve"> </w:t>
      </w:r>
      <w:r w:rsidRPr="00604EF9">
        <w:rPr>
          <w:rFonts w:hint="eastAsia"/>
          <w:rtl/>
        </w:rPr>
        <w:t>בבית</w:t>
      </w:r>
      <w:r w:rsidRPr="00604EF9">
        <w:rPr>
          <w:rtl/>
        </w:rPr>
        <w:t xml:space="preserve"> </w:t>
      </w:r>
      <w:r w:rsidRPr="00604EF9">
        <w:rPr>
          <w:rFonts w:hint="eastAsia"/>
          <w:rtl/>
        </w:rPr>
        <w:t>שהביא</w:t>
      </w:r>
      <w:r w:rsidRPr="00604EF9">
        <w:rPr>
          <w:rtl/>
        </w:rPr>
        <w:t xml:space="preserve"> </w:t>
      </w:r>
      <w:r w:rsidRPr="00604EF9">
        <w:rPr>
          <w:rFonts w:hint="eastAsia"/>
          <w:rtl/>
        </w:rPr>
        <w:t>עמו</w:t>
      </w:r>
      <w:r w:rsidRPr="00604EF9">
        <w:rPr>
          <w:rtl/>
        </w:rPr>
        <w:t xml:space="preserve"> </w:t>
      </w:r>
      <w:r w:rsidRPr="00604EF9">
        <w:rPr>
          <w:rFonts w:hint="eastAsia"/>
          <w:rtl/>
        </w:rPr>
        <w:t>הבעל</w:t>
      </w:r>
      <w:r w:rsidRPr="00604EF9">
        <w:rPr>
          <w:rtl/>
        </w:rPr>
        <w:t xml:space="preserve"> </w:t>
      </w:r>
      <w:r w:rsidRPr="00604EF9">
        <w:rPr>
          <w:rFonts w:hint="eastAsia"/>
          <w:rtl/>
        </w:rPr>
        <w:t>מלפני</w:t>
      </w:r>
      <w:r w:rsidRPr="00604EF9">
        <w:rPr>
          <w:rtl/>
        </w:rPr>
        <w:t xml:space="preserve"> </w:t>
      </w:r>
      <w:r w:rsidRPr="00604EF9">
        <w:rPr>
          <w:rFonts w:hint="eastAsia"/>
          <w:rtl/>
        </w:rPr>
        <w:t>הנישואי</w:t>
      </w:r>
      <w:r>
        <w:rPr>
          <w:rFonts w:hint="cs"/>
          <w:rtl/>
        </w:rPr>
        <w:t>ן</w:t>
      </w:r>
      <w:r w:rsidRPr="00604EF9">
        <w:rPr>
          <w:rtl/>
        </w:rPr>
        <w:t xml:space="preserve">, </w:t>
      </w:r>
      <w:r w:rsidRPr="00604EF9">
        <w:rPr>
          <w:rFonts w:hint="eastAsia"/>
          <w:rtl/>
        </w:rPr>
        <w:t>אלא</w:t>
      </w:r>
      <w:r w:rsidRPr="00604EF9">
        <w:rPr>
          <w:rtl/>
        </w:rPr>
        <w:t xml:space="preserve"> </w:t>
      </w:r>
      <w:r w:rsidRPr="00604EF9">
        <w:rPr>
          <w:rFonts w:hint="eastAsia"/>
          <w:rtl/>
        </w:rPr>
        <w:t>עסקינן</w:t>
      </w:r>
      <w:r w:rsidRPr="00604EF9">
        <w:rPr>
          <w:rtl/>
        </w:rPr>
        <w:t xml:space="preserve"> </w:t>
      </w:r>
      <w:r w:rsidRPr="00604EF9">
        <w:rPr>
          <w:rFonts w:hint="eastAsia"/>
          <w:rtl/>
        </w:rPr>
        <w:t>בבית</w:t>
      </w:r>
      <w:r w:rsidRPr="00604EF9">
        <w:rPr>
          <w:rtl/>
        </w:rPr>
        <w:t xml:space="preserve"> </w:t>
      </w:r>
      <w:r w:rsidRPr="00604EF9">
        <w:rPr>
          <w:rFonts w:hint="eastAsia"/>
          <w:rtl/>
        </w:rPr>
        <w:t>שנבנה</w:t>
      </w:r>
      <w:r w:rsidRPr="00604EF9">
        <w:rPr>
          <w:rtl/>
        </w:rPr>
        <w:t xml:space="preserve"> </w:t>
      </w:r>
      <w:r w:rsidRPr="00604EF9">
        <w:rPr>
          <w:rFonts w:hint="eastAsia"/>
          <w:rtl/>
        </w:rPr>
        <w:t>בעת</w:t>
      </w:r>
      <w:r w:rsidRPr="00604EF9">
        <w:rPr>
          <w:rtl/>
        </w:rPr>
        <w:t xml:space="preserve"> </w:t>
      </w:r>
      <w:r w:rsidRPr="00604EF9">
        <w:rPr>
          <w:rFonts w:hint="eastAsia"/>
          <w:rtl/>
        </w:rPr>
        <w:t>החיים</w:t>
      </w:r>
      <w:r w:rsidRPr="00604EF9">
        <w:rPr>
          <w:rtl/>
        </w:rPr>
        <w:t xml:space="preserve"> </w:t>
      </w:r>
      <w:r w:rsidRPr="00604EF9">
        <w:rPr>
          <w:rFonts w:hint="eastAsia"/>
          <w:rtl/>
        </w:rPr>
        <w:t>ה</w:t>
      </w:r>
      <w:r w:rsidRPr="00604EF9">
        <w:rPr>
          <w:rFonts w:hint="cs"/>
          <w:rtl/>
        </w:rPr>
        <w:t>מ</w:t>
      </w:r>
      <w:r w:rsidRPr="00604EF9">
        <w:rPr>
          <w:rFonts w:hint="eastAsia"/>
          <w:rtl/>
        </w:rPr>
        <w:t>שותפים</w:t>
      </w:r>
      <w:r w:rsidRPr="00604EF9">
        <w:rPr>
          <w:rtl/>
        </w:rPr>
        <w:t xml:space="preserve"> </w:t>
      </w:r>
      <w:r w:rsidRPr="00604EF9">
        <w:rPr>
          <w:rFonts w:hint="eastAsia"/>
          <w:rtl/>
        </w:rPr>
        <w:t>ע</w:t>
      </w:r>
      <w:r w:rsidRPr="00604EF9">
        <w:rPr>
          <w:rtl/>
        </w:rPr>
        <w:t>"</w:t>
      </w:r>
      <w:r w:rsidRPr="00604EF9">
        <w:rPr>
          <w:rFonts w:hint="eastAsia"/>
          <w:rtl/>
        </w:rPr>
        <w:t>י</w:t>
      </w:r>
      <w:r w:rsidRPr="00604EF9">
        <w:rPr>
          <w:rtl/>
        </w:rPr>
        <w:t xml:space="preserve"> </w:t>
      </w:r>
      <w:r w:rsidRPr="00604EF9">
        <w:rPr>
          <w:rFonts w:hint="eastAsia"/>
          <w:rtl/>
        </w:rPr>
        <w:t>שני</w:t>
      </w:r>
      <w:r w:rsidRPr="00604EF9">
        <w:rPr>
          <w:rtl/>
        </w:rPr>
        <w:t xml:space="preserve"> </w:t>
      </w:r>
      <w:r w:rsidRPr="00604EF9">
        <w:rPr>
          <w:rFonts w:hint="eastAsia"/>
          <w:rtl/>
        </w:rPr>
        <w:t>הצדדים</w:t>
      </w:r>
      <w:r w:rsidRPr="00604EF9">
        <w:rPr>
          <w:rtl/>
        </w:rPr>
        <w:t xml:space="preserve">, </w:t>
      </w:r>
      <w:r w:rsidRPr="00604EF9">
        <w:rPr>
          <w:rFonts w:hint="eastAsia"/>
          <w:rtl/>
        </w:rPr>
        <w:t>ויתכן</w:t>
      </w:r>
      <w:r w:rsidRPr="00604EF9">
        <w:rPr>
          <w:rtl/>
        </w:rPr>
        <w:t xml:space="preserve"> </w:t>
      </w:r>
      <w:r w:rsidRPr="00604EF9">
        <w:rPr>
          <w:rFonts w:hint="eastAsia"/>
          <w:rtl/>
        </w:rPr>
        <w:t>ביוזמת</w:t>
      </w:r>
      <w:r w:rsidRPr="00604EF9">
        <w:rPr>
          <w:rtl/>
        </w:rPr>
        <w:t xml:space="preserve"> </w:t>
      </w:r>
      <w:r w:rsidRPr="00604EF9">
        <w:rPr>
          <w:rFonts w:hint="eastAsia"/>
          <w:rtl/>
        </w:rPr>
        <w:t>שניהם</w:t>
      </w:r>
      <w:r w:rsidRPr="00604EF9">
        <w:rPr>
          <w:rtl/>
        </w:rPr>
        <w:t xml:space="preserve"> </w:t>
      </w:r>
      <w:r w:rsidRPr="00604EF9">
        <w:rPr>
          <w:rFonts w:hint="eastAsia"/>
          <w:rtl/>
        </w:rPr>
        <w:t>ובסיוע</w:t>
      </w:r>
      <w:r w:rsidRPr="00604EF9">
        <w:rPr>
          <w:rtl/>
        </w:rPr>
        <w:t xml:space="preserve"> </w:t>
      </w:r>
      <w:r w:rsidRPr="00604EF9">
        <w:rPr>
          <w:rFonts w:hint="eastAsia"/>
          <w:rtl/>
        </w:rPr>
        <w:t>משות</w:t>
      </w:r>
      <w:r w:rsidRPr="00604EF9">
        <w:rPr>
          <w:rFonts w:hint="cs"/>
          <w:rtl/>
        </w:rPr>
        <w:t>ף</w:t>
      </w:r>
      <w:r w:rsidRPr="00604EF9">
        <w:rPr>
          <w:rtl/>
        </w:rPr>
        <w:t xml:space="preserve"> </w:t>
      </w:r>
      <w:r w:rsidRPr="00604EF9">
        <w:rPr>
          <w:rFonts w:hint="eastAsia"/>
          <w:rtl/>
        </w:rPr>
        <w:t>בפן</w:t>
      </w:r>
      <w:r w:rsidRPr="00604EF9">
        <w:rPr>
          <w:rtl/>
        </w:rPr>
        <w:t xml:space="preserve"> </w:t>
      </w:r>
      <w:r w:rsidRPr="00604EF9">
        <w:rPr>
          <w:rFonts w:hint="eastAsia"/>
          <w:rtl/>
        </w:rPr>
        <w:t>הלוגיסטי</w:t>
      </w:r>
      <w:r w:rsidRPr="00604EF9">
        <w:rPr>
          <w:rtl/>
        </w:rPr>
        <w:t xml:space="preserve">". </w:t>
      </w:r>
      <w:r w:rsidRPr="00604EF9">
        <w:rPr>
          <w:rFonts w:hint="eastAsia"/>
          <w:rtl/>
        </w:rPr>
        <w:t>בית</w:t>
      </w:r>
      <w:r w:rsidRPr="00604EF9">
        <w:rPr>
          <w:rtl/>
        </w:rPr>
        <w:t xml:space="preserve"> </w:t>
      </w:r>
      <w:r w:rsidRPr="00604EF9">
        <w:rPr>
          <w:rFonts w:hint="eastAsia"/>
          <w:rtl/>
        </w:rPr>
        <w:t>הדין</w:t>
      </w:r>
      <w:r>
        <w:rPr>
          <w:rFonts w:hint="cs"/>
          <w:rtl/>
        </w:rPr>
        <w:t xml:space="preserve"> האזורי </w:t>
      </w:r>
      <w:r w:rsidRPr="00604EF9">
        <w:rPr>
          <w:rFonts w:hint="cs"/>
          <w:rtl/>
        </w:rPr>
        <w:t>הוסיף וציין כי ניתן אף להניח שבין הצדדים שררה אווירת שיתוף</w:t>
      </w:r>
      <w:r>
        <w:rPr>
          <w:rFonts w:hint="cs"/>
          <w:rtl/>
        </w:rPr>
        <w:t xml:space="preserve"> </w:t>
      </w:r>
      <w:r w:rsidRPr="00604EF9">
        <w:rPr>
          <w:rFonts w:hint="cs"/>
          <w:rtl/>
        </w:rPr>
        <w:t xml:space="preserve">באשר לבית המגורים, וזאת נוכח </w:t>
      </w:r>
      <w:r>
        <w:rPr>
          <w:rFonts w:hint="cs"/>
          <w:rtl/>
        </w:rPr>
        <w:t>התבטאויותיו של</w:t>
      </w:r>
      <w:r w:rsidRPr="00604EF9">
        <w:rPr>
          <w:rtl/>
        </w:rPr>
        <w:t xml:space="preserve"> </w:t>
      </w:r>
      <w:r w:rsidRPr="00604EF9">
        <w:rPr>
          <w:rFonts w:hint="eastAsia"/>
          <w:rtl/>
        </w:rPr>
        <w:t>המשיב</w:t>
      </w:r>
      <w:r w:rsidRPr="00604EF9">
        <w:rPr>
          <w:rtl/>
        </w:rPr>
        <w:t xml:space="preserve"> </w:t>
      </w:r>
      <w:r w:rsidRPr="00604EF9">
        <w:rPr>
          <w:rFonts w:hint="eastAsia"/>
          <w:rtl/>
        </w:rPr>
        <w:t>בדיון</w:t>
      </w:r>
      <w:r w:rsidRPr="00604EF9">
        <w:rPr>
          <w:rtl/>
        </w:rPr>
        <w:t xml:space="preserve"> </w:t>
      </w:r>
      <w:r w:rsidRPr="00604EF9">
        <w:rPr>
          <w:rFonts w:hint="eastAsia"/>
          <w:rtl/>
        </w:rPr>
        <w:t>שהתקיים</w:t>
      </w:r>
      <w:r w:rsidRPr="00604EF9">
        <w:rPr>
          <w:rtl/>
        </w:rPr>
        <w:t xml:space="preserve"> </w:t>
      </w:r>
      <w:r w:rsidRPr="00604EF9">
        <w:rPr>
          <w:rFonts w:hint="cs"/>
          <w:rtl/>
        </w:rPr>
        <w:t xml:space="preserve">במסגרת בג"ץ 4602/13 </w:t>
      </w:r>
      <w:r w:rsidRPr="00604EF9">
        <w:rPr>
          <w:rFonts w:hint="eastAsia"/>
          <w:rtl/>
        </w:rPr>
        <w:t>ב</w:t>
      </w:r>
      <w:r w:rsidRPr="00604EF9">
        <w:rPr>
          <w:rFonts w:hint="cs"/>
          <w:rtl/>
        </w:rPr>
        <w:t>יום 3.7.2013</w:t>
      </w:r>
      <w:r w:rsidRPr="00604EF9">
        <w:rPr>
          <w:rtl/>
        </w:rPr>
        <w:t xml:space="preserve">, </w:t>
      </w:r>
      <w:r w:rsidRPr="00604EF9">
        <w:rPr>
          <w:rFonts w:hint="cs"/>
          <w:rtl/>
        </w:rPr>
        <w:t xml:space="preserve">ובכלל זה הצהרתו </w:t>
      </w:r>
      <w:r w:rsidRPr="00604EF9">
        <w:rPr>
          <w:rtl/>
        </w:rPr>
        <w:t>"</w:t>
      </w:r>
      <w:r w:rsidRPr="00604EF9">
        <w:rPr>
          <w:rFonts w:hint="eastAsia"/>
          <w:rtl/>
        </w:rPr>
        <w:t>הצעתי</w:t>
      </w:r>
      <w:r w:rsidRPr="00604EF9">
        <w:rPr>
          <w:rtl/>
        </w:rPr>
        <w:t xml:space="preserve"> </w:t>
      </w:r>
      <w:r w:rsidRPr="00604EF9">
        <w:rPr>
          <w:rFonts w:hint="eastAsia"/>
          <w:rtl/>
        </w:rPr>
        <w:t>לרשום</w:t>
      </w:r>
      <w:r w:rsidRPr="00604EF9">
        <w:rPr>
          <w:rtl/>
        </w:rPr>
        <w:t xml:space="preserve"> </w:t>
      </w:r>
      <w:r w:rsidRPr="00604EF9">
        <w:rPr>
          <w:rFonts w:hint="eastAsia"/>
          <w:rtl/>
        </w:rPr>
        <w:t>את</w:t>
      </w:r>
      <w:r w:rsidRPr="00604EF9">
        <w:rPr>
          <w:rtl/>
        </w:rPr>
        <w:t xml:space="preserve"> </w:t>
      </w:r>
      <w:r w:rsidRPr="00604EF9">
        <w:rPr>
          <w:rFonts w:hint="eastAsia"/>
          <w:rtl/>
        </w:rPr>
        <w:t>הבית</w:t>
      </w:r>
      <w:r w:rsidRPr="00604EF9">
        <w:rPr>
          <w:rtl/>
        </w:rPr>
        <w:t xml:space="preserve"> </w:t>
      </w:r>
      <w:r w:rsidRPr="00604EF9">
        <w:rPr>
          <w:rFonts w:hint="eastAsia"/>
          <w:rtl/>
        </w:rPr>
        <w:t>על</w:t>
      </w:r>
      <w:r w:rsidRPr="00604EF9">
        <w:rPr>
          <w:rtl/>
        </w:rPr>
        <w:t xml:space="preserve"> </w:t>
      </w:r>
      <w:r w:rsidRPr="00604EF9">
        <w:rPr>
          <w:rFonts w:hint="eastAsia"/>
          <w:rtl/>
        </w:rPr>
        <w:t>הילדים</w:t>
      </w:r>
      <w:r w:rsidRPr="00604EF9">
        <w:rPr>
          <w:rtl/>
        </w:rPr>
        <w:t xml:space="preserve"> </w:t>
      </w:r>
      <w:r w:rsidRPr="00604EF9">
        <w:rPr>
          <w:rFonts w:hint="eastAsia"/>
          <w:rtl/>
        </w:rPr>
        <w:t>ואמרתי</w:t>
      </w:r>
      <w:r w:rsidRPr="00604EF9">
        <w:rPr>
          <w:rtl/>
        </w:rPr>
        <w:t xml:space="preserve"> </w:t>
      </w:r>
      <w:r w:rsidRPr="00604EF9">
        <w:rPr>
          <w:rFonts w:hint="eastAsia"/>
          <w:rtl/>
        </w:rPr>
        <w:t>שחלילה</w:t>
      </w:r>
      <w:r w:rsidRPr="00604EF9">
        <w:rPr>
          <w:rtl/>
        </w:rPr>
        <w:t xml:space="preserve"> </w:t>
      </w:r>
      <w:r w:rsidRPr="00604EF9">
        <w:rPr>
          <w:rFonts w:hint="eastAsia"/>
          <w:rtl/>
        </w:rPr>
        <w:t>הבית</w:t>
      </w:r>
      <w:r w:rsidRPr="00604EF9">
        <w:rPr>
          <w:rtl/>
        </w:rPr>
        <w:t xml:space="preserve"> </w:t>
      </w:r>
      <w:r w:rsidRPr="00604EF9">
        <w:rPr>
          <w:rFonts w:hint="eastAsia"/>
          <w:rtl/>
        </w:rPr>
        <w:t>צריך</w:t>
      </w:r>
      <w:r w:rsidRPr="00604EF9">
        <w:rPr>
          <w:rtl/>
        </w:rPr>
        <w:t xml:space="preserve"> </w:t>
      </w:r>
      <w:r w:rsidRPr="00604EF9">
        <w:rPr>
          <w:rFonts w:hint="eastAsia"/>
          <w:rtl/>
        </w:rPr>
        <w:t>לשמש</w:t>
      </w:r>
      <w:r w:rsidRPr="00604EF9">
        <w:rPr>
          <w:rtl/>
        </w:rPr>
        <w:t xml:space="preserve"> </w:t>
      </w:r>
      <w:r w:rsidRPr="00604EF9">
        <w:rPr>
          <w:rFonts w:hint="eastAsia"/>
          <w:rtl/>
        </w:rPr>
        <w:t>לי</w:t>
      </w:r>
      <w:r w:rsidRPr="00604EF9">
        <w:rPr>
          <w:rtl/>
        </w:rPr>
        <w:t xml:space="preserve"> </w:t>
      </w:r>
      <w:r w:rsidRPr="00604EF9">
        <w:rPr>
          <w:rFonts w:hint="eastAsia"/>
          <w:rtl/>
        </w:rPr>
        <w:t>או</w:t>
      </w:r>
      <w:r w:rsidRPr="00604EF9">
        <w:rPr>
          <w:rtl/>
        </w:rPr>
        <w:t xml:space="preserve"> </w:t>
      </w:r>
      <w:r w:rsidRPr="00604EF9">
        <w:rPr>
          <w:rFonts w:hint="eastAsia"/>
          <w:rtl/>
        </w:rPr>
        <w:t>לה</w:t>
      </w:r>
      <w:r w:rsidRPr="00604EF9">
        <w:rPr>
          <w:rtl/>
        </w:rPr>
        <w:t xml:space="preserve"> </w:t>
      </w:r>
      <w:r w:rsidRPr="00604EF9">
        <w:rPr>
          <w:rFonts w:hint="eastAsia"/>
          <w:rtl/>
        </w:rPr>
        <w:t>לעת</w:t>
      </w:r>
      <w:r w:rsidRPr="00604EF9">
        <w:rPr>
          <w:rtl/>
        </w:rPr>
        <w:t xml:space="preserve"> </w:t>
      </w:r>
      <w:proofErr w:type="spellStart"/>
      <w:r w:rsidRPr="00604EF9">
        <w:rPr>
          <w:rFonts w:hint="eastAsia"/>
          <w:rtl/>
        </w:rPr>
        <w:t>ז</w:t>
      </w:r>
      <w:r>
        <w:rPr>
          <w:rFonts w:hint="cs"/>
          <w:rtl/>
        </w:rPr>
        <w:t>י</w:t>
      </w:r>
      <w:r w:rsidRPr="00604EF9">
        <w:rPr>
          <w:rFonts w:hint="eastAsia"/>
          <w:rtl/>
        </w:rPr>
        <w:t>קנה</w:t>
      </w:r>
      <w:proofErr w:type="spellEnd"/>
      <w:r w:rsidRPr="00604EF9">
        <w:rPr>
          <w:rtl/>
        </w:rPr>
        <w:t xml:space="preserve">, </w:t>
      </w:r>
      <w:r w:rsidRPr="00604EF9">
        <w:rPr>
          <w:rFonts w:hint="eastAsia"/>
          <w:rtl/>
        </w:rPr>
        <w:t>אם</w:t>
      </w:r>
      <w:r w:rsidRPr="00604EF9">
        <w:rPr>
          <w:rtl/>
        </w:rPr>
        <w:t xml:space="preserve"> </w:t>
      </w:r>
      <w:r w:rsidRPr="00604EF9">
        <w:rPr>
          <w:rFonts w:hint="eastAsia"/>
          <w:rtl/>
        </w:rPr>
        <w:t>נצטרך</w:t>
      </w:r>
      <w:r w:rsidRPr="00604EF9">
        <w:rPr>
          <w:rtl/>
        </w:rPr>
        <w:t xml:space="preserve"> </w:t>
      </w:r>
      <w:r w:rsidRPr="00604EF9">
        <w:rPr>
          <w:rFonts w:hint="eastAsia"/>
          <w:rtl/>
        </w:rPr>
        <w:t>בית</w:t>
      </w:r>
      <w:r w:rsidRPr="00604EF9">
        <w:rPr>
          <w:rtl/>
        </w:rPr>
        <w:t xml:space="preserve"> </w:t>
      </w:r>
      <w:r w:rsidRPr="00604EF9">
        <w:rPr>
          <w:rFonts w:hint="eastAsia"/>
          <w:rtl/>
        </w:rPr>
        <w:t>חולים</w:t>
      </w:r>
      <w:r w:rsidRPr="00604EF9">
        <w:rPr>
          <w:rtl/>
        </w:rPr>
        <w:t xml:space="preserve">, </w:t>
      </w:r>
      <w:r w:rsidRPr="00604EF9">
        <w:rPr>
          <w:rFonts w:hint="eastAsia"/>
          <w:rtl/>
        </w:rPr>
        <w:t>נוכל</w:t>
      </w:r>
      <w:r w:rsidRPr="00604EF9">
        <w:rPr>
          <w:rtl/>
        </w:rPr>
        <w:t xml:space="preserve"> </w:t>
      </w:r>
      <w:r w:rsidRPr="00604EF9">
        <w:rPr>
          <w:rFonts w:hint="eastAsia"/>
          <w:rtl/>
        </w:rPr>
        <w:t>למכור</w:t>
      </w:r>
      <w:r w:rsidRPr="00604EF9">
        <w:rPr>
          <w:rtl/>
        </w:rPr>
        <w:t xml:space="preserve"> </w:t>
      </w:r>
      <w:r w:rsidRPr="00604EF9">
        <w:rPr>
          <w:rFonts w:hint="eastAsia"/>
          <w:rtl/>
        </w:rPr>
        <w:t>אותו</w:t>
      </w:r>
      <w:r w:rsidRPr="00604EF9">
        <w:rPr>
          <w:rtl/>
        </w:rPr>
        <w:t>"</w:t>
      </w:r>
      <w:r w:rsidRPr="00604EF9">
        <w:rPr>
          <w:rFonts w:hint="cs"/>
          <w:rtl/>
        </w:rPr>
        <w:t>, וכן "אני לא מוכן שחבר שלה יחיה על חשבון פרי עמלנו של שלושים שנה"</w:t>
      </w:r>
      <w:r w:rsidRPr="00604EF9">
        <w:rPr>
          <w:rtl/>
        </w:rPr>
        <w:t>.</w:t>
      </w:r>
      <w:r>
        <w:rPr>
          <w:rFonts w:hint="cs"/>
          <w:rtl/>
        </w:rPr>
        <w:t xml:space="preserve"> את דבריו חתם בית הדין האזורי במסקנה חד משמעית: "לאור כל האמור ולאור הפסיקה העדכנית בסוגיה זו של חלוקת נכס הרשום ע"ש אחד מהצדדים, בית הדין אינו מוצא עילה או אפשרות שלא לחלוק את בית המגורים בין שני הצדדים..."</w:t>
      </w:r>
    </w:p>
    <w:p w:rsidR="00FA3A86" w:rsidRPr="00604EF9" w:rsidRDefault="00FA3A86" w:rsidP="00FA3A86">
      <w:pPr>
        <w:pStyle w:val="Ruller41"/>
        <w:rPr>
          <w:rtl/>
        </w:rPr>
      </w:pPr>
    </w:p>
    <w:p w:rsidR="00FA3A86" w:rsidRPr="00604EF9" w:rsidRDefault="00FA3A86" w:rsidP="00FA3A86">
      <w:pPr>
        <w:pStyle w:val="Ruller4"/>
        <w:numPr>
          <w:ilvl w:val="0"/>
          <w:numId w:val="18"/>
        </w:numPr>
      </w:pPr>
      <w:r w:rsidRPr="00604EF9">
        <w:rPr>
          <w:rFonts w:hint="cs"/>
          <w:rtl/>
        </w:rPr>
        <w:t>ערעור שהגיש המשיב לבית הדין הרבני הגדול</w:t>
      </w:r>
      <w:r>
        <w:rPr>
          <w:rFonts w:hint="cs"/>
          <w:rtl/>
        </w:rPr>
        <w:t xml:space="preserve"> (תיק (גדול) </w:t>
      </w:r>
      <w:r w:rsidRPr="00F3796C">
        <w:rPr>
          <w:rtl/>
        </w:rPr>
        <w:t>1073676/</w:t>
      </w:r>
      <w:r>
        <w:rPr>
          <w:rFonts w:hint="cs"/>
          <w:rtl/>
        </w:rPr>
        <w:t>1</w:t>
      </w:r>
      <w:r w:rsidRPr="00F3796C">
        <w:rPr>
          <w:rtl/>
        </w:rPr>
        <w:t xml:space="preserve"> </w:t>
      </w:r>
      <w:r w:rsidRPr="009E2D6F">
        <w:rPr>
          <w:rFonts w:ascii="Century" w:hAnsi="Century" w:cs="Miriam" w:hint="eastAsia"/>
          <w:b/>
          <w:spacing w:val="0"/>
          <w:sz w:val="22"/>
          <w:szCs w:val="24"/>
          <w:rtl/>
        </w:rPr>
        <w:t>פלוני</w:t>
      </w:r>
      <w:r w:rsidRPr="009E2D6F">
        <w:rPr>
          <w:rFonts w:ascii="Century" w:hAnsi="Century" w:cs="Miriam"/>
          <w:b/>
          <w:spacing w:val="0"/>
          <w:sz w:val="22"/>
          <w:szCs w:val="24"/>
          <w:rtl/>
        </w:rPr>
        <w:t xml:space="preserve"> </w:t>
      </w:r>
      <w:r w:rsidRPr="009E2D6F">
        <w:rPr>
          <w:rFonts w:ascii="Century" w:hAnsi="Century" w:cs="Miriam" w:hint="eastAsia"/>
          <w:b/>
          <w:spacing w:val="0"/>
          <w:sz w:val="22"/>
          <w:szCs w:val="24"/>
          <w:rtl/>
        </w:rPr>
        <w:t>נ</w:t>
      </w:r>
      <w:r w:rsidRPr="009E2D6F">
        <w:rPr>
          <w:rFonts w:ascii="Century" w:hAnsi="Century" w:cs="Miriam"/>
          <w:b/>
          <w:spacing w:val="0"/>
          <w:sz w:val="22"/>
          <w:szCs w:val="24"/>
          <w:rtl/>
        </w:rPr>
        <w:t xml:space="preserve">' </w:t>
      </w:r>
      <w:r w:rsidRPr="009E2D6F">
        <w:rPr>
          <w:rFonts w:ascii="Century" w:hAnsi="Century" w:cs="Miriam" w:hint="eastAsia"/>
          <w:b/>
          <w:spacing w:val="0"/>
          <w:sz w:val="22"/>
          <w:szCs w:val="24"/>
          <w:rtl/>
        </w:rPr>
        <w:t>פלונית</w:t>
      </w:r>
      <w:r>
        <w:rPr>
          <w:rFonts w:hint="cs"/>
          <w:rtl/>
        </w:rPr>
        <w:t>)</w:t>
      </w:r>
      <w:r w:rsidRPr="00604EF9">
        <w:rPr>
          <w:rFonts w:hint="cs"/>
          <w:rtl/>
        </w:rPr>
        <w:t xml:space="preserve"> התקבל ביום 27.7.2017, ובדעת רוב (הדיינים </w:t>
      </w:r>
      <w:r w:rsidRPr="009E2D6F">
        <w:rPr>
          <w:rFonts w:ascii="Century" w:hAnsi="Century" w:cs="Miriam" w:hint="cs"/>
          <w:b/>
          <w:szCs w:val="24"/>
          <w:rtl/>
        </w:rPr>
        <w:t>מ' נהרי</w:t>
      </w:r>
      <w:r w:rsidRPr="00604EF9">
        <w:rPr>
          <w:rFonts w:hint="cs"/>
          <w:rtl/>
        </w:rPr>
        <w:t xml:space="preserve"> ו</w:t>
      </w:r>
      <w:r w:rsidRPr="009E2D6F">
        <w:rPr>
          <w:rFonts w:ascii="Century" w:hAnsi="Century" w:cs="Miriam" w:hint="cs"/>
          <w:b/>
          <w:szCs w:val="24"/>
          <w:rtl/>
        </w:rPr>
        <w:t>י' אלמליח</w:t>
      </w:r>
      <w:r w:rsidRPr="00604EF9">
        <w:rPr>
          <w:rFonts w:hint="cs"/>
          <w:rtl/>
        </w:rPr>
        <w:t xml:space="preserve">) נקבע כי למבקשת לא מגיע חלק במגרש או בבית הבנוי עליו. הדיין </w:t>
      </w:r>
      <w:r w:rsidRPr="009E2D6F">
        <w:rPr>
          <w:rFonts w:ascii="Century" w:hAnsi="Century" w:cs="Miriam" w:hint="cs"/>
          <w:b/>
          <w:szCs w:val="24"/>
          <w:rtl/>
        </w:rPr>
        <w:t>מ' עמוס</w:t>
      </w:r>
      <w:r w:rsidRPr="00604EF9">
        <w:rPr>
          <w:rFonts w:hint="cs"/>
          <w:rtl/>
        </w:rPr>
        <w:t>, סבר</w:t>
      </w:r>
      <w:r>
        <w:rPr>
          <w:rFonts w:hint="cs"/>
          <w:rtl/>
        </w:rPr>
        <w:t>, בדעת יחיד,</w:t>
      </w:r>
      <w:r w:rsidRPr="00604EF9">
        <w:rPr>
          <w:rFonts w:hint="cs"/>
          <w:rtl/>
        </w:rPr>
        <w:t xml:space="preserve"> כי </w:t>
      </w:r>
      <w:r>
        <w:rPr>
          <w:rFonts w:hint="cs"/>
          <w:rtl/>
        </w:rPr>
        <w:t xml:space="preserve">למבקשת </w:t>
      </w:r>
      <w:r w:rsidRPr="00604EF9">
        <w:rPr>
          <w:rFonts w:hint="cs"/>
          <w:rtl/>
        </w:rPr>
        <w:t>מגיעים 20% משווי הבית</w:t>
      </w:r>
      <w:r>
        <w:rPr>
          <w:rFonts w:hint="cs"/>
          <w:rtl/>
        </w:rPr>
        <w:t>, ללא שווי הקרקע</w:t>
      </w:r>
      <w:r w:rsidRPr="00604EF9">
        <w:rPr>
          <w:rFonts w:hint="cs"/>
          <w:rtl/>
        </w:rPr>
        <w:t>.</w:t>
      </w:r>
    </w:p>
    <w:p w:rsidR="00FA3A86" w:rsidRPr="00604EF9" w:rsidRDefault="00FA3A86" w:rsidP="00FA3A86">
      <w:pPr>
        <w:pStyle w:val="Ruller4"/>
        <w:numPr>
          <w:ilvl w:val="0"/>
          <w:numId w:val="0"/>
        </w:numPr>
        <w:rPr>
          <w:rtl/>
        </w:rPr>
      </w:pPr>
    </w:p>
    <w:p w:rsidR="00FA3A86" w:rsidRPr="00604EF9" w:rsidRDefault="00FA3A86" w:rsidP="00FA3A86">
      <w:pPr>
        <w:pStyle w:val="Ruller4"/>
      </w:pPr>
      <w:r>
        <w:rPr>
          <w:rFonts w:hint="cs"/>
          <w:rtl/>
        </w:rPr>
        <w:t xml:space="preserve">בחוות דעתו עמד </w:t>
      </w:r>
      <w:r w:rsidRPr="00604EF9">
        <w:rPr>
          <w:rFonts w:hint="cs"/>
          <w:rtl/>
        </w:rPr>
        <w:t xml:space="preserve">הדיין </w:t>
      </w:r>
      <w:r w:rsidRPr="00604EF9">
        <w:rPr>
          <w:rFonts w:ascii="Century" w:hAnsi="Century" w:cs="Miriam" w:hint="cs"/>
          <w:b/>
          <w:szCs w:val="24"/>
          <w:rtl/>
        </w:rPr>
        <w:t>עמוס</w:t>
      </w:r>
      <w:r w:rsidRPr="00604EF9">
        <w:rPr>
          <w:rFonts w:hint="cs"/>
          <w:rtl/>
        </w:rPr>
        <w:t xml:space="preserve"> על כך שעסקינן </w:t>
      </w:r>
      <w:r>
        <w:rPr>
          <w:rFonts w:hint="cs"/>
          <w:rtl/>
        </w:rPr>
        <w:t xml:space="preserve">במגרש </w:t>
      </w:r>
      <w:r w:rsidRPr="00604EF9">
        <w:rPr>
          <w:rFonts w:hint="cs"/>
          <w:rtl/>
        </w:rPr>
        <w:t>שהגיע לידי המשיב לפני הנישואי</w:t>
      </w:r>
      <w:r>
        <w:rPr>
          <w:rFonts w:hint="cs"/>
          <w:rtl/>
        </w:rPr>
        <w:t>ן</w:t>
      </w:r>
      <w:r w:rsidRPr="00604EF9">
        <w:rPr>
          <w:rFonts w:hint="cs"/>
          <w:rtl/>
        </w:rPr>
        <w:t xml:space="preserve"> </w:t>
      </w:r>
      <w:r>
        <w:rPr>
          <w:rFonts w:hint="cs"/>
          <w:rtl/>
        </w:rPr>
        <w:t>והיה</w:t>
      </w:r>
      <w:r w:rsidRPr="00604EF9">
        <w:rPr>
          <w:rFonts w:hint="cs"/>
          <w:rtl/>
        </w:rPr>
        <w:t xml:space="preserve"> רשום על שמו, </w:t>
      </w:r>
      <w:r>
        <w:rPr>
          <w:rFonts w:hint="cs"/>
          <w:rtl/>
        </w:rPr>
        <w:t>כך ש</w:t>
      </w:r>
      <w:r w:rsidRPr="00604EF9">
        <w:rPr>
          <w:rFonts w:hint="cs"/>
          <w:rtl/>
        </w:rPr>
        <w:t xml:space="preserve">יש צורך בהוכחת "דבר מה נוסף" </w:t>
      </w:r>
      <w:r>
        <w:rPr>
          <w:rFonts w:hint="cs"/>
          <w:rtl/>
        </w:rPr>
        <w:t xml:space="preserve">לשם ביסוס </w:t>
      </w:r>
      <w:r w:rsidRPr="00604EF9">
        <w:rPr>
          <w:rFonts w:hint="cs"/>
          <w:rtl/>
        </w:rPr>
        <w:t xml:space="preserve">כוונת שיתוף </w:t>
      </w:r>
      <w:r>
        <w:rPr>
          <w:rFonts w:hint="cs"/>
          <w:rtl/>
        </w:rPr>
        <w:t>בבית</w:t>
      </w:r>
      <w:r w:rsidRPr="00604EF9">
        <w:rPr>
          <w:rFonts w:hint="cs"/>
          <w:rtl/>
        </w:rPr>
        <w:t xml:space="preserve">. לגישת הדיין </w:t>
      </w:r>
      <w:r w:rsidRPr="00604EF9">
        <w:rPr>
          <w:rFonts w:ascii="Century" w:hAnsi="Century" w:cs="Miriam" w:hint="cs"/>
          <w:b/>
          <w:sz w:val="22"/>
          <w:szCs w:val="24"/>
          <w:rtl/>
        </w:rPr>
        <w:t>עמוס</w:t>
      </w:r>
      <w:r w:rsidRPr="00604EF9">
        <w:rPr>
          <w:rFonts w:ascii="Century" w:hAnsi="Century" w:hint="cs"/>
          <w:sz w:val="22"/>
          <w:rtl/>
        </w:rPr>
        <w:t>, "דבר מה נוסף"</w:t>
      </w:r>
      <w:r w:rsidRPr="00604EF9">
        <w:rPr>
          <w:rFonts w:hint="cs"/>
          <w:rtl/>
        </w:rPr>
        <w:t xml:space="preserve"> לא הוכח במקרה דנן</w:t>
      </w:r>
      <w:r>
        <w:rPr>
          <w:rFonts w:hint="cs"/>
          <w:rtl/>
        </w:rPr>
        <w:t>,</w:t>
      </w:r>
      <w:r w:rsidRPr="00604EF9">
        <w:rPr>
          <w:rFonts w:hint="cs"/>
          <w:rtl/>
        </w:rPr>
        <w:t xml:space="preserve"> </w:t>
      </w:r>
      <w:r>
        <w:rPr>
          <w:rFonts w:hint="cs"/>
          <w:rtl/>
        </w:rPr>
        <w:t>ו</w:t>
      </w:r>
      <w:r w:rsidRPr="00604EF9">
        <w:rPr>
          <w:rFonts w:hint="cs"/>
          <w:rtl/>
        </w:rPr>
        <w:t xml:space="preserve">האינדיקציות שעליהן הסתמך בית הדין האזורי לא היו </w:t>
      </w:r>
      <w:r>
        <w:rPr>
          <w:rFonts w:hint="cs"/>
          <w:rtl/>
        </w:rPr>
        <w:t>חזקות</w:t>
      </w:r>
      <w:r w:rsidRPr="00604EF9">
        <w:rPr>
          <w:rFonts w:hint="cs"/>
          <w:rtl/>
        </w:rPr>
        <w:t xml:space="preserve"> </w:t>
      </w:r>
      <w:r>
        <w:rPr>
          <w:rFonts w:hint="cs"/>
          <w:rtl/>
        </w:rPr>
        <w:t>די הצורך</w:t>
      </w:r>
      <w:r w:rsidRPr="00604EF9">
        <w:rPr>
          <w:rFonts w:hint="cs"/>
          <w:rtl/>
        </w:rPr>
        <w:t xml:space="preserve">: שיפוץ </w:t>
      </w:r>
      <w:r>
        <w:rPr>
          <w:rFonts w:hint="cs"/>
          <w:rtl/>
        </w:rPr>
        <w:t xml:space="preserve">הבית </w:t>
      </w:r>
      <w:r w:rsidRPr="00604EF9">
        <w:rPr>
          <w:rFonts w:hint="cs"/>
          <w:rtl/>
        </w:rPr>
        <w:t>לא היה משמעותי</w:t>
      </w:r>
      <w:r>
        <w:rPr>
          <w:rFonts w:hint="cs"/>
          <w:rtl/>
        </w:rPr>
        <w:t>,</w:t>
      </w:r>
      <w:r w:rsidRPr="00604EF9">
        <w:rPr>
          <w:rFonts w:hint="cs"/>
          <w:rtl/>
        </w:rPr>
        <w:t xml:space="preserve"> וספק אם המבקשת השתתפה </w:t>
      </w:r>
      <w:r w:rsidRPr="003C4BEC">
        <w:rPr>
          <w:rFonts w:hint="cs"/>
          <w:rtl/>
        </w:rPr>
        <w:t xml:space="preserve">במימונו שכן </w:t>
      </w:r>
      <w:r>
        <w:rPr>
          <w:rFonts w:hint="cs"/>
          <w:rtl/>
        </w:rPr>
        <w:t xml:space="preserve">לטענת המשיב </w:t>
      </w:r>
      <w:r w:rsidRPr="003C4BEC">
        <w:rPr>
          <w:rFonts w:hint="cs"/>
          <w:rtl/>
        </w:rPr>
        <w:t xml:space="preserve">היא </w:t>
      </w:r>
      <w:r>
        <w:rPr>
          <w:rFonts w:hint="cs"/>
          <w:rtl/>
        </w:rPr>
        <w:t>"</w:t>
      </w:r>
      <w:r>
        <w:rPr>
          <w:rFonts w:ascii="FrankRuehl" w:hint="cs"/>
          <w:color w:val="000000"/>
          <w:sz w:val="28"/>
          <w:rtl/>
        </w:rPr>
        <w:t>כלל לא עבדה</w:t>
      </w:r>
      <w:r>
        <w:rPr>
          <w:rFonts w:hint="cs"/>
          <w:rtl/>
        </w:rPr>
        <w:t>" בזמן השיפוץ</w:t>
      </w:r>
      <w:r w:rsidRPr="003C4BEC">
        <w:rPr>
          <w:rFonts w:hint="cs"/>
          <w:rtl/>
        </w:rPr>
        <w:t>; המבקשת לא הציגה מסמכים התומכים בטענתה לכוונת שיתוף; והתבטאויותיו של</w:t>
      </w:r>
      <w:r w:rsidRPr="00604EF9">
        <w:rPr>
          <w:rFonts w:hint="cs"/>
          <w:rtl/>
        </w:rPr>
        <w:t xml:space="preserve"> המשיב בדיון בבג"ץ 4602/13 אינן מכוונות בהכרח </w:t>
      </w:r>
      <w:r>
        <w:rPr>
          <w:rFonts w:hint="cs"/>
          <w:rtl/>
        </w:rPr>
        <w:t xml:space="preserve">לבית </w:t>
      </w:r>
      <w:r w:rsidRPr="00604EF9">
        <w:rPr>
          <w:rFonts w:hint="cs"/>
          <w:rtl/>
        </w:rPr>
        <w:t xml:space="preserve">נושא </w:t>
      </w:r>
      <w:r w:rsidRPr="00604EF9">
        <w:rPr>
          <w:rFonts w:hint="cs"/>
          <w:rtl/>
        </w:rPr>
        <w:lastRenderedPageBreak/>
        <w:t>המחלוקת</w:t>
      </w:r>
      <w:r>
        <w:rPr>
          <w:rFonts w:hint="cs"/>
          <w:rtl/>
        </w:rPr>
        <w:t xml:space="preserve">. עוד קבע הדיין </w:t>
      </w:r>
      <w:r w:rsidRPr="005E1BD5">
        <w:rPr>
          <w:rFonts w:ascii="Century" w:hAnsi="Century" w:cs="Miriam" w:hint="cs"/>
          <w:b/>
          <w:spacing w:val="0"/>
          <w:sz w:val="22"/>
          <w:szCs w:val="24"/>
          <w:rtl/>
        </w:rPr>
        <w:t>עמוס</w:t>
      </w:r>
      <w:r w:rsidRPr="00A3398C">
        <w:rPr>
          <w:rFonts w:hint="cs"/>
          <w:rtl/>
        </w:rPr>
        <w:t xml:space="preserve"> </w:t>
      </w:r>
      <w:r>
        <w:rPr>
          <w:rFonts w:hint="cs"/>
          <w:rtl/>
        </w:rPr>
        <w:t>כי</w:t>
      </w:r>
      <w:r w:rsidRPr="00604EF9">
        <w:rPr>
          <w:rFonts w:hint="cs"/>
          <w:rtl/>
        </w:rPr>
        <w:t xml:space="preserve"> "</w:t>
      </w:r>
      <w:r w:rsidRPr="00604EF9">
        <w:rPr>
          <w:rFonts w:hint="eastAsia"/>
          <w:rtl/>
        </w:rPr>
        <w:t>אווירת</w:t>
      </w:r>
      <w:r w:rsidRPr="00604EF9">
        <w:rPr>
          <w:rtl/>
        </w:rPr>
        <w:t xml:space="preserve"> </w:t>
      </w:r>
      <w:r w:rsidRPr="00604EF9">
        <w:rPr>
          <w:rFonts w:hint="eastAsia"/>
          <w:rtl/>
        </w:rPr>
        <w:t>שיתוף</w:t>
      </w:r>
      <w:r w:rsidRPr="00604EF9">
        <w:rPr>
          <w:rFonts w:hint="cs"/>
          <w:rtl/>
        </w:rPr>
        <w:t>"</w:t>
      </w:r>
      <w:r w:rsidRPr="00604EF9">
        <w:rPr>
          <w:rtl/>
        </w:rPr>
        <w:t xml:space="preserve"> </w:t>
      </w:r>
      <w:r w:rsidRPr="00604EF9">
        <w:rPr>
          <w:rFonts w:hint="eastAsia"/>
          <w:rtl/>
        </w:rPr>
        <w:t>ב</w:t>
      </w:r>
      <w:r w:rsidRPr="00604EF9">
        <w:rPr>
          <w:rFonts w:hint="cs"/>
          <w:rtl/>
        </w:rPr>
        <w:t>י</w:t>
      </w:r>
      <w:r w:rsidRPr="00604EF9">
        <w:rPr>
          <w:rFonts w:hint="eastAsia"/>
          <w:rtl/>
        </w:rPr>
        <w:t>ן</w:t>
      </w:r>
      <w:r w:rsidRPr="00604EF9">
        <w:rPr>
          <w:rtl/>
        </w:rPr>
        <w:t xml:space="preserve"> </w:t>
      </w:r>
      <w:r w:rsidRPr="00604EF9">
        <w:rPr>
          <w:rFonts w:hint="eastAsia"/>
          <w:rtl/>
        </w:rPr>
        <w:t>בני</w:t>
      </w:r>
      <w:r w:rsidRPr="00604EF9">
        <w:rPr>
          <w:rtl/>
        </w:rPr>
        <w:t xml:space="preserve"> </w:t>
      </w:r>
      <w:r w:rsidRPr="00604EF9">
        <w:rPr>
          <w:rFonts w:hint="eastAsia"/>
          <w:rtl/>
        </w:rPr>
        <w:t>זוג</w:t>
      </w:r>
      <w:r w:rsidRPr="00604EF9">
        <w:rPr>
          <w:rtl/>
        </w:rPr>
        <w:t xml:space="preserve"> </w:t>
      </w:r>
      <w:r w:rsidRPr="00604EF9">
        <w:rPr>
          <w:rFonts w:hint="eastAsia"/>
          <w:rtl/>
        </w:rPr>
        <w:t>לא</w:t>
      </w:r>
      <w:r w:rsidRPr="00604EF9">
        <w:rPr>
          <w:rtl/>
        </w:rPr>
        <w:t xml:space="preserve"> </w:t>
      </w:r>
      <w:r w:rsidRPr="00604EF9">
        <w:rPr>
          <w:rFonts w:hint="eastAsia"/>
          <w:rtl/>
        </w:rPr>
        <w:t>יכול</w:t>
      </w:r>
      <w:r w:rsidRPr="00604EF9">
        <w:rPr>
          <w:rFonts w:hint="cs"/>
          <w:rtl/>
        </w:rPr>
        <w:t>ה</w:t>
      </w:r>
      <w:r w:rsidRPr="00604EF9">
        <w:rPr>
          <w:rtl/>
        </w:rPr>
        <w:t xml:space="preserve"> </w:t>
      </w:r>
      <w:r w:rsidRPr="00604EF9">
        <w:rPr>
          <w:rFonts w:hint="eastAsia"/>
          <w:rtl/>
        </w:rPr>
        <w:t>להוות</w:t>
      </w:r>
      <w:r w:rsidRPr="00604EF9">
        <w:rPr>
          <w:rtl/>
        </w:rPr>
        <w:t xml:space="preserve"> </w:t>
      </w:r>
      <w:r w:rsidRPr="00604EF9">
        <w:rPr>
          <w:rFonts w:hint="eastAsia"/>
          <w:rtl/>
        </w:rPr>
        <w:t>הוכחה</w:t>
      </w:r>
      <w:r w:rsidRPr="00604EF9">
        <w:rPr>
          <w:rtl/>
        </w:rPr>
        <w:t xml:space="preserve"> </w:t>
      </w:r>
      <w:r w:rsidRPr="00604EF9">
        <w:rPr>
          <w:rFonts w:hint="cs"/>
          <w:rtl/>
        </w:rPr>
        <w:t>לשיתוף בלי</w:t>
      </w:r>
      <w:r>
        <w:rPr>
          <w:rFonts w:hint="cs"/>
          <w:rtl/>
        </w:rPr>
        <w:t xml:space="preserve"> שנלווים</w:t>
      </w:r>
      <w:r w:rsidRPr="00604EF9">
        <w:rPr>
          <w:rFonts w:hint="cs"/>
          <w:rtl/>
        </w:rPr>
        <w:t xml:space="preserve"> </w:t>
      </w:r>
      <w:r>
        <w:rPr>
          <w:rFonts w:hint="cs"/>
          <w:rtl/>
        </w:rPr>
        <w:t>א</w:t>
      </w:r>
      <w:r w:rsidRPr="00604EF9">
        <w:rPr>
          <w:rFonts w:hint="cs"/>
          <w:rtl/>
        </w:rPr>
        <w:t>ל</w:t>
      </w:r>
      <w:r>
        <w:rPr>
          <w:rFonts w:hint="cs"/>
          <w:rtl/>
        </w:rPr>
        <w:t>י</w:t>
      </w:r>
      <w:r w:rsidRPr="00604EF9">
        <w:rPr>
          <w:rFonts w:hint="cs"/>
          <w:rtl/>
        </w:rPr>
        <w:t xml:space="preserve">ה אמירות או מעשים נוספים. לגישת הדיין </w:t>
      </w:r>
      <w:r w:rsidRPr="00604EF9">
        <w:rPr>
          <w:rFonts w:ascii="Century" w:hAnsi="Century" w:cs="Miriam" w:hint="cs"/>
          <w:b/>
          <w:sz w:val="22"/>
          <w:szCs w:val="24"/>
          <w:rtl/>
        </w:rPr>
        <w:t>עמוס</w:t>
      </w:r>
      <w:r w:rsidRPr="00604EF9">
        <w:rPr>
          <w:rFonts w:hint="cs"/>
          <w:rtl/>
        </w:rPr>
        <w:t>, בהינתן</w:t>
      </w:r>
      <w:r>
        <w:rPr>
          <w:rFonts w:hint="cs"/>
          <w:rtl/>
        </w:rPr>
        <w:t xml:space="preserve"> העובדה</w:t>
      </w:r>
      <w:r w:rsidRPr="00604EF9">
        <w:rPr>
          <w:rFonts w:hint="cs"/>
          <w:rtl/>
        </w:rPr>
        <w:t xml:space="preserve"> שהמשיב מחזיק </w:t>
      </w:r>
      <w:r>
        <w:rPr>
          <w:rFonts w:hint="cs"/>
          <w:rtl/>
        </w:rPr>
        <w:t>בבית ורשום כבעליו</w:t>
      </w:r>
      <w:r w:rsidRPr="00604EF9">
        <w:rPr>
          <w:rFonts w:hint="cs"/>
          <w:rtl/>
        </w:rPr>
        <w:t>, הספק שנותר אינו מאפשר להכיר בזכויותיה של המבקשת ב</w:t>
      </w:r>
      <w:r>
        <w:rPr>
          <w:rFonts w:hint="cs"/>
          <w:rtl/>
        </w:rPr>
        <w:t>ו</w:t>
      </w:r>
      <w:r w:rsidRPr="00604EF9">
        <w:rPr>
          <w:rFonts w:hint="cs"/>
          <w:rtl/>
        </w:rPr>
        <w:t xml:space="preserve">. </w:t>
      </w:r>
    </w:p>
    <w:p w:rsidR="00FA3A86" w:rsidRPr="00604EF9" w:rsidRDefault="00FA3A86" w:rsidP="00FA3A86">
      <w:pPr>
        <w:pStyle w:val="Ruller4"/>
        <w:numPr>
          <w:ilvl w:val="0"/>
          <w:numId w:val="0"/>
        </w:numPr>
        <w:rPr>
          <w:rtl/>
        </w:rPr>
      </w:pPr>
    </w:p>
    <w:p w:rsidR="00FA3A86" w:rsidRPr="00604EF9" w:rsidRDefault="00FA3A86" w:rsidP="00FA3A86">
      <w:pPr>
        <w:pStyle w:val="Ruller4"/>
        <w:numPr>
          <w:ilvl w:val="0"/>
          <w:numId w:val="0"/>
        </w:numPr>
        <w:rPr>
          <w:rtl/>
        </w:rPr>
      </w:pPr>
      <w:r>
        <w:rPr>
          <w:rtl/>
        </w:rPr>
        <w:tab/>
      </w:r>
      <w:r w:rsidRPr="00604EF9">
        <w:rPr>
          <w:rFonts w:hint="cs"/>
          <w:rtl/>
        </w:rPr>
        <w:t xml:space="preserve">לאחר </w:t>
      </w:r>
      <w:r>
        <w:rPr>
          <w:rFonts w:hint="cs"/>
          <w:rtl/>
        </w:rPr>
        <w:t>ה</w:t>
      </w:r>
      <w:r w:rsidRPr="00604EF9">
        <w:rPr>
          <w:rFonts w:hint="cs"/>
          <w:rtl/>
        </w:rPr>
        <w:t xml:space="preserve">דברים </w:t>
      </w:r>
      <w:r>
        <w:rPr>
          <w:rFonts w:hint="cs"/>
          <w:rtl/>
        </w:rPr>
        <w:t>ה</w:t>
      </w:r>
      <w:r w:rsidRPr="00604EF9">
        <w:rPr>
          <w:rFonts w:hint="cs"/>
          <w:rtl/>
        </w:rPr>
        <w:t xml:space="preserve">אלה הוסיף הדיין </w:t>
      </w:r>
      <w:r w:rsidRPr="00604EF9">
        <w:rPr>
          <w:rFonts w:ascii="Century" w:hAnsi="Century" w:cs="Miriam" w:hint="cs"/>
          <w:b/>
          <w:sz w:val="22"/>
          <w:szCs w:val="24"/>
          <w:rtl/>
        </w:rPr>
        <w:t>עמוס</w:t>
      </w:r>
      <w:r>
        <w:rPr>
          <w:rFonts w:hint="cs"/>
          <w:rtl/>
        </w:rPr>
        <w:t xml:space="preserve"> וכתב</w:t>
      </w:r>
      <w:r w:rsidRPr="00604EF9">
        <w:rPr>
          <w:rFonts w:hint="cs"/>
          <w:rtl/>
        </w:rPr>
        <w:t>:</w:t>
      </w:r>
    </w:p>
    <w:p w:rsidR="00FA3A86" w:rsidRPr="00604EF9" w:rsidRDefault="00FA3A86" w:rsidP="00FA3A86">
      <w:pPr>
        <w:pStyle w:val="Ruller41"/>
        <w:rPr>
          <w:rtl/>
        </w:rPr>
      </w:pPr>
    </w:p>
    <w:p w:rsidR="00FA3A86" w:rsidRPr="00604EF9" w:rsidRDefault="00FA3A86" w:rsidP="00FA3A86">
      <w:pPr>
        <w:pStyle w:val="Ruller5"/>
        <w:rPr>
          <w:rtl/>
        </w:rPr>
      </w:pPr>
      <w:r w:rsidRPr="00604EF9">
        <w:rPr>
          <w:rtl/>
        </w:rPr>
        <w:t>"</w:t>
      </w:r>
      <w:r w:rsidRPr="00604EF9">
        <w:rPr>
          <w:rFonts w:hint="eastAsia"/>
          <w:rtl/>
        </w:rPr>
        <w:t>בנידון</w:t>
      </w:r>
      <w:r w:rsidRPr="00604EF9">
        <w:rPr>
          <w:rtl/>
        </w:rPr>
        <w:t xml:space="preserve"> </w:t>
      </w:r>
      <w:proofErr w:type="spellStart"/>
      <w:r w:rsidRPr="00604EF9">
        <w:rPr>
          <w:rFonts w:hint="eastAsia"/>
          <w:rtl/>
        </w:rPr>
        <w:t>דידן</w:t>
      </w:r>
      <w:proofErr w:type="spellEnd"/>
      <w:r w:rsidRPr="00604EF9">
        <w:rPr>
          <w:rtl/>
        </w:rPr>
        <w:t xml:space="preserve"> </w:t>
      </w:r>
      <w:r w:rsidRPr="00604EF9">
        <w:rPr>
          <w:rFonts w:hint="eastAsia"/>
          <w:rtl/>
        </w:rPr>
        <w:t>האישה</w:t>
      </w:r>
      <w:r w:rsidRPr="00604EF9">
        <w:rPr>
          <w:rtl/>
        </w:rPr>
        <w:t xml:space="preserve"> </w:t>
      </w:r>
      <w:r w:rsidRPr="00604EF9">
        <w:rPr>
          <w:rFonts w:hint="eastAsia"/>
          <w:rtl/>
        </w:rPr>
        <w:t>בגדה</w:t>
      </w:r>
      <w:r w:rsidRPr="00604EF9">
        <w:rPr>
          <w:rtl/>
        </w:rPr>
        <w:t xml:space="preserve"> </w:t>
      </w:r>
      <w:r w:rsidRPr="00604EF9">
        <w:rPr>
          <w:rFonts w:hint="eastAsia"/>
          <w:rtl/>
        </w:rPr>
        <w:t>בבעלה</w:t>
      </w:r>
      <w:r w:rsidRPr="00604EF9">
        <w:rPr>
          <w:rtl/>
        </w:rPr>
        <w:t xml:space="preserve"> </w:t>
      </w:r>
      <w:r w:rsidRPr="00604EF9">
        <w:rPr>
          <w:rFonts w:hint="eastAsia"/>
          <w:rtl/>
        </w:rPr>
        <w:t>חויבה</w:t>
      </w:r>
      <w:r w:rsidRPr="00604EF9">
        <w:rPr>
          <w:rtl/>
        </w:rPr>
        <w:t xml:space="preserve"> </w:t>
      </w:r>
      <w:r w:rsidRPr="00604EF9">
        <w:rPr>
          <w:rFonts w:hint="eastAsia"/>
          <w:rtl/>
        </w:rPr>
        <w:t>בגט</w:t>
      </w:r>
      <w:r w:rsidRPr="00604EF9">
        <w:rPr>
          <w:rtl/>
        </w:rPr>
        <w:t xml:space="preserve"> </w:t>
      </w:r>
      <w:r w:rsidRPr="00604EF9">
        <w:rPr>
          <w:rFonts w:hint="eastAsia"/>
          <w:rtl/>
        </w:rPr>
        <w:t>והוטלו</w:t>
      </w:r>
      <w:r w:rsidRPr="00604EF9">
        <w:rPr>
          <w:rtl/>
        </w:rPr>
        <w:t xml:space="preserve"> </w:t>
      </w:r>
      <w:r w:rsidRPr="00604EF9">
        <w:rPr>
          <w:rFonts w:hint="eastAsia"/>
          <w:rtl/>
        </w:rPr>
        <w:t>עליה</w:t>
      </w:r>
      <w:r w:rsidRPr="00604EF9">
        <w:rPr>
          <w:rtl/>
        </w:rPr>
        <w:t xml:space="preserve"> </w:t>
      </w:r>
      <w:r w:rsidRPr="00604EF9">
        <w:rPr>
          <w:rFonts w:hint="eastAsia"/>
          <w:rtl/>
        </w:rPr>
        <w:t>צווי</w:t>
      </w:r>
      <w:r w:rsidRPr="00604EF9">
        <w:rPr>
          <w:rtl/>
        </w:rPr>
        <w:t xml:space="preserve"> </w:t>
      </w:r>
      <w:r w:rsidRPr="00604EF9">
        <w:rPr>
          <w:rFonts w:hint="eastAsia"/>
          <w:rtl/>
        </w:rPr>
        <w:t>הגבלה</w:t>
      </w:r>
      <w:r w:rsidRPr="00604EF9">
        <w:rPr>
          <w:rtl/>
        </w:rPr>
        <w:t xml:space="preserve"> </w:t>
      </w:r>
      <w:r w:rsidRPr="00604EF9">
        <w:rPr>
          <w:rFonts w:hint="eastAsia"/>
          <w:rtl/>
        </w:rPr>
        <w:t>ורק</w:t>
      </w:r>
      <w:r w:rsidRPr="00604EF9">
        <w:rPr>
          <w:rtl/>
        </w:rPr>
        <w:t xml:space="preserve"> </w:t>
      </w:r>
      <w:r w:rsidRPr="00604EF9">
        <w:rPr>
          <w:rFonts w:hint="eastAsia"/>
          <w:rtl/>
        </w:rPr>
        <w:t>לאחר</w:t>
      </w:r>
      <w:r w:rsidRPr="00604EF9">
        <w:rPr>
          <w:rtl/>
        </w:rPr>
        <w:t xml:space="preserve"> </w:t>
      </w:r>
      <w:r w:rsidRPr="00604EF9">
        <w:rPr>
          <w:rFonts w:hint="eastAsia"/>
          <w:rtl/>
        </w:rPr>
        <w:t>דין</w:t>
      </w:r>
      <w:r w:rsidRPr="00604EF9">
        <w:rPr>
          <w:rtl/>
        </w:rPr>
        <w:t xml:space="preserve"> </w:t>
      </w:r>
      <w:r w:rsidRPr="00604EF9">
        <w:rPr>
          <w:rFonts w:hint="eastAsia"/>
          <w:rtl/>
        </w:rPr>
        <w:t>ודברים</w:t>
      </w:r>
      <w:r w:rsidRPr="00604EF9">
        <w:rPr>
          <w:rtl/>
        </w:rPr>
        <w:t xml:space="preserve"> </w:t>
      </w:r>
      <w:r w:rsidRPr="00604EF9">
        <w:rPr>
          <w:rFonts w:hint="eastAsia"/>
          <w:rtl/>
        </w:rPr>
        <w:t>הסכימה</w:t>
      </w:r>
      <w:r w:rsidRPr="00604EF9">
        <w:rPr>
          <w:rtl/>
        </w:rPr>
        <w:t xml:space="preserve"> </w:t>
      </w:r>
      <w:r w:rsidRPr="00604EF9">
        <w:rPr>
          <w:rFonts w:hint="eastAsia"/>
          <w:rtl/>
        </w:rPr>
        <w:t>לקבל</w:t>
      </w:r>
      <w:r w:rsidRPr="00604EF9">
        <w:rPr>
          <w:rtl/>
        </w:rPr>
        <w:t xml:space="preserve"> </w:t>
      </w:r>
      <w:r w:rsidRPr="00604EF9">
        <w:rPr>
          <w:rFonts w:hint="eastAsia"/>
          <w:rtl/>
        </w:rPr>
        <w:t>את</w:t>
      </w:r>
      <w:r w:rsidRPr="00604EF9">
        <w:rPr>
          <w:rtl/>
        </w:rPr>
        <w:t xml:space="preserve"> </w:t>
      </w:r>
      <w:proofErr w:type="spellStart"/>
      <w:r w:rsidRPr="00604EF9">
        <w:rPr>
          <w:rFonts w:hint="eastAsia"/>
          <w:rtl/>
        </w:rPr>
        <w:t>גיטה</w:t>
      </w:r>
      <w:proofErr w:type="spellEnd"/>
      <w:r w:rsidRPr="00604EF9">
        <w:rPr>
          <w:rtl/>
        </w:rPr>
        <w:t xml:space="preserve">. </w:t>
      </w:r>
      <w:r w:rsidRPr="00604EF9">
        <w:rPr>
          <w:rFonts w:hint="eastAsia"/>
          <w:rtl/>
        </w:rPr>
        <w:t>במקרה</w:t>
      </w:r>
      <w:r w:rsidRPr="00604EF9">
        <w:rPr>
          <w:rtl/>
        </w:rPr>
        <w:t xml:space="preserve"> </w:t>
      </w:r>
      <w:r w:rsidRPr="00604EF9">
        <w:rPr>
          <w:rFonts w:hint="eastAsia"/>
          <w:rtl/>
        </w:rPr>
        <w:t>זה</w:t>
      </w:r>
      <w:r w:rsidRPr="00604EF9">
        <w:rPr>
          <w:rtl/>
        </w:rPr>
        <w:t xml:space="preserve"> </w:t>
      </w:r>
      <w:r w:rsidRPr="00604EF9">
        <w:rPr>
          <w:rFonts w:hint="eastAsia"/>
          <w:rtl/>
        </w:rPr>
        <w:t>נשאלת</w:t>
      </w:r>
      <w:r w:rsidRPr="00604EF9">
        <w:rPr>
          <w:rtl/>
        </w:rPr>
        <w:t xml:space="preserve"> </w:t>
      </w:r>
      <w:r w:rsidRPr="00604EF9">
        <w:rPr>
          <w:rFonts w:hint="eastAsia"/>
          <w:rtl/>
        </w:rPr>
        <w:t>השאלה</w:t>
      </w:r>
      <w:r w:rsidRPr="00604EF9">
        <w:rPr>
          <w:rtl/>
        </w:rPr>
        <w:t xml:space="preserve">: </w:t>
      </w:r>
      <w:r w:rsidRPr="00604EF9">
        <w:rPr>
          <w:rFonts w:hint="eastAsia"/>
          <w:rtl/>
        </w:rPr>
        <w:t>האם</w:t>
      </w:r>
      <w:r w:rsidRPr="00604EF9">
        <w:rPr>
          <w:rtl/>
        </w:rPr>
        <w:t xml:space="preserve"> </w:t>
      </w:r>
      <w:r w:rsidRPr="00604EF9">
        <w:rPr>
          <w:rFonts w:hint="eastAsia"/>
          <w:rtl/>
        </w:rPr>
        <w:t>גם</w:t>
      </w:r>
      <w:r w:rsidRPr="00604EF9">
        <w:rPr>
          <w:rtl/>
        </w:rPr>
        <w:t xml:space="preserve"> </w:t>
      </w:r>
      <w:r w:rsidRPr="00604EF9">
        <w:rPr>
          <w:rFonts w:hint="eastAsia"/>
          <w:rtl/>
        </w:rPr>
        <w:t>באשה</w:t>
      </w:r>
      <w:r w:rsidRPr="00604EF9">
        <w:rPr>
          <w:rtl/>
        </w:rPr>
        <w:t xml:space="preserve"> </w:t>
      </w:r>
      <w:r w:rsidRPr="00604EF9">
        <w:rPr>
          <w:rFonts w:hint="eastAsia"/>
          <w:rtl/>
        </w:rPr>
        <w:t>שבגדה</w:t>
      </w:r>
      <w:r w:rsidRPr="00604EF9">
        <w:rPr>
          <w:rtl/>
        </w:rPr>
        <w:t xml:space="preserve"> </w:t>
      </w:r>
      <w:r w:rsidRPr="00604EF9">
        <w:rPr>
          <w:rFonts w:hint="eastAsia"/>
          <w:rtl/>
        </w:rPr>
        <w:t>יש</w:t>
      </w:r>
      <w:r w:rsidRPr="00604EF9">
        <w:rPr>
          <w:rtl/>
        </w:rPr>
        <w:t xml:space="preserve"> </w:t>
      </w:r>
      <w:r w:rsidRPr="00604EF9">
        <w:rPr>
          <w:rFonts w:hint="eastAsia"/>
          <w:rtl/>
        </w:rPr>
        <w:t>להניח</w:t>
      </w:r>
      <w:r w:rsidRPr="00604EF9">
        <w:rPr>
          <w:rtl/>
        </w:rPr>
        <w:t xml:space="preserve"> </w:t>
      </w:r>
      <w:r w:rsidRPr="00604EF9">
        <w:rPr>
          <w:rFonts w:hint="eastAsia"/>
          <w:rtl/>
        </w:rPr>
        <w:t>כי</w:t>
      </w:r>
      <w:r w:rsidRPr="00604EF9">
        <w:rPr>
          <w:rtl/>
        </w:rPr>
        <w:t xml:space="preserve"> </w:t>
      </w:r>
      <w:r w:rsidRPr="00604EF9">
        <w:rPr>
          <w:rFonts w:hint="eastAsia"/>
          <w:rtl/>
        </w:rPr>
        <w:t>הייתה</w:t>
      </w:r>
      <w:r w:rsidRPr="00604EF9">
        <w:rPr>
          <w:rtl/>
        </w:rPr>
        <w:t xml:space="preserve"> </w:t>
      </w:r>
      <w:r w:rsidRPr="00604EF9">
        <w:rPr>
          <w:rFonts w:hint="eastAsia"/>
          <w:rtl/>
        </w:rPr>
        <w:t>כוונה</w:t>
      </w:r>
      <w:r w:rsidRPr="00604EF9">
        <w:rPr>
          <w:rtl/>
        </w:rPr>
        <w:t xml:space="preserve"> </w:t>
      </w:r>
      <w:r w:rsidRPr="00604EF9">
        <w:rPr>
          <w:rFonts w:hint="eastAsia"/>
          <w:rtl/>
        </w:rPr>
        <w:t>לשיתוף</w:t>
      </w:r>
      <w:r w:rsidRPr="00604EF9">
        <w:rPr>
          <w:rtl/>
        </w:rPr>
        <w:t xml:space="preserve">? </w:t>
      </w:r>
      <w:r w:rsidRPr="00604EF9">
        <w:rPr>
          <w:rFonts w:hint="eastAsia"/>
          <w:rtl/>
        </w:rPr>
        <w:t>אפשר</w:t>
      </w:r>
      <w:r w:rsidRPr="00604EF9">
        <w:rPr>
          <w:rtl/>
        </w:rPr>
        <w:t xml:space="preserve"> </w:t>
      </w:r>
      <w:r w:rsidRPr="00604EF9">
        <w:rPr>
          <w:rFonts w:hint="eastAsia"/>
          <w:rtl/>
        </w:rPr>
        <w:t>כי</w:t>
      </w:r>
      <w:r w:rsidRPr="00604EF9">
        <w:rPr>
          <w:rtl/>
        </w:rPr>
        <w:t xml:space="preserve"> </w:t>
      </w:r>
      <w:r w:rsidRPr="00604EF9">
        <w:rPr>
          <w:rFonts w:hint="eastAsia"/>
          <w:rtl/>
        </w:rPr>
        <w:t>כל</w:t>
      </w:r>
      <w:r w:rsidRPr="00604EF9">
        <w:rPr>
          <w:rtl/>
        </w:rPr>
        <w:t xml:space="preserve"> </w:t>
      </w:r>
      <w:r w:rsidRPr="00604EF9">
        <w:rPr>
          <w:rFonts w:hint="eastAsia"/>
          <w:rtl/>
        </w:rPr>
        <w:t>אחד</w:t>
      </w:r>
      <w:r w:rsidRPr="00604EF9">
        <w:rPr>
          <w:rtl/>
        </w:rPr>
        <w:t xml:space="preserve"> </w:t>
      </w:r>
      <w:r w:rsidRPr="00604EF9">
        <w:rPr>
          <w:rFonts w:hint="eastAsia"/>
          <w:rtl/>
        </w:rPr>
        <w:t>אכן</w:t>
      </w:r>
      <w:r w:rsidRPr="00604EF9">
        <w:rPr>
          <w:rtl/>
        </w:rPr>
        <w:t xml:space="preserve"> </w:t>
      </w:r>
      <w:r w:rsidRPr="00604EF9">
        <w:rPr>
          <w:rFonts w:hint="eastAsia"/>
          <w:rtl/>
        </w:rPr>
        <w:t>מוכן</w:t>
      </w:r>
      <w:r w:rsidRPr="00604EF9">
        <w:rPr>
          <w:rtl/>
        </w:rPr>
        <w:t xml:space="preserve"> </w:t>
      </w:r>
      <w:r w:rsidRPr="00604EF9">
        <w:rPr>
          <w:rFonts w:hint="eastAsia"/>
          <w:rtl/>
        </w:rPr>
        <w:t>לשיתוף</w:t>
      </w:r>
      <w:r w:rsidRPr="00604EF9">
        <w:rPr>
          <w:rtl/>
        </w:rPr>
        <w:t xml:space="preserve">, </w:t>
      </w:r>
      <w:r w:rsidRPr="00604EF9">
        <w:rPr>
          <w:rFonts w:hint="eastAsia"/>
          <w:rtl/>
        </w:rPr>
        <w:t>אך</w:t>
      </w:r>
      <w:r w:rsidRPr="00604EF9">
        <w:rPr>
          <w:rtl/>
        </w:rPr>
        <w:t xml:space="preserve"> </w:t>
      </w:r>
      <w:r w:rsidRPr="00604EF9">
        <w:rPr>
          <w:rFonts w:hint="eastAsia"/>
          <w:rtl/>
        </w:rPr>
        <w:t>זאת</w:t>
      </w:r>
      <w:r w:rsidRPr="00604EF9">
        <w:rPr>
          <w:rtl/>
        </w:rPr>
        <w:t xml:space="preserve"> </w:t>
      </w:r>
      <w:r w:rsidRPr="00604EF9">
        <w:rPr>
          <w:rFonts w:hint="eastAsia"/>
          <w:rtl/>
        </w:rPr>
        <w:t>בתנאי</w:t>
      </w:r>
      <w:r w:rsidRPr="00604EF9">
        <w:rPr>
          <w:rtl/>
        </w:rPr>
        <w:t xml:space="preserve"> </w:t>
      </w:r>
      <w:r w:rsidRPr="00604EF9">
        <w:rPr>
          <w:rFonts w:hint="eastAsia"/>
          <w:rtl/>
        </w:rPr>
        <w:t>כי</w:t>
      </w:r>
      <w:r w:rsidRPr="00604EF9">
        <w:rPr>
          <w:rtl/>
        </w:rPr>
        <w:t xml:space="preserve"> </w:t>
      </w:r>
      <w:r w:rsidRPr="00604EF9">
        <w:rPr>
          <w:rFonts w:hint="eastAsia"/>
          <w:rtl/>
        </w:rPr>
        <w:t>אכן</w:t>
      </w:r>
      <w:r w:rsidRPr="00604EF9">
        <w:rPr>
          <w:rtl/>
        </w:rPr>
        <w:t xml:space="preserve"> </w:t>
      </w:r>
      <w:r w:rsidRPr="00604EF9">
        <w:rPr>
          <w:rFonts w:hint="eastAsia"/>
          <w:rtl/>
        </w:rPr>
        <w:t>הצד</w:t>
      </w:r>
      <w:r w:rsidRPr="00604EF9">
        <w:rPr>
          <w:rtl/>
        </w:rPr>
        <w:t xml:space="preserve"> </w:t>
      </w:r>
      <w:r w:rsidRPr="00604EF9">
        <w:rPr>
          <w:rFonts w:hint="eastAsia"/>
          <w:rtl/>
        </w:rPr>
        <w:t>שכנגד</w:t>
      </w:r>
      <w:r w:rsidRPr="00604EF9">
        <w:rPr>
          <w:rtl/>
        </w:rPr>
        <w:t xml:space="preserve"> </w:t>
      </w:r>
      <w:r w:rsidRPr="00604EF9">
        <w:rPr>
          <w:rFonts w:hint="eastAsia"/>
          <w:rtl/>
        </w:rPr>
        <w:t>פועל</w:t>
      </w:r>
      <w:r w:rsidRPr="00604EF9">
        <w:rPr>
          <w:rtl/>
        </w:rPr>
        <w:t xml:space="preserve"> </w:t>
      </w:r>
      <w:r w:rsidRPr="00604EF9">
        <w:rPr>
          <w:rFonts w:hint="eastAsia"/>
          <w:rtl/>
        </w:rPr>
        <w:t>בתום</w:t>
      </w:r>
      <w:r w:rsidRPr="00604EF9">
        <w:rPr>
          <w:rtl/>
        </w:rPr>
        <w:t xml:space="preserve"> </w:t>
      </w:r>
      <w:r w:rsidRPr="00604EF9">
        <w:rPr>
          <w:rFonts w:hint="eastAsia"/>
          <w:rtl/>
        </w:rPr>
        <w:t>לב</w:t>
      </w:r>
      <w:r w:rsidRPr="00604EF9">
        <w:rPr>
          <w:rtl/>
        </w:rPr>
        <w:t xml:space="preserve"> </w:t>
      </w:r>
      <w:r w:rsidRPr="00604EF9">
        <w:rPr>
          <w:rFonts w:hint="eastAsia"/>
          <w:rtl/>
        </w:rPr>
        <w:t>וכוונתו</w:t>
      </w:r>
      <w:r w:rsidRPr="00604EF9">
        <w:rPr>
          <w:rtl/>
        </w:rPr>
        <w:t xml:space="preserve"> </w:t>
      </w:r>
      <w:r w:rsidRPr="00604EF9">
        <w:rPr>
          <w:rFonts w:hint="eastAsia"/>
          <w:rtl/>
        </w:rPr>
        <w:t>גם</w:t>
      </w:r>
      <w:r w:rsidRPr="00604EF9">
        <w:rPr>
          <w:rtl/>
        </w:rPr>
        <w:t xml:space="preserve"> </w:t>
      </w:r>
      <w:r w:rsidRPr="00604EF9">
        <w:rPr>
          <w:rFonts w:hint="eastAsia"/>
          <w:rtl/>
        </w:rPr>
        <w:t>כן</w:t>
      </w:r>
      <w:r w:rsidRPr="00604EF9">
        <w:rPr>
          <w:rtl/>
        </w:rPr>
        <w:t xml:space="preserve"> </w:t>
      </w:r>
      <w:r w:rsidRPr="00604EF9">
        <w:rPr>
          <w:rFonts w:hint="eastAsia"/>
          <w:rtl/>
        </w:rPr>
        <w:t>להמשיך</w:t>
      </w:r>
      <w:r w:rsidRPr="00604EF9">
        <w:rPr>
          <w:rtl/>
        </w:rPr>
        <w:t xml:space="preserve"> </w:t>
      </w:r>
      <w:r w:rsidRPr="00604EF9">
        <w:rPr>
          <w:rFonts w:hint="eastAsia"/>
          <w:rtl/>
        </w:rPr>
        <w:t>לבנות</w:t>
      </w:r>
      <w:r w:rsidRPr="00604EF9">
        <w:rPr>
          <w:rtl/>
        </w:rPr>
        <w:t xml:space="preserve"> </w:t>
      </w:r>
      <w:r w:rsidRPr="00604EF9">
        <w:rPr>
          <w:rFonts w:hint="eastAsia"/>
          <w:rtl/>
        </w:rPr>
        <w:t>את</w:t>
      </w:r>
      <w:r w:rsidRPr="00604EF9">
        <w:rPr>
          <w:rtl/>
        </w:rPr>
        <w:t xml:space="preserve"> </w:t>
      </w:r>
      <w:r w:rsidRPr="00604EF9">
        <w:rPr>
          <w:rFonts w:hint="eastAsia"/>
          <w:rtl/>
        </w:rPr>
        <w:t>הקן</w:t>
      </w:r>
      <w:r w:rsidRPr="00604EF9">
        <w:rPr>
          <w:rtl/>
        </w:rPr>
        <w:t xml:space="preserve"> </w:t>
      </w:r>
      <w:r w:rsidRPr="00604EF9">
        <w:rPr>
          <w:rFonts w:hint="eastAsia"/>
          <w:rtl/>
        </w:rPr>
        <w:t>והמסגרת</w:t>
      </w:r>
      <w:r w:rsidRPr="00604EF9">
        <w:rPr>
          <w:rtl/>
        </w:rPr>
        <w:t xml:space="preserve"> </w:t>
      </w:r>
      <w:r w:rsidRPr="00604EF9">
        <w:rPr>
          <w:rFonts w:hint="eastAsia"/>
          <w:rtl/>
        </w:rPr>
        <w:t>המשפחתית</w:t>
      </w:r>
      <w:r w:rsidRPr="00604EF9">
        <w:rPr>
          <w:rtl/>
        </w:rPr>
        <w:t xml:space="preserve">. [...] </w:t>
      </w:r>
      <w:r w:rsidRPr="00604EF9">
        <w:rPr>
          <w:rFonts w:hint="eastAsia"/>
          <w:rtl/>
        </w:rPr>
        <w:t>בכל</w:t>
      </w:r>
      <w:r w:rsidRPr="00604EF9">
        <w:rPr>
          <w:rtl/>
        </w:rPr>
        <w:t xml:space="preserve"> </w:t>
      </w:r>
      <w:r w:rsidRPr="00604EF9">
        <w:rPr>
          <w:rFonts w:hint="eastAsia"/>
          <w:rtl/>
        </w:rPr>
        <w:t>פירוק</w:t>
      </w:r>
      <w:r w:rsidRPr="00604EF9">
        <w:rPr>
          <w:rtl/>
        </w:rPr>
        <w:t xml:space="preserve"> </w:t>
      </w:r>
      <w:r w:rsidRPr="00604EF9">
        <w:rPr>
          <w:rFonts w:hint="eastAsia"/>
          <w:rtl/>
        </w:rPr>
        <w:t>של</w:t>
      </w:r>
      <w:r w:rsidRPr="00604EF9">
        <w:rPr>
          <w:rtl/>
        </w:rPr>
        <w:t xml:space="preserve"> </w:t>
      </w:r>
      <w:r w:rsidRPr="00604EF9">
        <w:rPr>
          <w:rFonts w:hint="eastAsia"/>
          <w:rtl/>
        </w:rPr>
        <w:t>תא</w:t>
      </w:r>
      <w:r w:rsidRPr="00604EF9">
        <w:rPr>
          <w:rtl/>
        </w:rPr>
        <w:t xml:space="preserve"> </w:t>
      </w:r>
      <w:r w:rsidRPr="00604EF9">
        <w:rPr>
          <w:rFonts w:hint="eastAsia"/>
          <w:rtl/>
        </w:rPr>
        <w:t>משפחתי</w:t>
      </w:r>
      <w:r w:rsidRPr="00604EF9">
        <w:rPr>
          <w:rtl/>
        </w:rPr>
        <w:t xml:space="preserve"> </w:t>
      </w:r>
      <w:r w:rsidRPr="00604EF9">
        <w:rPr>
          <w:rFonts w:hint="eastAsia"/>
          <w:rtl/>
        </w:rPr>
        <w:t>רבות</w:t>
      </w:r>
      <w:r w:rsidRPr="00604EF9">
        <w:rPr>
          <w:rtl/>
        </w:rPr>
        <w:t xml:space="preserve"> </w:t>
      </w:r>
      <w:r w:rsidRPr="00604EF9">
        <w:rPr>
          <w:rFonts w:hint="eastAsia"/>
          <w:rtl/>
        </w:rPr>
        <w:t>הן</w:t>
      </w:r>
      <w:r w:rsidRPr="00604EF9">
        <w:rPr>
          <w:rtl/>
        </w:rPr>
        <w:t xml:space="preserve"> </w:t>
      </w:r>
      <w:r w:rsidRPr="00604EF9">
        <w:rPr>
          <w:rFonts w:hint="eastAsia"/>
          <w:rtl/>
        </w:rPr>
        <w:t>הסיבות</w:t>
      </w:r>
      <w:r w:rsidRPr="00604EF9">
        <w:rPr>
          <w:rtl/>
        </w:rPr>
        <w:t xml:space="preserve"> </w:t>
      </w:r>
      <w:r w:rsidRPr="00604EF9">
        <w:rPr>
          <w:rFonts w:hint="eastAsia"/>
          <w:rtl/>
        </w:rPr>
        <w:t>שאפשר</w:t>
      </w:r>
      <w:r w:rsidRPr="00604EF9">
        <w:rPr>
          <w:rtl/>
        </w:rPr>
        <w:t xml:space="preserve"> </w:t>
      </w:r>
      <w:r w:rsidRPr="00604EF9">
        <w:rPr>
          <w:rFonts w:hint="eastAsia"/>
          <w:rtl/>
        </w:rPr>
        <w:t>שבגללן</w:t>
      </w:r>
      <w:r w:rsidRPr="00604EF9">
        <w:rPr>
          <w:rtl/>
        </w:rPr>
        <w:t xml:space="preserve"> </w:t>
      </w:r>
      <w:r w:rsidRPr="00604EF9">
        <w:rPr>
          <w:rFonts w:hint="eastAsia"/>
          <w:rtl/>
        </w:rPr>
        <w:t>הגיעו</w:t>
      </w:r>
      <w:r w:rsidRPr="00604EF9">
        <w:rPr>
          <w:rtl/>
        </w:rPr>
        <w:t xml:space="preserve"> </w:t>
      </w:r>
      <w:r w:rsidRPr="00604EF9">
        <w:rPr>
          <w:rFonts w:hint="eastAsia"/>
          <w:rtl/>
        </w:rPr>
        <w:t>למצב</w:t>
      </w:r>
      <w:r w:rsidRPr="00604EF9">
        <w:rPr>
          <w:rtl/>
        </w:rPr>
        <w:t xml:space="preserve"> </w:t>
      </w:r>
      <w:r w:rsidRPr="00604EF9">
        <w:rPr>
          <w:rFonts w:hint="eastAsia"/>
          <w:rtl/>
        </w:rPr>
        <w:t>זה</w:t>
      </w:r>
      <w:r w:rsidRPr="00604EF9">
        <w:rPr>
          <w:rtl/>
        </w:rPr>
        <w:t xml:space="preserve">, </w:t>
      </w:r>
      <w:r w:rsidRPr="00604EF9">
        <w:rPr>
          <w:rFonts w:hint="eastAsia"/>
          <w:rtl/>
        </w:rPr>
        <w:t>אולם</w:t>
      </w:r>
      <w:r w:rsidRPr="00604EF9">
        <w:rPr>
          <w:rtl/>
        </w:rPr>
        <w:t xml:space="preserve"> </w:t>
      </w:r>
      <w:r w:rsidRPr="00604EF9">
        <w:rPr>
          <w:rFonts w:hint="eastAsia"/>
          <w:rtl/>
        </w:rPr>
        <w:t>כאשר</w:t>
      </w:r>
      <w:r w:rsidRPr="00604EF9">
        <w:rPr>
          <w:rtl/>
        </w:rPr>
        <w:t xml:space="preserve"> </w:t>
      </w:r>
      <w:r w:rsidRPr="00604EF9">
        <w:rPr>
          <w:rFonts w:hint="eastAsia"/>
          <w:rtl/>
        </w:rPr>
        <w:t>צד</w:t>
      </w:r>
      <w:r w:rsidRPr="00604EF9">
        <w:rPr>
          <w:rtl/>
        </w:rPr>
        <w:t xml:space="preserve"> </w:t>
      </w:r>
      <w:r w:rsidRPr="00604EF9">
        <w:rPr>
          <w:rFonts w:hint="eastAsia"/>
          <w:rtl/>
        </w:rPr>
        <w:t>אחד</w:t>
      </w:r>
      <w:r w:rsidRPr="00604EF9">
        <w:rPr>
          <w:rtl/>
        </w:rPr>
        <w:t xml:space="preserve"> </w:t>
      </w:r>
      <w:r w:rsidRPr="00604EF9">
        <w:rPr>
          <w:rFonts w:hint="eastAsia"/>
          <w:rtl/>
        </w:rPr>
        <w:t>הולך</w:t>
      </w:r>
      <w:r w:rsidRPr="00604EF9">
        <w:rPr>
          <w:rtl/>
        </w:rPr>
        <w:t xml:space="preserve"> </w:t>
      </w:r>
      <w:r w:rsidRPr="00604EF9">
        <w:rPr>
          <w:rFonts w:hint="eastAsia"/>
          <w:rtl/>
        </w:rPr>
        <w:t>שלא</w:t>
      </w:r>
      <w:r w:rsidRPr="00604EF9">
        <w:rPr>
          <w:rtl/>
        </w:rPr>
        <w:t xml:space="preserve"> </w:t>
      </w:r>
      <w:r w:rsidRPr="00604EF9">
        <w:rPr>
          <w:rFonts w:hint="eastAsia"/>
          <w:rtl/>
        </w:rPr>
        <w:t>בתום</w:t>
      </w:r>
      <w:r w:rsidRPr="00604EF9">
        <w:rPr>
          <w:rtl/>
        </w:rPr>
        <w:t xml:space="preserve"> </w:t>
      </w:r>
      <w:r w:rsidRPr="00604EF9">
        <w:rPr>
          <w:rFonts w:hint="eastAsia"/>
          <w:rtl/>
        </w:rPr>
        <w:t>לב</w:t>
      </w:r>
      <w:r w:rsidRPr="00604EF9">
        <w:rPr>
          <w:rtl/>
        </w:rPr>
        <w:t xml:space="preserve"> </w:t>
      </w:r>
      <w:r w:rsidRPr="00604EF9">
        <w:rPr>
          <w:rFonts w:hint="eastAsia"/>
          <w:rtl/>
        </w:rPr>
        <w:t>ועושה</w:t>
      </w:r>
      <w:r w:rsidRPr="00604EF9">
        <w:rPr>
          <w:rtl/>
        </w:rPr>
        <w:t xml:space="preserve"> </w:t>
      </w:r>
      <w:r w:rsidRPr="00604EF9">
        <w:rPr>
          <w:rFonts w:hint="eastAsia"/>
          <w:rtl/>
        </w:rPr>
        <w:t>מעשים</w:t>
      </w:r>
      <w:r w:rsidRPr="00604EF9">
        <w:rPr>
          <w:rtl/>
        </w:rPr>
        <w:t xml:space="preserve"> </w:t>
      </w:r>
      <w:r w:rsidRPr="00604EF9">
        <w:rPr>
          <w:rFonts w:hint="eastAsia"/>
          <w:rtl/>
        </w:rPr>
        <w:t>אשר</w:t>
      </w:r>
      <w:r w:rsidRPr="00604EF9">
        <w:rPr>
          <w:rtl/>
        </w:rPr>
        <w:t xml:space="preserve"> </w:t>
      </w:r>
      <w:r w:rsidRPr="00604EF9">
        <w:rPr>
          <w:rFonts w:hint="eastAsia"/>
          <w:rtl/>
        </w:rPr>
        <w:t>לא</w:t>
      </w:r>
      <w:r w:rsidRPr="00604EF9">
        <w:rPr>
          <w:rtl/>
        </w:rPr>
        <w:t xml:space="preserve"> </w:t>
      </w:r>
      <w:r w:rsidRPr="00604EF9">
        <w:rPr>
          <w:rFonts w:hint="eastAsia"/>
          <w:rtl/>
        </w:rPr>
        <w:t>ניתן</w:t>
      </w:r>
      <w:r w:rsidRPr="00604EF9">
        <w:rPr>
          <w:rtl/>
        </w:rPr>
        <w:t xml:space="preserve"> </w:t>
      </w:r>
      <w:r w:rsidRPr="00604EF9">
        <w:rPr>
          <w:rFonts w:hint="eastAsia"/>
          <w:rtl/>
        </w:rPr>
        <w:t>לחזור</w:t>
      </w:r>
      <w:r w:rsidRPr="00604EF9">
        <w:rPr>
          <w:rtl/>
        </w:rPr>
        <w:t xml:space="preserve"> </w:t>
      </w:r>
      <w:r w:rsidRPr="00604EF9">
        <w:rPr>
          <w:rFonts w:hint="eastAsia"/>
          <w:rtl/>
        </w:rPr>
        <w:t>מהם</w:t>
      </w:r>
      <w:r w:rsidRPr="00604EF9">
        <w:rPr>
          <w:rtl/>
        </w:rPr>
        <w:t xml:space="preserve"> </w:t>
      </w:r>
      <w:r w:rsidRPr="00604EF9">
        <w:rPr>
          <w:rFonts w:hint="eastAsia"/>
          <w:rtl/>
        </w:rPr>
        <w:t>וגונז</w:t>
      </w:r>
      <w:r w:rsidRPr="00604EF9">
        <w:rPr>
          <w:rtl/>
        </w:rPr>
        <w:t xml:space="preserve"> </w:t>
      </w:r>
      <w:r w:rsidRPr="00604EF9">
        <w:rPr>
          <w:rFonts w:hint="eastAsia"/>
          <w:rtl/>
        </w:rPr>
        <w:t>והורס</w:t>
      </w:r>
      <w:r w:rsidRPr="00604EF9">
        <w:rPr>
          <w:rtl/>
        </w:rPr>
        <w:t xml:space="preserve"> </w:t>
      </w:r>
      <w:r w:rsidRPr="00604EF9">
        <w:rPr>
          <w:rFonts w:hint="eastAsia"/>
          <w:rtl/>
        </w:rPr>
        <w:t>את</w:t>
      </w:r>
      <w:r w:rsidRPr="00604EF9">
        <w:rPr>
          <w:rtl/>
        </w:rPr>
        <w:t xml:space="preserve"> </w:t>
      </w:r>
      <w:r w:rsidRPr="00604EF9">
        <w:rPr>
          <w:rFonts w:hint="eastAsia"/>
          <w:rtl/>
        </w:rPr>
        <w:t>החלום</w:t>
      </w:r>
      <w:r w:rsidRPr="00604EF9">
        <w:rPr>
          <w:rtl/>
        </w:rPr>
        <w:t xml:space="preserve"> </w:t>
      </w:r>
      <w:r w:rsidRPr="00604EF9">
        <w:rPr>
          <w:rFonts w:hint="eastAsia"/>
          <w:rtl/>
        </w:rPr>
        <w:t>על</w:t>
      </w:r>
      <w:r w:rsidRPr="00604EF9">
        <w:rPr>
          <w:rtl/>
        </w:rPr>
        <w:t xml:space="preserve"> </w:t>
      </w:r>
      <w:r w:rsidRPr="00604EF9">
        <w:rPr>
          <w:rFonts w:hint="eastAsia"/>
          <w:rtl/>
        </w:rPr>
        <w:t>התא</w:t>
      </w:r>
      <w:r w:rsidRPr="00604EF9">
        <w:rPr>
          <w:rtl/>
        </w:rPr>
        <w:t xml:space="preserve"> </w:t>
      </w:r>
      <w:r w:rsidRPr="00604EF9">
        <w:rPr>
          <w:rFonts w:hint="eastAsia"/>
          <w:rtl/>
        </w:rPr>
        <w:t>המשפחתי</w:t>
      </w:r>
      <w:r w:rsidRPr="00604EF9">
        <w:rPr>
          <w:rtl/>
        </w:rPr>
        <w:t xml:space="preserve"> </w:t>
      </w:r>
      <w:r w:rsidRPr="00604EF9">
        <w:rPr>
          <w:rFonts w:hint="eastAsia"/>
          <w:rtl/>
        </w:rPr>
        <w:t>במעשה</w:t>
      </w:r>
      <w:r w:rsidRPr="00604EF9">
        <w:rPr>
          <w:rtl/>
        </w:rPr>
        <w:t xml:space="preserve"> </w:t>
      </w:r>
      <w:r w:rsidRPr="00604EF9">
        <w:rPr>
          <w:rFonts w:hint="eastAsia"/>
          <w:rtl/>
        </w:rPr>
        <w:t>שוודאי</w:t>
      </w:r>
      <w:r w:rsidRPr="00604EF9">
        <w:rPr>
          <w:rtl/>
        </w:rPr>
        <w:t xml:space="preserve"> </w:t>
      </w:r>
      <w:r w:rsidRPr="00604EF9">
        <w:rPr>
          <w:rFonts w:hint="eastAsia"/>
          <w:rtl/>
        </w:rPr>
        <w:t>יגרום</w:t>
      </w:r>
      <w:r w:rsidRPr="00604EF9">
        <w:rPr>
          <w:rtl/>
        </w:rPr>
        <w:t xml:space="preserve"> </w:t>
      </w:r>
      <w:r w:rsidRPr="00604EF9">
        <w:rPr>
          <w:rFonts w:hint="eastAsia"/>
          <w:rtl/>
        </w:rPr>
        <w:t>לפירוק</w:t>
      </w:r>
      <w:r w:rsidRPr="00604EF9">
        <w:rPr>
          <w:rtl/>
        </w:rPr>
        <w:t xml:space="preserve"> </w:t>
      </w:r>
      <w:r w:rsidRPr="00604EF9">
        <w:rPr>
          <w:rFonts w:hint="eastAsia"/>
          <w:rtl/>
        </w:rPr>
        <w:t>של</w:t>
      </w:r>
      <w:r w:rsidRPr="00604EF9">
        <w:rPr>
          <w:rtl/>
        </w:rPr>
        <w:t xml:space="preserve"> </w:t>
      </w:r>
      <w:r w:rsidRPr="00604EF9">
        <w:rPr>
          <w:rFonts w:hint="eastAsia"/>
          <w:rtl/>
        </w:rPr>
        <w:t>הבית</w:t>
      </w:r>
      <w:r w:rsidRPr="00604EF9">
        <w:rPr>
          <w:rtl/>
        </w:rPr>
        <w:t xml:space="preserve"> – </w:t>
      </w:r>
      <w:r w:rsidRPr="00604EF9">
        <w:rPr>
          <w:rFonts w:hint="eastAsia"/>
          <w:rtl/>
        </w:rPr>
        <w:t>בזה</w:t>
      </w:r>
      <w:r w:rsidRPr="00604EF9">
        <w:rPr>
          <w:rtl/>
        </w:rPr>
        <w:t xml:space="preserve"> </w:t>
      </w:r>
      <w:r w:rsidRPr="00604EF9">
        <w:rPr>
          <w:rFonts w:hint="eastAsia"/>
          <w:rtl/>
        </w:rPr>
        <w:t>יש</w:t>
      </w:r>
      <w:r w:rsidRPr="00604EF9">
        <w:rPr>
          <w:rtl/>
        </w:rPr>
        <w:t xml:space="preserve"> </w:t>
      </w:r>
      <w:proofErr w:type="spellStart"/>
      <w:r w:rsidRPr="00604EF9">
        <w:rPr>
          <w:rFonts w:hint="eastAsia"/>
          <w:rtl/>
        </w:rPr>
        <w:t>אומדנא</w:t>
      </w:r>
      <w:proofErr w:type="spellEnd"/>
      <w:r w:rsidRPr="00604EF9">
        <w:rPr>
          <w:rtl/>
        </w:rPr>
        <w:t xml:space="preserve"> </w:t>
      </w:r>
      <w:proofErr w:type="spellStart"/>
      <w:r w:rsidRPr="00604EF9">
        <w:rPr>
          <w:rFonts w:hint="eastAsia"/>
          <w:rtl/>
        </w:rPr>
        <w:t>דמוכח</w:t>
      </w:r>
      <w:proofErr w:type="spellEnd"/>
      <w:r w:rsidRPr="00604EF9">
        <w:rPr>
          <w:rtl/>
        </w:rPr>
        <w:t xml:space="preserve"> </w:t>
      </w:r>
      <w:proofErr w:type="spellStart"/>
      <w:r w:rsidRPr="00604EF9">
        <w:rPr>
          <w:rFonts w:hint="eastAsia"/>
          <w:rtl/>
        </w:rPr>
        <w:t>ואנן</w:t>
      </w:r>
      <w:proofErr w:type="spellEnd"/>
      <w:r w:rsidRPr="00604EF9">
        <w:rPr>
          <w:rtl/>
        </w:rPr>
        <w:t xml:space="preserve"> </w:t>
      </w:r>
      <w:r w:rsidRPr="00604EF9">
        <w:rPr>
          <w:rFonts w:hint="eastAsia"/>
          <w:rtl/>
        </w:rPr>
        <w:t>סהדי</w:t>
      </w:r>
      <w:r w:rsidRPr="00604EF9">
        <w:rPr>
          <w:rtl/>
        </w:rPr>
        <w:t xml:space="preserve"> </w:t>
      </w:r>
      <w:r w:rsidRPr="00604EF9">
        <w:rPr>
          <w:rFonts w:hint="eastAsia"/>
          <w:rtl/>
        </w:rPr>
        <w:t>כי</w:t>
      </w:r>
      <w:r w:rsidRPr="00604EF9">
        <w:rPr>
          <w:rtl/>
        </w:rPr>
        <w:t xml:space="preserve"> </w:t>
      </w:r>
      <w:r w:rsidRPr="00604EF9">
        <w:rPr>
          <w:rFonts w:hint="eastAsia"/>
          <w:rtl/>
        </w:rPr>
        <w:t>לא</w:t>
      </w:r>
      <w:r w:rsidRPr="00604EF9">
        <w:rPr>
          <w:rtl/>
        </w:rPr>
        <w:t xml:space="preserve"> </w:t>
      </w:r>
      <w:r w:rsidRPr="00604EF9">
        <w:rPr>
          <w:rFonts w:hint="eastAsia"/>
          <w:rtl/>
        </w:rPr>
        <w:t>הייתה</w:t>
      </w:r>
      <w:r w:rsidRPr="00604EF9">
        <w:rPr>
          <w:rtl/>
        </w:rPr>
        <w:t xml:space="preserve"> </w:t>
      </w:r>
      <w:r w:rsidRPr="00604EF9">
        <w:rPr>
          <w:rFonts w:hint="eastAsia"/>
          <w:rtl/>
        </w:rPr>
        <w:t>לו</w:t>
      </w:r>
      <w:r w:rsidRPr="00604EF9">
        <w:rPr>
          <w:rtl/>
        </w:rPr>
        <w:t xml:space="preserve"> </w:t>
      </w:r>
      <w:r w:rsidRPr="00604EF9">
        <w:rPr>
          <w:rFonts w:hint="eastAsia"/>
          <w:rtl/>
        </w:rPr>
        <w:t>כל</w:t>
      </w:r>
      <w:r w:rsidRPr="00604EF9">
        <w:rPr>
          <w:rtl/>
        </w:rPr>
        <w:t xml:space="preserve"> </w:t>
      </w:r>
      <w:r w:rsidRPr="00604EF9">
        <w:rPr>
          <w:rFonts w:hint="eastAsia"/>
          <w:rtl/>
        </w:rPr>
        <w:t>כוונה</w:t>
      </w:r>
      <w:r w:rsidRPr="00604EF9">
        <w:rPr>
          <w:rtl/>
        </w:rPr>
        <w:t xml:space="preserve"> </w:t>
      </w:r>
      <w:r w:rsidRPr="00604EF9">
        <w:rPr>
          <w:rFonts w:hint="eastAsia"/>
          <w:rtl/>
        </w:rPr>
        <w:t>לשתף</w:t>
      </w:r>
      <w:r w:rsidRPr="00604EF9">
        <w:rPr>
          <w:rtl/>
        </w:rPr>
        <w:t xml:space="preserve"> </w:t>
      </w:r>
      <w:r w:rsidRPr="00604EF9">
        <w:rPr>
          <w:rFonts w:hint="eastAsia"/>
          <w:rtl/>
        </w:rPr>
        <w:t>בנכסים</w:t>
      </w:r>
      <w:r w:rsidRPr="00604EF9">
        <w:rPr>
          <w:rtl/>
        </w:rPr>
        <w:t xml:space="preserve"> </w:t>
      </w:r>
      <w:r w:rsidRPr="00604EF9">
        <w:rPr>
          <w:rFonts w:hint="eastAsia"/>
          <w:rtl/>
        </w:rPr>
        <w:t>שעל</w:t>
      </w:r>
      <w:r w:rsidRPr="00604EF9">
        <w:rPr>
          <w:rtl/>
        </w:rPr>
        <w:t xml:space="preserve"> </w:t>
      </w:r>
      <w:r w:rsidRPr="00604EF9">
        <w:rPr>
          <w:rFonts w:hint="eastAsia"/>
          <w:rtl/>
        </w:rPr>
        <w:t>שמו</w:t>
      </w:r>
      <w:r w:rsidRPr="00604EF9">
        <w:rPr>
          <w:rtl/>
        </w:rPr>
        <w:t xml:space="preserve"> </w:t>
      </w:r>
      <w:r w:rsidRPr="00604EF9">
        <w:rPr>
          <w:rFonts w:hint="eastAsia"/>
          <w:rtl/>
        </w:rPr>
        <w:t>בלבד</w:t>
      </w:r>
      <w:r w:rsidRPr="00604EF9">
        <w:rPr>
          <w:rtl/>
        </w:rPr>
        <w:t xml:space="preserve"> </w:t>
      </w:r>
      <w:r w:rsidRPr="00604EF9">
        <w:rPr>
          <w:rFonts w:hint="eastAsia"/>
          <w:rtl/>
        </w:rPr>
        <w:t>את</w:t>
      </w:r>
      <w:r w:rsidRPr="00604EF9">
        <w:rPr>
          <w:rtl/>
        </w:rPr>
        <w:t xml:space="preserve"> </w:t>
      </w:r>
      <w:r w:rsidRPr="00604EF9">
        <w:rPr>
          <w:rFonts w:hint="eastAsia"/>
          <w:rtl/>
        </w:rPr>
        <w:t>הפוגע</w:t>
      </w:r>
      <w:r w:rsidRPr="00604EF9">
        <w:rPr>
          <w:rtl/>
        </w:rPr>
        <w:t xml:space="preserve"> </w:t>
      </w:r>
      <w:r w:rsidRPr="00604EF9">
        <w:rPr>
          <w:rFonts w:hint="eastAsia"/>
          <w:rtl/>
        </w:rPr>
        <w:t>ההורס</w:t>
      </w:r>
      <w:r w:rsidRPr="00604EF9">
        <w:rPr>
          <w:rtl/>
        </w:rPr>
        <w:t xml:space="preserve"> </w:t>
      </w:r>
      <w:r w:rsidRPr="00604EF9">
        <w:rPr>
          <w:rFonts w:hint="eastAsia"/>
          <w:rtl/>
        </w:rPr>
        <w:t>ומקעקע</w:t>
      </w:r>
      <w:r w:rsidRPr="00604EF9">
        <w:rPr>
          <w:rtl/>
        </w:rPr>
        <w:t xml:space="preserve"> </w:t>
      </w:r>
      <w:r w:rsidRPr="00604EF9">
        <w:rPr>
          <w:rFonts w:hint="eastAsia"/>
          <w:rtl/>
        </w:rPr>
        <w:t>את</w:t>
      </w:r>
      <w:r w:rsidRPr="00604EF9">
        <w:rPr>
          <w:rtl/>
        </w:rPr>
        <w:t xml:space="preserve"> </w:t>
      </w:r>
      <w:r w:rsidRPr="00604EF9">
        <w:rPr>
          <w:rFonts w:hint="eastAsia"/>
          <w:rtl/>
        </w:rPr>
        <w:t>כל</w:t>
      </w:r>
      <w:r w:rsidRPr="00604EF9">
        <w:rPr>
          <w:rtl/>
        </w:rPr>
        <w:t xml:space="preserve"> </w:t>
      </w:r>
      <w:r w:rsidRPr="00604EF9">
        <w:rPr>
          <w:rFonts w:hint="eastAsia"/>
          <w:rtl/>
        </w:rPr>
        <w:t>חיי</w:t>
      </w:r>
      <w:r w:rsidRPr="00604EF9">
        <w:rPr>
          <w:rtl/>
        </w:rPr>
        <w:t xml:space="preserve"> </w:t>
      </w:r>
      <w:r w:rsidRPr="00604EF9">
        <w:rPr>
          <w:rFonts w:hint="eastAsia"/>
          <w:rtl/>
        </w:rPr>
        <w:t>המשפחה</w:t>
      </w:r>
      <w:r w:rsidRPr="00604EF9">
        <w:rPr>
          <w:rtl/>
        </w:rPr>
        <w:t xml:space="preserve">. </w:t>
      </w:r>
      <w:r w:rsidRPr="00604EF9">
        <w:rPr>
          <w:rFonts w:hint="eastAsia"/>
          <w:rtl/>
        </w:rPr>
        <w:t>ואף</w:t>
      </w:r>
      <w:r w:rsidRPr="00604EF9">
        <w:rPr>
          <w:rtl/>
        </w:rPr>
        <w:t xml:space="preserve"> </w:t>
      </w:r>
      <w:r w:rsidRPr="00604EF9">
        <w:rPr>
          <w:rFonts w:hint="eastAsia"/>
          <w:rtl/>
        </w:rPr>
        <w:t>אם</w:t>
      </w:r>
      <w:r w:rsidRPr="00604EF9">
        <w:rPr>
          <w:rtl/>
        </w:rPr>
        <w:t xml:space="preserve"> </w:t>
      </w:r>
      <w:r w:rsidRPr="00604EF9">
        <w:rPr>
          <w:rFonts w:hint="eastAsia"/>
          <w:rtl/>
        </w:rPr>
        <w:t>מתוך</w:t>
      </w:r>
      <w:r w:rsidRPr="00604EF9">
        <w:rPr>
          <w:rtl/>
        </w:rPr>
        <w:t xml:space="preserve"> </w:t>
      </w:r>
      <w:r w:rsidRPr="00604EF9">
        <w:rPr>
          <w:rFonts w:hint="eastAsia"/>
          <w:rtl/>
        </w:rPr>
        <w:t>מעשיו</w:t>
      </w:r>
      <w:r w:rsidRPr="00604EF9">
        <w:rPr>
          <w:rtl/>
        </w:rPr>
        <w:t xml:space="preserve"> </w:t>
      </w:r>
      <w:r w:rsidRPr="00604EF9">
        <w:rPr>
          <w:rFonts w:hint="eastAsia"/>
          <w:rtl/>
        </w:rPr>
        <w:t>היה</w:t>
      </w:r>
      <w:r w:rsidRPr="00604EF9">
        <w:rPr>
          <w:rtl/>
        </w:rPr>
        <w:t xml:space="preserve"> </w:t>
      </w:r>
      <w:r w:rsidRPr="00604EF9">
        <w:rPr>
          <w:rFonts w:hint="eastAsia"/>
          <w:rtl/>
        </w:rPr>
        <w:t>ניכר</w:t>
      </w:r>
      <w:r w:rsidRPr="00604EF9">
        <w:rPr>
          <w:rtl/>
        </w:rPr>
        <w:t xml:space="preserve"> </w:t>
      </w:r>
      <w:r w:rsidRPr="00604EF9">
        <w:rPr>
          <w:rFonts w:hint="eastAsia"/>
          <w:rtl/>
        </w:rPr>
        <w:t>כי</w:t>
      </w:r>
      <w:r w:rsidRPr="00604EF9">
        <w:rPr>
          <w:rtl/>
        </w:rPr>
        <w:t xml:space="preserve"> </w:t>
      </w:r>
      <w:r w:rsidRPr="00604EF9">
        <w:rPr>
          <w:rFonts w:hint="eastAsia"/>
          <w:rtl/>
        </w:rPr>
        <w:t>כוונתו</w:t>
      </w:r>
      <w:r w:rsidRPr="00604EF9">
        <w:rPr>
          <w:rtl/>
        </w:rPr>
        <w:t xml:space="preserve"> </w:t>
      </w:r>
      <w:r w:rsidRPr="00604EF9">
        <w:rPr>
          <w:rFonts w:hint="eastAsia"/>
          <w:rtl/>
        </w:rPr>
        <w:t>לשיתוף</w:t>
      </w:r>
      <w:r w:rsidRPr="00604EF9">
        <w:rPr>
          <w:rtl/>
        </w:rPr>
        <w:t xml:space="preserve"> – </w:t>
      </w:r>
      <w:r w:rsidRPr="00604EF9">
        <w:rPr>
          <w:rFonts w:hint="eastAsia"/>
          <w:rtl/>
        </w:rPr>
        <w:t>הרי</w:t>
      </w:r>
      <w:r w:rsidRPr="00604EF9">
        <w:rPr>
          <w:rtl/>
        </w:rPr>
        <w:t xml:space="preserve"> </w:t>
      </w:r>
      <w:r w:rsidRPr="00604EF9">
        <w:rPr>
          <w:rFonts w:hint="eastAsia"/>
          <w:rtl/>
        </w:rPr>
        <w:t>כל</w:t>
      </w:r>
      <w:r w:rsidRPr="00604EF9">
        <w:rPr>
          <w:rtl/>
        </w:rPr>
        <w:t xml:space="preserve"> </w:t>
      </w:r>
      <w:r w:rsidRPr="00604EF9">
        <w:rPr>
          <w:rFonts w:hint="eastAsia"/>
          <w:rtl/>
        </w:rPr>
        <w:t>זה</w:t>
      </w:r>
      <w:r w:rsidRPr="00604EF9">
        <w:rPr>
          <w:rtl/>
        </w:rPr>
        <w:t xml:space="preserve"> </w:t>
      </w:r>
      <w:r w:rsidRPr="00604EF9">
        <w:rPr>
          <w:rFonts w:hint="eastAsia"/>
          <w:rtl/>
        </w:rPr>
        <w:t>נעשה</w:t>
      </w:r>
      <w:r w:rsidRPr="00604EF9">
        <w:rPr>
          <w:rtl/>
        </w:rPr>
        <w:t xml:space="preserve"> </w:t>
      </w:r>
      <w:r w:rsidRPr="00604EF9">
        <w:rPr>
          <w:rFonts w:hint="eastAsia"/>
          <w:rtl/>
        </w:rPr>
        <w:t>בטעות</w:t>
      </w:r>
      <w:r w:rsidRPr="00604EF9">
        <w:rPr>
          <w:rtl/>
        </w:rPr>
        <w:t xml:space="preserve"> </w:t>
      </w:r>
      <w:proofErr w:type="spellStart"/>
      <w:r w:rsidRPr="00604EF9">
        <w:rPr>
          <w:rFonts w:hint="eastAsia"/>
          <w:rtl/>
        </w:rPr>
        <w:t>ואומדנא</w:t>
      </w:r>
      <w:proofErr w:type="spellEnd"/>
      <w:r w:rsidRPr="00604EF9">
        <w:rPr>
          <w:rtl/>
        </w:rPr>
        <w:t xml:space="preserve"> </w:t>
      </w:r>
      <w:proofErr w:type="spellStart"/>
      <w:r w:rsidRPr="00604EF9">
        <w:rPr>
          <w:rFonts w:hint="eastAsia"/>
          <w:rtl/>
        </w:rPr>
        <w:t>דמוכח</w:t>
      </w:r>
      <w:proofErr w:type="spellEnd"/>
      <w:r w:rsidRPr="00604EF9">
        <w:rPr>
          <w:rtl/>
        </w:rPr>
        <w:t xml:space="preserve"> </w:t>
      </w:r>
      <w:r w:rsidRPr="00604EF9">
        <w:rPr>
          <w:rFonts w:hint="eastAsia"/>
          <w:rtl/>
        </w:rPr>
        <w:t>שהוטעה</w:t>
      </w:r>
      <w:r w:rsidRPr="00604EF9">
        <w:rPr>
          <w:rtl/>
        </w:rPr>
        <w:t xml:space="preserve"> </w:t>
      </w:r>
      <w:r w:rsidRPr="00604EF9">
        <w:rPr>
          <w:rFonts w:hint="eastAsia"/>
          <w:rtl/>
        </w:rPr>
        <w:t>והולך</w:t>
      </w:r>
      <w:r w:rsidRPr="00604EF9">
        <w:rPr>
          <w:rtl/>
        </w:rPr>
        <w:t xml:space="preserve"> </w:t>
      </w:r>
      <w:r w:rsidRPr="00604EF9">
        <w:rPr>
          <w:rFonts w:hint="eastAsia"/>
          <w:rtl/>
        </w:rPr>
        <w:t>שולל</w:t>
      </w:r>
      <w:r w:rsidRPr="00604EF9">
        <w:rPr>
          <w:rtl/>
        </w:rPr>
        <w:t xml:space="preserve"> </w:t>
      </w:r>
      <w:r w:rsidRPr="00604EF9">
        <w:rPr>
          <w:rFonts w:hint="eastAsia"/>
          <w:rtl/>
        </w:rPr>
        <w:t>ולכן</w:t>
      </w:r>
      <w:r w:rsidRPr="00604EF9">
        <w:rPr>
          <w:rtl/>
        </w:rPr>
        <w:t xml:space="preserve"> </w:t>
      </w:r>
      <w:r w:rsidRPr="00604EF9">
        <w:rPr>
          <w:rFonts w:hint="eastAsia"/>
          <w:rtl/>
        </w:rPr>
        <w:t>כוונה</w:t>
      </w:r>
      <w:r w:rsidRPr="00604EF9">
        <w:rPr>
          <w:rtl/>
        </w:rPr>
        <w:t xml:space="preserve"> </w:t>
      </w:r>
      <w:r w:rsidRPr="00604EF9">
        <w:rPr>
          <w:rFonts w:hint="eastAsia"/>
          <w:rtl/>
        </w:rPr>
        <w:t>זו</w:t>
      </w:r>
      <w:r w:rsidRPr="00604EF9">
        <w:rPr>
          <w:rtl/>
        </w:rPr>
        <w:t xml:space="preserve"> </w:t>
      </w:r>
      <w:r w:rsidRPr="00604EF9">
        <w:rPr>
          <w:rFonts w:hint="eastAsia"/>
          <w:rtl/>
        </w:rPr>
        <w:t>בטלה</w:t>
      </w:r>
      <w:r w:rsidRPr="00604EF9">
        <w:rPr>
          <w:rtl/>
        </w:rPr>
        <w:t xml:space="preserve"> </w:t>
      </w:r>
      <w:r w:rsidRPr="00604EF9">
        <w:rPr>
          <w:rFonts w:hint="eastAsia"/>
          <w:rtl/>
        </w:rPr>
        <w:t>מעיקרה</w:t>
      </w:r>
      <w:r w:rsidRPr="00604EF9">
        <w:rPr>
          <w:rFonts w:hint="cs"/>
          <w:rtl/>
        </w:rPr>
        <w:t>".</w:t>
      </w:r>
      <w:r w:rsidRPr="00604EF9">
        <w:rPr>
          <w:rtl/>
        </w:rPr>
        <w:t xml:space="preserve"> </w:t>
      </w:r>
    </w:p>
    <w:p w:rsidR="00FA3A86" w:rsidRPr="00604EF9" w:rsidRDefault="00FA3A86" w:rsidP="00FA3A86">
      <w:pPr>
        <w:pStyle w:val="Ruller41"/>
        <w:rPr>
          <w:rtl/>
        </w:rPr>
      </w:pPr>
    </w:p>
    <w:p w:rsidR="00FA3A86" w:rsidRPr="00604EF9" w:rsidRDefault="00FA3A86" w:rsidP="00FA3A86">
      <w:pPr>
        <w:pStyle w:val="Ruller41"/>
        <w:rPr>
          <w:rtl/>
        </w:rPr>
      </w:pPr>
      <w:r w:rsidRPr="00604EF9">
        <w:rPr>
          <w:rtl/>
        </w:rPr>
        <w:tab/>
      </w:r>
      <w:r w:rsidRPr="00604EF9">
        <w:rPr>
          <w:rFonts w:hint="cs"/>
          <w:rtl/>
        </w:rPr>
        <w:t xml:space="preserve">בהקשר זה ציין הדיין </w:t>
      </w:r>
      <w:r w:rsidRPr="00604EF9">
        <w:rPr>
          <w:rFonts w:ascii="Century" w:hAnsi="Century" w:cs="Miriam" w:hint="cs"/>
          <w:b/>
          <w:szCs w:val="24"/>
          <w:rtl/>
        </w:rPr>
        <w:t xml:space="preserve">עמוס </w:t>
      </w:r>
      <w:r w:rsidRPr="00604EF9">
        <w:rPr>
          <w:rFonts w:hint="cs"/>
          <w:rtl/>
        </w:rPr>
        <w:t>כי אף שבפסיקה נקבע ש</w:t>
      </w:r>
      <w:r w:rsidRPr="00604EF9">
        <w:rPr>
          <w:rFonts w:hint="eastAsia"/>
          <w:rtl/>
        </w:rPr>
        <w:t>אין</w:t>
      </w:r>
      <w:r w:rsidRPr="00604EF9">
        <w:rPr>
          <w:rtl/>
        </w:rPr>
        <w:t xml:space="preserve"> </w:t>
      </w:r>
      <w:r w:rsidRPr="00604EF9">
        <w:rPr>
          <w:rFonts w:hint="eastAsia"/>
          <w:rtl/>
        </w:rPr>
        <w:t>נענשים</w:t>
      </w:r>
      <w:r w:rsidRPr="00604EF9">
        <w:rPr>
          <w:rFonts w:hint="cs"/>
          <w:rtl/>
        </w:rPr>
        <w:t xml:space="preserve"> למפרע</w:t>
      </w:r>
      <w:r w:rsidRPr="00604EF9">
        <w:rPr>
          <w:rtl/>
        </w:rPr>
        <w:t xml:space="preserve"> </w:t>
      </w:r>
      <w:r w:rsidRPr="00604EF9">
        <w:rPr>
          <w:rFonts w:hint="cs"/>
          <w:rtl/>
        </w:rPr>
        <w:t xml:space="preserve">על בגידה </w:t>
      </w:r>
      <w:r w:rsidRPr="00604EF9">
        <w:rPr>
          <w:rFonts w:hint="eastAsia"/>
          <w:rtl/>
        </w:rPr>
        <w:t>ב</w:t>
      </w:r>
      <w:r w:rsidRPr="00604EF9">
        <w:rPr>
          <w:rFonts w:hint="cs"/>
          <w:rtl/>
        </w:rPr>
        <w:t xml:space="preserve">אמצעות </w:t>
      </w:r>
      <w:r w:rsidRPr="00604EF9">
        <w:rPr>
          <w:rFonts w:hint="eastAsia"/>
          <w:rtl/>
        </w:rPr>
        <w:t>נטילת</w:t>
      </w:r>
      <w:r w:rsidRPr="00604EF9">
        <w:rPr>
          <w:rtl/>
        </w:rPr>
        <w:t xml:space="preserve"> </w:t>
      </w:r>
      <w:r w:rsidRPr="00604EF9">
        <w:rPr>
          <w:rFonts w:hint="eastAsia"/>
          <w:rtl/>
        </w:rPr>
        <w:t>זכויות</w:t>
      </w:r>
      <w:r w:rsidRPr="00604EF9">
        <w:rPr>
          <w:rtl/>
        </w:rPr>
        <w:t xml:space="preserve"> </w:t>
      </w:r>
      <w:r w:rsidRPr="00604EF9">
        <w:rPr>
          <w:rFonts w:hint="cs"/>
          <w:rtl/>
        </w:rPr>
        <w:t>ברכוש המשותף</w:t>
      </w:r>
      <w:r w:rsidRPr="00604EF9">
        <w:rPr>
          <w:rtl/>
        </w:rPr>
        <w:t>,</w:t>
      </w:r>
      <w:r w:rsidRPr="00604EF9">
        <w:rPr>
          <w:rFonts w:hint="cs"/>
          <w:rtl/>
        </w:rPr>
        <w:t xml:space="preserve"> יש להבדיל בין "ענישה" </w:t>
      </w:r>
      <w:r>
        <w:rPr>
          <w:rFonts w:hint="cs"/>
          <w:rtl/>
        </w:rPr>
        <w:t xml:space="preserve">השוללת </w:t>
      </w:r>
      <w:r w:rsidRPr="00604EF9">
        <w:rPr>
          <w:rFonts w:hint="cs"/>
          <w:rtl/>
        </w:rPr>
        <w:t>זכויות ש</w:t>
      </w:r>
      <w:r>
        <w:rPr>
          <w:rFonts w:hint="cs"/>
          <w:rtl/>
        </w:rPr>
        <w:t xml:space="preserve">בהן </w:t>
      </w:r>
      <w:r w:rsidRPr="00604EF9">
        <w:rPr>
          <w:rFonts w:hint="cs"/>
          <w:rtl/>
        </w:rPr>
        <w:t>אחד הצדדים כבר זכה</w:t>
      </w:r>
      <w:r>
        <w:rPr>
          <w:rFonts w:hint="cs"/>
          <w:rtl/>
        </w:rPr>
        <w:t>,</w:t>
      </w:r>
      <w:r w:rsidRPr="00604EF9">
        <w:rPr>
          <w:rFonts w:hint="cs"/>
          <w:rtl/>
        </w:rPr>
        <w:t xml:space="preserve"> ובין "</w:t>
      </w:r>
      <w:r w:rsidRPr="00604EF9">
        <w:rPr>
          <w:rFonts w:hint="eastAsia"/>
          <w:rtl/>
        </w:rPr>
        <w:t>זכויות</w:t>
      </w:r>
      <w:r w:rsidRPr="00604EF9">
        <w:rPr>
          <w:rtl/>
        </w:rPr>
        <w:t xml:space="preserve"> </w:t>
      </w:r>
      <w:r w:rsidRPr="00604EF9">
        <w:rPr>
          <w:rFonts w:hint="eastAsia"/>
          <w:rtl/>
        </w:rPr>
        <w:t>שצריך</w:t>
      </w:r>
      <w:r w:rsidRPr="00604EF9">
        <w:rPr>
          <w:rtl/>
        </w:rPr>
        <w:t xml:space="preserve"> </w:t>
      </w:r>
      <w:r w:rsidRPr="00604EF9">
        <w:rPr>
          <w:rFonts w:hint="eastAsia"/>
          <w:rtl/>
        </w:rPr>
        <w:t>להוכיח</w:t>
      </w:r>
      <w:r w:rsidRPr="00604EF9">
        <w:rPr>
          <w:rtl/>
        </w:rPr>
        <w:t xml:space="preserve"> </w:t>
      </w:r>
      <w:r w:rsidRPr="00604EF9">
        <w:rPr>
          <w:rFonts w:hint="eastAsia"/>
          <w:rtl/>
        </w:rPr>
        <w:t>בהן</w:t>
      </w:r>
      <w:r w:rsidRPr="00604EF9">
        <w:rPr>
          <w:rtl/>
        </w:rPr>
        <w:t xml:space="preserve"> </w:t>
      </w:r>
      <w:r w:rsidRPr="00604EF9">
        <w:rPr>
          <w:rFonts w:hint="eastAsia"/>
          <w:rtl/>
        </w:rPr>
        <w:t>כוונת</w:t>
      </w:r>
      <w:r w:rsidRPr="00604EF9">
        <w:rPr>
          <w:rtl/>
        </w:rPr>
        <w:t xml:space="preserve"> </w:t>
      </w:r>
      <w:r w:rsidRPr="00604EF9">
        <w:rPr>
          <w:rFonts w:hint="eastAsia"/>
          <w:rtl/>
        </w:rPr>
        <w:t>שיתוף</w:t>
      </w:r>
      <w:r w:rsidRPr="00604EF9">
        <w:rPr>
          <w:rtl/>
        </w:rPr>
        <w:t xml:space="preserve"> </w:t>
      </w:r>
      <w:r w:rsidRPr="00604EF9">
        <w:rPr>
          <w:rFonts w:hint="eastAsia"/>
          <w:rtl/>
        </w:rPr>
        <w:t>ובסופו</w:t>
      </w:r>
      <w:r w:rsidRPr="00604EF9">
        <w:rPr>
          <w:rtl/>
        </w:rPr>
        <w:t xml:space="preserve"> </w:t>
      </w:r>
      <w:r w:rsidRPr="00604EF9">
        <w:rPr>
          <w:rFonts w:hint="eastAsia"/>
          <w:rtl/>
        </w:rPr>
        <w:t>של</w:t>
      </w:r>
      <w:r w:rsidRPr="00604EF9">
        <w:rPr>
          <w:rtl/>
        </w:rPr>
        <w:t xml:space="preserve"> </w:t>
      </w:r>
      <w:r w:rsidRPr="00604EF9">
        <w:rPr>
          <w:rFonts w:hint="eastAsia"/>
          <w:rtl/>
        </w:rPr>
        <w:t>יום</w:t>
      </w:r>
      <w:r w:rsidRPr="00604EF9">
        <w:rPr>
          <w:rtl/>
        </w:rPr>
        <w:t xml:space="preserve"> </w:t>
      </w:r>
      <w:r w:rsidRPr="00604EF9">
        <w:rPr>
          <w:rFonts w:hint="eastAsia"/>
          <w:rtl/>
        </w:rPr>
        <w:t>מתברר</w:t>
      </w:r>
      <w:r w:rsidRPr="00604EF9">
        <w:rPr>
          <w:rtl/>
        </w:rPr>
        <w:t xml:space="preserve"> </w:t>
      </w:r>
      <w:r w:rsidRPr="00604EF9">
        <w:rPr>
          <w:rFonts w:hint="eastAsia"/>
          <w:rtl/>
        </w:rPr>
        <w:t>כי</w:t>
      </w:r>
      <w:r w:rsidRPr="00604EF9">
        <w:rPr>
          <w:rtl/>
        </w:rPr>
        <w:t xml:space="preserve"> </w:t>
      </w:r>
      <w:r w:rsidRPr="00604EF9">
        <w:rPr>
          <w:rFonts w:hint="eastAsia"/>
          <w:rtl/>
        </w:rPr>
        <w:t>כל</w:t>
      </w:r>
      <w:r w:rsidRPr="00604EF9">
        <w:rPr>
          <w:rtl/>
        </w:rPr>
        <w:t xml:space="preserve"> </w:t>
      </w:r>
      <w:r w:rsidRPr="00604EF9">
        <w:rPr>
          <w:rFonts w:hint="eastAsia"/>
          <w:rtl/>
        </w:rPr>
        <w:t>כוונה</w:t>
      </w:r>
      <w:r w:rsidRPr="00604EF9">
        <w:rPr>
          <w:rtl/>
        </w:rPr>
        <w:t xml:space="preserve"> </w:t>
      </w:r>
      <w:r w:rsidRPr="00604EF9">
        <w:rPr>
          <w:rFonts w:hint="eastAsia"/>
          <w:rtl/>
        </w:rPr>
        <w:t>זו</w:t>
      </w:r>
      <w:r w:rsidRPr="00604EF9">
        <w:rPr>
          <w:rtl/>
        </w:rPr>
        <w:t xml:space="preserve"> </w:t>
      </w:r>
      <w:r w:rsidRPr="00604EF9">
        <w:rPr>
          <w:rFonts w:hint="eastAsia"/>
          <w:rtl/>
        </w:rPr>
        <w:t>יסודה</w:t>
      </w:r>
      <w:r w:rsidRPr="00604EF9">
        <w:rPr>
          <w:rtl/>
        </w:rPr>
        <w:t xml:space="preserve"> </w:t>
      </w:r>
      <w:r w:rsidRPr="00604EF9">
        <w:rPr>
          <w:rFonts w:hint="eastAsia"/>
          <w:rtl/>
        </w:rPr>
        <w:t>בטעות</w:t>
      </w:r>
      <w:r w:rsidRPr="00604EF9">
        <w:rPr>
          <w:rFonts w:hint="cs"/>
          <w:rtl/>
        </w:rPr>
        <w:t xml:space="preserve">". הדיין </w:t>
      </w:r>
      <w:r w:rsidRPr="00604EF9">
        <w:rPr>
          <w:rFonts w:ascii="Century" w:hAnsi="Century" w:cs="Miriam" w:hint="cs"/>
          <w:b/>
          <w:szCs w:val="24"/>
          <w:rtl/>
        </w:rPr>
        <w:t>עמוס</w:t>
      </w:r>
      <w:r w:rsidRPr="00604EF9">
        <w:rPr>
          <w:rFonts w:hint="cs"/>
          <w:rtl/>
        </w:rPr>
        <w:t xml:space="preserve"> הוסיף בהקשר זה כי "</w:t>
      </w:r>
      <w:r w:rsidRPr="00604EF9">
        <w:rPr>
          <w:rFonts w:hint="eastAsia"/>
          <w:rtl/>
        </w:rPr>
        <w:t>אין</w:t>
      </w:r>
      <w:r w:rsidRPr="00604EF9">
        <w:rPr>
          <w:rtl/>
        </w:rPr>
        <w:t xml:space="preserve"> </w:t>
      </w:r>
      <w:r w:rsidRPr="00604EF9">
        <w:rPr>
          <w:rFonts w:hint="eastAsia"/>
          <w:rtl/>
        </w:rPr>
        <w:t>אנו</w:t>
      </w:r>
      <w:r w:rsidRPr="00604EF9">
        <w:rPr>
          <w:rtl/>
        </w:rPr>
        <w:t xml:space="preserve"> '</w:t>
      </w:r>
      <w:r w:rsidRPr="00604EF9">
        <w:rPr>
          <w:rFonts w:hint="eastAsia"/>
          <w:rtl/>
        </w:rPr>
        <w:t>מענישים</w:t>
      </w:r>
      <w:r w:rsidRPr="00604EF9">
        <w:rPr>
          <w:rtl/>
        </w:rPr>
        <w:t xml:space="preserve">' </w:t>
      </w:r>
      <w:r w:rsidRPr="00604EF9">
        <w:rPr>
          <w:rFonts w:hint="eastAsia"/>
          <w:rtl/>
        </w:rPr>
        <w:t>אותו</w:t>
      </w:r>
      <w:r w:rsidRPr="00604EF9">
        <w:rPr>
          <w:rtl/>
        </w:rPr>
        <w:t xml:space="preserve">, </w:t>
      </w:r>
      <w:r w:rsidRPr="00604EF9">
        <w:rPr>
          <w:rFonts w:hint="eastAsia"/>
          <w:rtl/>
        </w:rPr>
        <w:t>אלא</w:t>
      </w:r>
      <w:r w:rsidRPr="00604EF9">
        <w:rPr>
          <w:rtl/>
        </w:rPr>
        <w:t xml:space="preserve"> </w:t>
      </w:r>
      <w:r w:rsidRPr="00604EF9">
        <w:rPr>
          <w:rFonts w:hint="eastAsia"/>
          <w:rtl/>
        </w:rPr>
        <w:t>אנו</w:t>
      </w:r>
      <w:r w:rsidRPr="00604EF9">
        <w:rPr>
          <w:rtl/>
        </w:rPr>
        <w:t xml:space="preserve"> </w:t>
      </w:r>
      <w:r w:rsidRPr="00604EF9">
        <w:rPr>
          <w:rFonts w:hint="eastAsia"/>
          <w:rtl/>
        </w:rPr>
        <w:t>קובעים</w:t>
      </w:r>
      <w:r w:rsidRPr="00604EF9">
        <w:rPr>
          <w:rtl/>
        </w:rPr>
        <w:t xml:space="preserve"> </w:t>
      </w:r>
      <w:r w:rsidRPr="00604EF9">
        <w:rPr>
          <w:rFonts w:hint="eastAsia"/>
          <w:rtl/>
        </w:rPr>
        <w:t>כי</w:t>
      </w:r>
      <w:r w:rsidRPr="00604EF9">
        <w:rPr>
          <w:rtl/>
        </w:rPr>
        <w:t xml:space="preserve"> </w:t>
      </w:r>
      <w:r w:rsidRPr="00604EF9">
        <w:rPr>
          <w:rFonts w:hint="eastAsia"/>
          <w:rtl/>
        </w:rPr>
        <w:t>עדיין</w:t>
      </w:r>
      <w:r w:rsidRPr="00604EF9">
        <w:rPr>
          <w:rtl/>
        </w:rPr>
        <w:t xml:space="preserve"> </w:t>
      </w:r>
      <w:r w:rsidRPr="00604EF9">
        <w:rPr>
          <w:rFonts w:hint="eastAsia"/>
          <w:rtl/>
        </w:rPr>
        <w:t>לא</w:t>
      </w:r>
      <w:r w:rsidRPr="00604EF9">
        <w:rPr>
          <w:rtl/>
        </w:rPr>
        <w:t xml:space="preserve"> </w:t>
      </w:r>
      <w:r w:rsidRPr="00604EF9">
        <w:rPr>
          <w:rFonts w:hint="eastAsia"/>
          <w:rtl/>
        </w:rPr>
        <w:t>זכה</w:t>
      </w:r>
      <w:r w:rsidRPr="00604EF9">
        <w:rPr>
          <w:rtl/>
        </w:rPr>
        <w:t xml:space="preserve"> </w:t>
      </w:r>
      <w:r w:rsidRPr="00604EF9">
        <w:rPr>
          <w:rFonts w:hint="eastAsia"/>
          <w:rtl/>
        </w:rPr>
        <w:t>כי</w:t>
      </w:r>
      <w:r w:rsidRPr="00604EF9">
        <w:rPr>
          <w:rtl/>
        </w:rPr>
        <w:t xml:space="preserve"> </w:t>
      </w:r>
      <w:r w:rsidRPr="00604EF9">
        <w:rPr>
          <w:rFonts w:hint="eastAsia"/>
          <w:rtl/>
        </w:rPr>
        <w:t>כוונת</w:t>
      </w:r>
      <w:r w:rsidRPr="00604EF9">
        <w:rPr>
          <w:rtl/>
        </w:rPr>
        <w:t xml:space="preserve"> </w:t>
      </w:r>
      <w:r w:rsidRPr="00604EF9">
        <w:rPr>
          <w:rFonts w:hint="eastAsia"/>
          <w:rtl/>
        </w:rPr>
        <w:t>השיתוף</w:t>
      </w:r>
      <w:r w:rsidRPr="00604EF9">
        <w:rPr>
          <w:rtl/>
        </w:rPr>
        <w:t xml:space="preserve"> </w:t>
      </w:r>
      <w:r>
        <w:rPr>
          <w:rFonts w:hint="cs"/>
          <w:rtl/>
        </w:rPr>
        <w:t>[...]</w:t>
      </w:r>
      <w:r w:rsidRPr="00604EF9">
        <w:rPr>
          <w:rtl/>
        </w:rPr>
        <w:t xml:space="preserve"> </w:t>
      </w:r>
      <w:r w:rsidRPr="00604EF9">
        <w:rPr>
          <w:rFonts w:hint="eastAsia"/>
          <w:rtl/>
        </w:rPr>
        <w:t>בטעות</w:t>
      </w:r>
      <w:r w:rsidRPr="00604EF9">
        <w:rPr>
          <w:rtl/>
        </w:rPr>
        <w:t xml:space="preserve"> </w:t>
      </w:r>
      <w:r w:rsidRPr="00604EF9">
        <w:rPr>
          <w:rFonts w:hint="eastAsia"/>
          <w:rtl/>
        </w:rPr>
        <w:t>יסודה</w:t>
      </w:r>
      <w:r w:rsidRPr="00604EF9">
        <w:rPr>
          <w:rFonts w:hint="cs"/>
          <w:rtl/>
        </w:rPr>
        <w:t>"</w:t>
      </w:r>
      <w:r>
        <w:rPr>
          <w:rFonts w:hint="cs"/>
          <w:rtl/>
        </w:rPr>
        <w:t>.</w:t>
      </w:r>
    </w:p>
    <w:p w:rsidR="00FA3A86" w:rsidRPr="00604EF9" w:rsidRDefault="00FA3A86" w:rsidP="00FA3A86">
      <w:pPr>
        <w:pStyle w:val="Ruller41"/>
        <w:rPr>
          <w:rtl/>
        </w:rPr>
      </w:pPr>
    </w:p>
    <w:p w:rsidR="00FA3A86" w:rsidRPr="00604EF9" w:rsidRDefault="00FA3A86" w:rsidP="00FA3A86">
      <w:pPr>
        <w:pStyle w:val="Ruller4"/>
        <w:rPr>
          <w:rtl/>
        </w:rPr>
      </w:pPr>
      <w:r w:rsidRPr="00604EF9">
        <w:rPr>
          <w:rFonts w:hint="cs"/>
          <w:rtl/>
        </w:rPr>
        <w:t xml:space="preserve">בהמשך, תחת הכותרת "ועתה לפן ההלכתי", ציין הדיין </w:t>
      </w:r>
      <w:r w:rsidRPr="00604EF9">
        <w:rPr>
          <w:rFonts w:ascii="Century" w:hAnsi="Century" w:cs="Miriam" w:hint="cs"/>
          <w:b/>
          <w:szCs w:val="24"/>
          <w:rtl/>
        </w:rPr>
        <w:t>עמוס</w:t>
      </w:r>
      <w:r w:rsidRPr="00604EF9">
        <w:rPr>
          <w:rFonts w:hint="cs"/>
          <w:rtl/>
        </w:rPr>
        <w:t xml:space="preserve"> כי "הפסיקה בעניין כוונת שיתוף אינה מעוגנת בחוק יחסי ממון אלא הלכה שהתחדשה בפסיקה האזרחית" וכי "כל עוד לא נחקק חוק ודאי שאין לומר עליה </w:t>
      </w:r>
      <w:r>
        <w:rPr>
          <w:rFonts w:hint="cs"/>
          <w:rtl/>
        </w:rPr>
        <w:t>'</w:t>
      </w:r>
      <w:r w:rsidRPr="00604EF9">
        <w:rPr>
          <w:rFonts w:hint="cs"/>
          <w:rtl/>
        </w:rPr>
        <w:t>מנהג מדינה</w:t>
      </w:r>
      <w:r>
        <w:rPr>
          <w:rFonts w:hint="cs"/>
          <w:rtl/>
        </w:rPr>
        <w:t>'</w:t>
      </w:r>
      <w:r w:rsidRPr="00604EF9">
        <w:rPr>
          <w:rFonts w:hint="cs"/>
          <w:rtl/>
        </w:rPr>
        <w:t xml:space="preserve">". </w:t>
      </w:r>
      <w:r w:rsidRPr="00604EF9">
        <w:rPr>
          <w:rtl/>
        </w:rPr>
        <w:t xml:space="preserve">עוד צוין כי כוונת השיתוף </w:t>
      </w:r>
      <w:r w:rsidRPr="00604EF9">
        <w:rPr>
          <w:rFonts w:hint="cs"/>
          <w:rtl/>
        </w:rPr>
        <w:t xml:space="preserve">בנכס ספציפי </w:t>
      </w:r>
      <w:r w:rsidRPr="00604EF9">
        <w:rPr>
          <w:rtl/>
        </w:rPr>
        <w:t xml:space="preserve">יכולה </w:t>
      </w:r>
      <w:r>
        <w:rPr>
          <w:rFonts w:hint="cs"/>
          <w:rtl/>
        </w:rPr>
        <w:t xml:space="preserve">הייתה </w:t>
      </w:r>
      <w:r w:rsidRPr="00604EF9">
        <w:rPr>
          <w:rtl/>
        </w:rPr>
        <w:t xml:space="preserve">לקבל תוקף כ"מנהג ידוע" </w:t>
      </w:r>
      <w:r>
        <w:rPr>
          <w:rFonts w:hint="cs"/>
          <w:rtl/>
        </w:rPr>
        <w:t xml:space="preserve">לו </w:t>
      </w:r>
      <w:proofErr w:type="spellStart"/>
      <w:r>
        <w:rPr>
          <w:rFonts w:hint="cs"/>
          <w:rtl/>
        </w:rPr>
        <w:t>היתה</w:t>
      </w:r>
      <w:proofErr w:type="spellEnd"/>
      <w:r>
        <w:rPr>
          <w:rFonts w:hint="cs"/>
          <w:rtl/>
        </w:rPr>
        <w:t xml:space="preserve"> ידועה לכל, שאז היה המשיב כפוף לה אף ללא הסכמתו. תנאי זה לא התקיים לדעתו של הדיין </w:t>
      </w:r>
      <w:r w:rsidRPr="003955E5">
        <w:rPr>
          <w:rFonts w:ascii="Century" w:hAnsi="Century" w:cs="Miriam" w:hint="eastAsia"/>
          <w:b/>
          <w:szCs w:val="24"/>
          <w:rtl/>
        </w:rPr>
        <w:t>עמוס</w:t>
      </w:r>
      <w:r w:rsidRPr="003955E5">
        <w:rPr>
          <w:rtl/>
        </w:rPr>
        <w:t>,</w:t>
      </w:r>
      <w:r>
        <w:rPr>
          <w:rFonts w:hint="cs"/>
          <w:rtl/>
        </w:rPr>
        <w:t xml:space="preserve"> ואף לא התקיימה </w:t>
      </w:r>
      <w:r w:rsidRPr="00604EF9">
        <w:rPr>
          <w:rFonts w:hint="cs"/>
          <w:rtl/>
        </w:rPr>
        <w:t xml:space="preserve">ידיעה של המשיב על הכלל </w:t>
      </w:r>
      <w:r>
        <w:rPr>
          <w:rFonts w:hint="cs"/>
          <w:rtl/>
        </w:rPr>
        <w:t>א</w:t>
      </w:r>
      <w:r w:rsidRPr="00604EF9">
        <w:rPr>
          <w:rFonts w:hint="cs"/>
          <w:rtl/>
        </w:rPr>
        <w:t>ו</w:t>
      </w:r>
      <w:r>
        <w:rPr>
          <w:rFonts w:hint="cs"/>
          <w:rtl/>
        </w:rPr>
        <w:t xml:space="preserve"> </w:t>
      </w:r>
      <w:r w:rsidRPr="00604EF9">
        <w:rPr>
          <w:rFonts w:hint="cs"/>
          <w:rtl/>
        </w:rPr>
        <w:t xml:space="preserve">כוונה </w:t>
      </w:r>
      <w:proofErr w:type="spellStart"/>
      <w:r w:rsidRPr="00604EF9">
        <w:rPr>
          <w:rFonts w:hint="cs"/>
          <w:rtl/>
        </w:rPr>
        <w:t>מצידו</w:t>
      </w:r>
      <w:proofErr w:type="spellEnd"/>
      <w:r w:rsidRPr="00604EF9">
        <w:rPr>
          <w:rFonts w:hint="cs"/>
          <w:rtl/>
        </w:rPr>
        <w:t xml:space="preserve"> לשתף את הנכס עם </w:t>
      </w:r>
      <w:r w:rsidRPr="00604EF9">
        <w:rPr>
          <w:rFonts w:hint="cs"/>
          <w:rtl/>
        </w:rPr>
        <w:lastRenderedPageBreak/>
        <w:t xml:space="preserve">המבקשת, </w:t>
      </w:r>
      <w:r w:rsidRPr="00604EF9">
        <w:rPr>
          <w:rtl/>
        </w:rPr>
        <w:t>ו</w:t>
      </w:r>
      <w:r>
        <w:rPr>
          <w:rFonts w:hint="cs"/>
          <w:rtl/>
        </w:rPr>
        <w:t xml:space="preserve">לגישתו </w:t>
      </w:r>
      <w:r w:rsidRPr="00604EF9">
        <w:rPr>
          <w:rtl/>
        </w:rPr>
        <w:t>"כאשר יש ספק יש להעמיד את הנכס בחזקת מי שמחזיק בו".</w:t>
      </w:r>
      <w:r w:rsidRPr="00604EF9">
        <w:rPr>
          <w:rFonts w:hint="cs"/>
          <w:rtl/>
        </w:rPr>
        <w:t xml:space="preserve"> בהקשר זה הוסיף הדיין </w:t>
      </w:r>
      <w:r w:rsidRPr="00604EF9">
        <w:rPr>
          <w:rFonts w:ascii="Century" w:hAnsi="Century" w:cs="Miriam" w:hint="cs"/>
          <w:b/>
          <w:spacing w:val="0"/>
          <w:sz w:val="22"/>
          <w:szCs w:val="24"/>
          <w:rtl/>
        </w:rPr>
        <w:t>עמוס</w:t>
      </w:r>
      <w:r w:rsidRPr="00604EF9">
        <w:rPr>
          <w:rFonts w:hint="cs"/>
          <w:rtl/>
        </w:rPr>
        <w:t xml:space="preserve"> וציין: </w:t>
      </w:r>
    </w:p>
    <w:p w:rsidR="00FA3A86" w:rsidRPr="00604EF9" w:rsidRDefault="00FA3A86" w:rsidP="00FA3A86">
      <w:pPr>
        <w:pStyle w:val="Ruller41"/>
        <w:rPr>
          <w:rtl/>
        </w:rPr>
      </w:pPr>
    </w:p>
    <w:p w:rsidR="00FA3A86" w:rsidRDefault="00FA3A86" w:rsidP="00FA3A86">
      <w:pPr>
        <w:pStyle w:val="Ruller5"/>
        <w:rPr>
          <w:rtl/>
        </w:rPr>
      </w:pPr>
      <w:r w:rsidRPr="00604EF9">
        <w:rPr>
          <w:rFonts w:hint="cs"/>
          <w:rtl/>
        </w:rPr>
        <w:t>"</w:t>
      </w:r>
      <w:r>
        <w:rPr>
          <w:rFonts w:hint="cs"/>
          <w:rtl/>
        </w:rPr>
        <w:t xml:space="preserve">אך </w:t>
      </w:r>
      <w:r w:rsidRPr="00604EF9">
        <w:rPr>
          <w:rFonts w:hint="cs"/>
          <w:rtl/>
        </w:rPr>
        <w:t>אף אם נתעקש ונאמר כי כך נוהגים הרי הפרשנות לקבוע כי אכן עובדות אלו או אחרות תואמות את אמות המידה שעל פיה</w:t>
      </w:r>
      <w:r>
        <w:rPr>
          <w:rFonts w:hint="cs"/>
          <w:rtl/>
        </w:rPr>
        <w:t>ן</w:t>
      </w:r>
      <w:r w:rsidRPr="00604EF9">
        <w:rPr>
          <w:rFonts w:hint="cs"/>
          <w:rtl/>
        </w:rPr>
        <w:t xml:space="preserve"> נהגו לקבוע כי אכן הייתה כוונת שיתוף בנכס חיצוני הרשום על שם צד אחד נתונה היא בידי ב</w:t>
      </w:r>
      <w:r>
        <w:rPr>
          <w:rFonts w:hint="cs"/>
          <w:rtl/>
        </w:rPr>
        <w:t>ת הדין</w:t>
      </w:r>
      <w:r w:rsidRPr="00604EF9">
        <w:rPr>
          <w:rFonts w:hint="cs"/>
          <w:rtl/>
        </w:rPr>
        <w:t>.</w:t>
      </w:r>
    </w:p>
    <w:p w:rsidR="00FA3A86" w:rsidRDefault="00FA3A86" w:rsidP="00FA3A86">
      <w:pPr>
        <w:pStyle w:val="Ruller5"/>
        <w:rPr>
          <w:rtl/>
        </w:rPr>
      </w:pPr>
      <w:r w:rsidRPr="00604EF9">
        <w:rPr>
          <w:rFonts w:hint="cs"/>
          <w:rtl/>
        </w:rPr>
        <w:t>ולכן</w:t>
      </w:r>
      <w:r>
        <w:rPr>
          <w:rFonts w:hint="cs"/>
          <w:rtl/>
        </w:rPr>
        <w:t>,</w:t>
      </w:r>
      <w:r w:rsidRPr="00604EF9">
        <w:rPr>
          <w:rFonts w:hint="cs"/>
          <w:rtl/>
        </w:rPr>
        <w:t xml:space="preserve"> משניתנה ל</w:t>
      </w:r>
      <w:r>
        <w:rPr>
          <w:rFonts w:hint="cs"/>
          <w:rtl/>
        </w:rPr>
        <w:t xml:space="preserve">בית הדין </w:t>
      </w:r>
      <w:r w:rsidRPr="00604EF9">
        <w:rPr>
          <w:rFonts w:hint="cs"/>
          <w:rtl/>
        </w:rPr>
        <w:t>והושתה עליו החובה לפסוק על פי החוק (</w:t>
      </w:r>
      <w:r>
        <w:rPr>
          <w:rFonts w:hint="cs"/>
          <w:rtl/>
        </w:rPr>
        <w:t xml:space="preserve">חוק </w:t>
      </w:r>
      <w:r w:rsidRPr="00604EF9">
        <w:rPr>
          <w:rFonts w:hint="cs"/>
          <w:rtl/>
        </w:rPr>
        <w:t xml:space="preserve">יחסי ממון) או על פי תקדימי פסיקה </w:t>
      </w:r>
      <w:r>
        <w:rPr>
          <w:rtl/>
        </w:rPr>
        <w:t>–</w:t>
      </w:r>
      <w:r>
        <w:rPr>
          <w:rFonts w:hint="cs"/>
          <w:rtl/>
        </w:rPr>
        <w:t xml:space="preserve"> וב</w:t>
      </w:r>
      <w:r w:rsidRPr="00604EF9">
        <w:rPr>
          <w:rFonts w:hint="cs"/>
          <w:rtl/>
        </w:rPr>
        <w:t xml:space="preserve">נידון </w:t>
      </w:r>
      <w:proofErr w:type="spellStart"/>
      <w:r w:rsidRPr="00604EF9">
        <w:rPr>
          <w:rFonts w:hint="cs"/>
          <w:rtl/>
        </w:rPr>
        <w:t>דידן</w:t>
      </w:r>
      <w:proofErr w:type="spellEnd"/>
      <w:r w:rsidRPr="00604EF9">
        <w:rPr>
          <w:rFonts w:hint="cs"/>
          <w:rtl/>
        </w:rPr>
        <w:t xml:space="preserve"> פסיקה על כוונת שיתוף בנכס חיצוני הרשום על צד אחד</w:t>
      </w:r>
      <w:r>
        <w:rPr>
          <w:rFonts w:hint="cs"/>
          <w:rtl/>
        </w:rPr>
        <w:t xml:space="preserve"> </w:t>
      </w:r>
      <w:r>
        <w:rPr>
          <w:rtl/>
        </w:rPr>
        <w:t>–</w:t>
      </w:r>
      <w:r w:rsidRPr="00604EF9">
        <w:rPr>
          <w:rFonts w:hint="cs"/>
          <w:rtl/>
        </w:rPr>
        <w:t xml:space="preserve"> הרי שפרשנותו שלו </w:t>
      </w:r>
      <w:r w:rsidRPr="00604EF9">
        <w:rPr>
          <w:rFonts w:ascii="Times New Roman" w:hAnsi="Times New Roman" w:hint="cs"/>
          <w:rtl/>
        </w:rPr>
        <w:t>שוות</w:t>
      </w:r>
      <w:r w:rsidRPr="00604EF9">
        <w:rPr>
          <w:rFonts w:hint="cs"/>
          <w:rtl/>
        </w:rPr>
        <w:t xml:space="preserve"> ערך לפרשנות כל ערכאה משפטית אחרת הכפופה לחוק זה.</w:t>
      </w:r>
    </w:p>
    <w:p w:rsidR="00FA3A86" w:rsidRPr="00604EF9" w:rsidRDefault="00FA3A86" w:rsidP="00FA3A86">
      <w:pPr>
        <w:pStyle w:val="Ruller5"/>
        <w:rPr>
          <w:rtl/>
        </w:rPr>
      </w:pPr>
      <w:r w:rsidRPr="00604EF9">
        <w:rPr>
          <w:rFonts w:hint="cs"/>
          <w:rtl/>
        </w:rPr>
        <w:t xml:space="preserve">ומאחר </w:t>
      </w:r>
      <w:r>
        <w:rPr>
          <w:rFonts w:hint="cs"/>
          <w:rtl/>
        </w:rPr>
        <w:t xml:space="preserve">שבית הדין </w:t>
      </w:r>
      <w:r w:rsidRPr="00604EF9">
        <w:rPr>
          <w:rFonts w:hint="cs"/>
          <w:rtl/>
        </w:rPr>
        <w:t>פוסק על פי המשפט העברי הרי שבהכרח פרשנותו תהיה כפופה לדין העברי".</w:t>
      </w:r>
    </w:p>
    <w:p w:rsidR="00FA3A86" w:rsidRPr="00604EF9" w:rsidRDefault="00FA3A86" w:rsidP="00FA3A86">
      <w:pPr>
        <w:pStyle w:val="Ruller41"/>
        <w:rPr>
          <w:rtl/>
        </w:rPr>
      </w:pPr>
    </w:p>
    <w:p w:rsidR="00FA3A86" w:rsidRPr="00604EF9" w:rsidRDefault="00FA3A86" w:rsidP="00FA3A86">
      <w:pPr>
        <w:pStyle w:val="Ruller4"/>
        <w:numPr>
          <w:ilvl w:val="0"/>
          <w:numId w:val="0"/>
        </w:numPr>
        <w:rPr>
          <w:rtl/>
        </w:rPr>
      </w:pPr>
      <w:r>
        <w:rPr>
          <w:rtl/>
        </w:rPr>
        <w:tab/>
      </w:r>
      <w:r w:rsidRPr="00604EF9">
        <w:rPr>
          <w:rtl/>
        </w:rPr>
        <w:t xml:space="preserve">עם זאת, </w:t>
      </w:r>
      <w:r w:rsidRPr="00604EF9">
        <w:rPr>
          <w:rFonts w:hint="cs"/>
          <w:rtl/>
        </w:rPr>
        <w:t xml:space="preserve">בסיום חוות </w:t>
      </w:r>
      <w:r w:rsidRPr="00CE5E2F">
        <w:rPr>
          <w:rFonts w:hint="cs"/>
          <w:rtl/>
        </w:rPr>
        <w:t xml:space="preserve">דעתו הבחין </w:t>
      </w:r>
      <w:r w:rsidRPr="00CE5E2F">
        <w:rPr>
          <w:rtl/>
        </w:rPr>
        <w:t xml:space="preserve">הדיין </w:t>
      </w:r>
      <w:r w:rsidRPr="00CE5E2F">
        <w:rPr>
          <w:rFonts w:ascii="Century" w:hAnsi="Century" w:cs="Miriam"/>
          <w:b/>
          <w:szCs w:val="24"/>
          <w:rtl/>
        </w:rPr>
        <w:t>עמוס</w:t>
      </w:r>
      <w:r w:rsidRPr="00CE5E2F">
        <w:rPr>
          <w:rtl/>
        </w:rPr>
        <w:t xml:space="preserve"> בין ה</w:t>
      </w:r>
      <w:r>
        <w:rPr>
          <w:rFonts w:hint="cs"/>
          <w:rtl/>
        </w:rPr>
        <w:t>מקרקעין</w:t>
      </w:r>
      <w:r w:rsidRPr="00CE5E2F">
        <w:rPr>
          <w:rtl/>
        </w:rPr>
        <w:t xml:space="preserve"> </w:t>
      </w:r>
      <w:r w:rsidRPr="00CE5E2F">
        <w:rPr>
          <w:rFonts w:hint="cs"/>
          <w:rtl/>
        </w:rPr>
        <w:t>ו</w:t>
      </w:r>
      <w:r w:rsidRPr="00CE5E2F">
        <w:rPr>
          <w:rtl/>
        </w:rPr>
        <w:t>בין המבנה שנבנה על</w:t>
      </w:r>
      <w:r w:rsidRPr="00CE5E2F">
        <w:rPr>
          <w:rFonts w:hint="cs"/>
          <w:rtl/>
        </w:rPr>
        <w:t>יהם</w:t>
      </w:r>
      <w:r w:rsidRPr="00CE5E2F">
        <w:rPr>
          <w:rtl/>
        </w:rPr>
        <w:t>.</w:t>
      </w:r>
      <w:r>
        <w:rPr>
          <w:rFonts w:hint="cs"/>
          <w:rtl/>
        </w:rPr>
        <w:t xml:space="preserve"> בעוד שלגבי הקרקע קבע הדיין </w:t>
      </w:r>
      <w:r w:rsidRPr="00663EE1">
        <w:rPr>
          <w:rFonts w:ascii="Century" w:hAnsi="Century" w:cs="Miriam" w:hint="cs"/>
          <w:b/>
          <w:spacing w:val="0"/>
          <w:sz w:val="22"/>
          <w:szCs w:val="24"/>
          <w:rtl/>
        </w:rPr>
        <w:t>עמוס</w:t>
      </w:r>
      <w:r>
        <w:rPr>
          <w:rFonts w:hint="cs"/>
          <w:rtl/>
        </w:rPr>
        <w:t xml:space="preserve"> כי לדידו אין להכיר בקיומו של שיתוף, לגבי</w:t>
      </w:r>
      <w:r w:rsidRPr="00CE5E2F">
        <w:rPr>
          <w:rtl/>
        </w:rPr>
        <w:t xml:space="preserve"> המבנה צ</w:t>
      </w:r>
      <w:r w:rsidRPr="00CE5E2F">
        <w:rPr>
          <w:rFonts w:hint="cs"/>
          <w:rtl/>
        </w:rPr>
        <w:t>י</w:t>
      </w:r>
      <w:r w:rsidRPr="00CE5E2F">
        <w:rPr>
          <w:rtl/>
        </w:rPr>
        <w:t>ין</w:t>
      </w:r>
      <w:r w:rsidRPr="00CE5E2F">
        <w:rPr>
          <w:rFonts w:hint="cs"/>
          <w:rtl/>
        </w:rPr>
        <w:t xml:space="preserve"> הדיין</w:t>
      </w:r>
      <w:r w:rsidRPr="00604EF9">
        <w:rPr>
          <w:rFonts w:hint="cs"/>
          <w:rtl/>
        </w:rPr>
        <w:t xml:space="preserve"> </w:t>
      </w:r>
      <w:r w:rsidRPr="00604EF9">
        <w:rPr>
          <w:rFonts w:ascii="Century" w:hAnsi="Century" w:cs="Miriam" w:hint="cs"/>
          <w:b/>
          <w:sz w:val="22"/>
          <w:szCs w:val="24"/>
          <w:rtl/>
        </w:rPr>
        <w:t>עמוס</w:t>
      </w:r>
      <w:r w:rsidRPr="00604EF9">
        <w:rPr>
          <w:rtl/>
        </w:rPr>
        <w:t xml:space="preserve"> כי "אפשר שיש </w:t>
      </w:r>
      <w:r>
        <w:rPr>
          <w:rFonts w:hint="cs"/>
          <w:rtl/>
        </w:rPr>
        <w:t>'</w:t>
      </w:r>
      <w:r w:rsidRPr="00604EF9">
        <w:rPr>
          <w:rtl/>
        </w:rPr>
        <w:t>שותפות מוחלשת</w:t>
      </w:r>
      <w:r>
        <w:rPr>
          <w:rFonts w:hint="cs"/>
          <w:rtl/>
        </w:rPr>
        <w:t>'</w:t>
      </w:r>
      <w:r w:rsidRPr="00604EF9">
        <w:rPr>
          <w:rtl/>
        </w:rPr>
        <w:t>" ולכן ה</w:t>
      </w:r>
      <w:r w:rsidRPr="00604EF9">
        <w:rPr>
          <w:rFonts w:hint="cs"/>
          <w:rtl/>
        </w:rPr>
        <w:t>מבקשת</w:t>
      </w:r>
      <w:r>
        <w:rPr>
          <w:rtl/>
        </w:rPr>
        <w:t xml:space="preserve"> זכאית ל-20% משוויו</w:t>
      </w:r>
      <w:r w:rsidRPr="00604EF9">
        <w:rPr>
          <w:rtl/>
        </w:rPr>
        <w:t xml:space="preserve"> "שהרי מדובר בדירה שנבנתה במהלך חיי הנישואים ותוך שיתוף של האישה במהלך הבנייה כאשר ייתכן שהיא אף השקיעה מבחינה כספית"</w:t>
      </w:r>
      <w:r>
        <w:rPr>
          <w:rFonts w:hint="cs"/>
          <w:rtl/>
        </w:rPr>
        <w:t xml:space="preserve">. לפיכך, כך הדיין </w:t>
      </w:r>
      <w:r w:rsidRPr="00C57004">
        <w:rPr>
          <w:rFonts w:ascii="Century" w:hAnsi="Century" w:cs="Miriam" w:hint="cs"/>
          <w:b/>
          <w:sz w:val="22"/>
          <w:szCs w:val="24"/>
          <w:rtl/>
        </w:rPr>
        <w:t>עמוס</w:t>
      </w:r>
      <w:r>
        <w:rPr>
          <w:rFonts w:hint="cs"/>
          <w:rtl/>
        </w:rPr>
        <w:t>, "יש מקום להחיל בהקשר זה את חוק יחסי ממון אף שלא הוגדרה כוונת שיתוף ספציפי"</w:t>
      </w:r>
      <w:r w:rsidRPr="00604EF9">
        <w:rPr>
          <w:rtl/>
        </w:rPr>
        <w:t>.</w:t>
      </w:r>
    </w:p>
    <w:p w:rsidR="00FA3A86" w:rsidRPr="00604EF9" w:rsidRDefault="00FA3A86" w:rsidP="00FA3A86">
      <w:pPr>
        <w:pStyle w:val="Ruller41"/>
        <w:rPr>
          <w:rtl/>
        </w:rPr>
      </w:pPr>
    </w:p>
    <w:p w:rsidR="00FA3A86" w:rsidRDefault="00FA3A86" w:rsidP="00FA3A86">
      <w:pPr>
        <w:pStyle w:val="Ruller4"/>
      </w:pPr>
      <w:r w:rsidRPr="00604EF9">
        <w:rPr>
          <w:rFonts w:hint="eastAsia"/>
          <w:rtl/>
        </w:rPr>
        <w:t>הדיין</w:t>
      </w:r>
      <w:r w:rsidRPr="00604EF9">
        <w:rPr>
          <w:rtl/>
        </w:rPr>
        <w:t xml:space="preserve"> </w:t>
      </w:r>
      <w:r w:rsidRPr="00604EF9">
        <w:rPr>
          <w:rFonts w:ascii="Century" w:hAnsi="Century" w:cs="Miriam" w:hint="eastAsia"/>
          <w:b/>
          <w:spacing w:val="0"/>
          <w:sz w:val="22"/>
          <w:szCs w:val="24"/>
          <w:rtl/>
        </w:rPr>
        <w:t>נהרי</w:t>
      </w:r>
      <w:r w:rsidRPr="00604EF9">
        <w:rPr>
          <w:rtl/>
        </w:rPr>
        <w:t xml:space="preserve"> </w:t>
      </w:r>
      <w:r w:rsidRPr="00604EF9">
        <w:rPr>
          <w:rFonts w:hint="eastAsia"/>
          <w:rtl/>
        </w:rPr>
        <w:t>הצטרף</w:t>
      </w:r>
      <w:r w:rsidRPr="00604EF9">
        <w:rPr>
          <w:rtl/>
        </w:rPr>
        <w:t xml:space="preserve"> </w:t>
      </w:r>
      <w:r>
        <w:rPr>
          <w:rFonts w:hint="cs"/>
          <w:rtl/>
        </w:rPr>
        <w:t xml:space="preserve">בתחילה </w:t>
      </w:r>
      <w:r w:rsidRPr="00604EF9">
        <w:rPr>
          <w:rFonts w:hint="eastAsia"/>
          <w:rtl/>
        </w:rPr>
        <w:t>למסקנתו</w:t>
      </w:r>
      <w:r w:rsidRPr="00604EF9">
        <w:rPr>
          <w:rtl/>
        </w:rPr>
        <w:t xml:space="preserve"> </w:t>
      </w:r>
      <w:r w:rsidRPr="00604EF9">
        <w:rPr>
          <w:rFonts w:hint="eastAsia"/>
          <w:rtl/>
        </w:rPr>
        <w:t>של</w:t>
      </w:r>
      <w:r w:rsidRPr="00604EF9">
        <w:rPr>
          <w:rtl/>
        </w:rPr>
        <w:t xml:space="preserve"> </w:t>
      </w:r>
      <w:r w:rsidRPr="00604EF9">
        <w:rPr>
          <w:rFonts w:hint="eastAsia"/>
          <w:rtl/>
        </w:rPr>
        <w:t>הדיין</w:t>
      </w:r>
      <w:r w:rsidRPr="00604EF9">
        <w:rPr>
          <w:rtl/>
        </w:rPr>
        <w:t xml:space="preserve"> </w:t>
      </w:r>
      <w:r w:rsidRPr="00604EF9">
        <w:rPr>
          <w:rFonts w:ascii="Century" w:hAnsi="Century" w:cs="Miriam" w:hint="eastAsia"/>
          <w:b/>
          <w:szCs w:val="24"/>
          <w:rtl/>
        </w:rPr>
        <w:t>עמוס</w:t>
      </w:r>
      <w:r>
        <w:rPr>
          <w:rFonts w:hint="cs"/>
          <w:rtl/>
        </w:rPr>
        <w:t>,</w:t>
      </w:r>
      <w:r w:rsidRPr="00604EF9">
        <w:rPr>
          <w:rFonts w:hint="cs"/>
          <w:rtl/>
        </w:rPr>
        <w:t xml:space="preserve"> </w:t>
      </w:r>
      <w:r w:rsidRPr="00604EF9">
        <w:rPr>
          <w:rFonts w:hint="eastAsia"/>
          <w:rtl/>
        </w:rPr>
        <w:t>והוסיף</w:t>
      </w:r>
      <w:r w:rsidRPr="00604EF9">
        <w:rPr>
          <w:rtl/>
        </w:rPr>
        <w:t xml:space="preserve"> </w:t>
      </w:r>
      <w:r w:rsidRPr="00604EF9">
        <w:rPr>
          <w:rFonts w:hint="eastAsia"/>
          <w:rtl/>
        </w:rPr>
        <w:t>כי</w:t>
      </w:r>
      <w:r w:rsidRPr="00604EF9">
        <w:rPr>
          <w:rtl/>
        </w:rPr>
        <w:t xml:space="preserve"> </w:t>
      </w:r>
      <w:r w:rsidRPr="00604EF9">
        <w:rPr>
          <w:rFonts w:hint="eastAsia"/>
          <w:rtl/>
        </w:rPr>
        <w:t>לשיטתו</w:t>
      </w:r>
      <w:r w:rsidRPr="00604EF9">
        <w:rPr>
          <w:rtl/>
        </w:rPr>
        <w:t xml:space="preserve"> "</w:t>
      </w:r>
      <w:r w:rsidRPr="00604EF9">
        <w:rPr>
          <w:rFonts w:hint="eastAsia"/>
          <w:rtl/>
        </w:rPr>
        <w:t>על</w:t>
      </w:r>
      <w:r w:rsidRPr="00604EF9">
        <w:rPr>
          <w:rtl/>
        </w:rPr>
        <w:t xml:space="preserve"> </w:t>
      </w:r>
      <w:r w:rsidRPr="00604EF9">
        <w:rPr>
          <w:rFonts w:hint="eastAsia"/>
          <w:rtl/>
        </w:rPr>
        <w:t>בית</w:t>
      </w:r>
      <w:r w:rsidRPr="00604EF9">
        <w:rPr>
          <w:rtl/>
        </w:rPr>
        <w:t xml:space="preserve"> </w:t>
      </w:r>
      <w:r w:rsidRPr="00604EF9">
        <w:rPr>
          <w:rFonts w:hint="eastAsia"/>
          <w:rtl/>
        </w:rPr>
        <w:t>הדין</w:t>
      </w:r>
      <w:r w:rsidRPr="00604EF9">
        <w:rPr>
          <w:rtl/>
        </w:rPr>
        <w:t xml:space="preserve"> </w:t>
      </w:r>
      <w:r w:rsidRPr="00604EF9">
        <w:rPr>
          <w:rFonts w:hint="eastAsia"/>
          <w:rtl/>
        </w:rPr>
        <w:t>לנהוג</w:t>
      </w:r>
      <w:r w:rsidRPr="00604EF9">
        <w:rPr>
          <w:rtl/>
        </w:rPr>
        <w:t xml:space="preserve"> </w:t>
      </w:r>
      <w:r w:rsidRPr="00604EF9">
        <w:rPr>
          <w:rFonts w:hint="eastAsia"/>
          <w:rtl/>
        </w:rPr>
        <w:t>באמות</w:t>
      </w:r>
      <w:r w:rsidRPr="00604EF9">
        <w:rPr>
          <w:rtl/>
        </w:rPr>
        <w:t xml:space="preserve"> </w:t>
      </w:r>
      <w:r w:rsidRPr="00604EF9">
        <w:rPr>
          <w:rFonts w:hint="eastAsia"/>
          <w:rtl/>
        </w:rPr>
        <w:t>מידה</w:t>
      </w:r>
      <w:r w:rsidRPr="00604EF9">
        <w:rPr>
          <w:rtl/>
        </w:rPr>
        <w:t xml:space="preserve"> </w:t>
      </w:r>
      <w:r w:rsidRPr="00604EF9">
        <w:rPr>
          <w:rFonts w:hint="eastAsia"/>
          <w:rtl/>
        </w:rPr>
        <w:t>מחמירות</w:t>
      </w:r>
      <w:r w:rsidRPr="00604EF9">
        <w:rPr>
          <w:rtl/>
        </w:rPr>
        <w:t xml:space="preserve"> </w:t>
      </w:r>
      <w:r>
        <w:rPr>
          <w:rFonts w:hint="eastAsia"/>
          <w:rtl/>
        </w:rPr>
        <w:t>להוכח</w:t>
      </w:r>
      <w:r>
        <w:rPr>
          <w:rFonts w:hint="cs"/>
          <w:rtl/>
        </w:rPr>
        <w:t>ו</w:t>
      </w:r>
      <w:r w:rsidRPr="00604EF9">
        <w:rPr>
          <w:rFonts w:hint="eastAsia"/>
          <w:rtl/>
        </w:rPr>
        <w:t>ת</w:t>
      </w:r>
      <w:r w:rsidRPr="00604EF9">
        <w:rPr>
          <w:rtl/>
        </w:rPr>
        <w:t xml:space="preserve"> </w:t>
      </w:r>
      <w:r w:rsidRPr="00604EF9">
        <w:rPr>
          <w:rFonts w:hint="eastAsia"/>
          <w:rtl/>
        </w:rPr>
        <w:t>כוונת</w:t>
      </w:r>
      <w:r w:rsidRPr="00604EF9">
        <w:rPr>
          <w:rtl/>
        </w:rPr>
        <w:t xml:space="preserve"> </w:t>
      </w:r>
      <w:r w:rsidRPr="00604EF9">
        <w:rPr>
          <w:rFonts w:hint="eastAsia"/>
          <w:rtl/>
        </w:rPr>
        <w:t>שיתוף</w:t>
      </w:r>
      <w:r w:rsidRPr="00604EF9">
        <w:rPr>
          <w:rtl/>
        </w:rPr>
        <w:t xml:space="preserve"> </w:t>
      </w:r>
      <w:r w:rsidRPr="00604EF9">
        <w:rPr>
          <w:rFonts w:hint="eastAsia"/>
          <w:rtl/>
        </w:rPr>
        <w:t>הבנויה</w:t>
      </w:r>
      <w:r w:rsidRPr="00604EF9">
        <w:rPr>
          <w:rtl/>
        </w:rPr>
        <w:t xml:space="preserve"> </w:t>
      </w:r>
      <w:r w:rsidRPr="00604EF9">
        <w:rPr>
          <w:rFonts w:hint="eastAsia"/>
          <w:rtl/>
        </w:rPr>
        <w:t>על</w:t>
      </w:r>
      <w:r w:rsidRPr="00604EF9">
        <w:rPr>
          <w:rtl/>
        </w:rPr>
        <w:t xml:space="preserve"> </w:t>
      </w:r>
      <w:r w:rsidRPr="00604EF9">
        <w:rPr>
          <w:rFonts w:hint="eastAsia"/>
          <w:rtl/>
        </w:rPr>
        <w:t>הפסיקה</w:t>
      </w:r>
      <w:r w:rsidRPr="00604EF9">
        <w:rPr>
          <w:rtl/>
        </w:rPr>
        <w:t xml:space="preserve"> </w:t>
      </w:r>
      <w:r w:rsidRPr="00604EF9">
        <w:rPr>
          <w:rFonts w:hint="eastAsia"/>
          <w:rtl/>
        </w:rPr>
        <w:t>האזרחית</w:t>
      </w:r>
      <w:r w:rsidRPr="00604EF9">
        <w:rPr>
          <w:rtl/>
        </w:rPr>
        <w:t xml:space="preserve">, </w:t>
      </w:r>
      <w:r w:rsidRPr="00604EF9">
        <w:rPr>
          <w:rFonts w:hint="eastAsia"/>
          <w:rtl/>
        </w:rPr>
        <w:t>קל</w:t>
      </w:r>
      <w:r w:rsidRPr="00604EF9">
        <w:rPr>
          <w:rtl/>
        </w:rPr>
        <w:t xml:space="preserve"> </w:t>
      </w:r>
      <w:r w:rsidRPr="00604EF9">
        <w:rPr>
          <w:rFonts w:hint="eastAsia"/>
          <w:rtl/>
        </w:rPr>
        <w:t>וחומר</w:t>
      </w:r>
      <w:r w:rsidRPr="00604EF9">
        <w:rPr>
          <w:rtl/>
        </w:rPr>
        <w:t xml:space="preserve"> </w:t>
      </w:r>
      <w:r w:rsidRPr="00604EF9">
        <w:rPr>
          <w:rFonts w:hint="eastAsia"/>
          <w:rtl/>
        </w:rPr>
        <w:t>כאשר</w:t>
      </w:r>
      <w:r w:rsidRPr="00604EF9">
        <w:rPr>
          <w:rtl/>
        </w:rPr>
        <w:t xml:space="preserve"> </w:t>
      </w:r>
      <w:r w:rsidRPr="00604EF9">
        <w:rPr>
          <w:rFonts w:hint="eastAsia"/>
          <w:rtl/>
        </w:rPr>
        <w:t>מצטרפת</w:t>
      </w:r>
      <w:r w:rsidRPr="00604EF9">
        <w:rPr>
          <w:rtl/>
        </w:rPr>
        <w:t xml:space="preserve"> </w:t>
      </w:r>
      <w:r w:rsidRPr="00604EF9">
        <w:rPr>
          <w:rFonts w:hint="eastAsia"/>
          <w:rtl/>
        </w:rPr>
        <w:t>למקרה</w:t>
      </w:r>
      <w:r w:rsidRPr="00604EF9">
        <w:rPr>
          <w:rtl/>
        </w:rPr>
        <w:t xml:space="preserve"> </w:t>
      </w:r>
      <w:r w:rsidRPr="00604EF9">
        <w:rPr>
          <w:rFonts w:hint="eastAsia"/>
          <w:rtl/>
        </w:rPr>
        <w:t>עילת</w:t>
      </w:r>
      <w:r w:rsidRPr="00604EF9">
        <w:rPr>
          <w:rtl/>
        </w:rPr>
        <w:t xml:space="preserve"> </w:t>
      </w:r>
      <w:r w:rsidRPr="00604EF9">
        <w:rPr>
          <w:rFonts w:hint="eastAsia"/>
          <w:rtl/>
        </w:rPr>
        <w:t>בגידה</w:t>
      </w:r>
      <w:r w:rsidRPr="00604EF9">
        <w:rPr>
          <w:rtl/>
        </w:rPr>
        <w:t xml:space="preserve"> </w:t>
      </w:r>
      <w:r w:rsidRPr="00604EF9">
        <w:rPr>
          <w:rFonts w:hint="eastAsia"/>
          <w:rtl/>
        </w:rPr>
        <w:t>שבוודאי</w:t>
      </w:r>
      <w:r w:rsidRPr="00604EF9">
        <w:rPr>
          <w:rtl/>
        </w:rPr>
        <w:t xml:space="preserve"> </w:t>
      </w:r>
      <w:r w:rsidRPr="00604EF9">
        <w:rPr>
          <w:rFonts w:hint="eastAsia"/>
          <w:rtl/>
        </w:rPr>
        <w:t>אי</w:t>
      </w:r>
      <w:r w:rsidRPr="00604EF9">
        <w:rPr>
          <w:rtl/>
        </w:rPr>
        <w:t xml:space="preserve"> </w:t>
      </w:r>
      <w:r w:rsidRPr="00604EF9">
        <w:rPr>
          <w:rFonts w:hint="eastAsia"/>
          <w:rtl/>
        </w:rPr>
        <w:t>אפשר</w:t>
      </w:r>
      <w:r w:rsidRPr="00604EF9">
        <w:rPr>
          <w:rtl/>
        </w:rPr>
        <w:t xml:space="preserve"> </w:t>
      </w:r>
      <w:r w:rsidRPr="00604EF9">
        <w:rPr>
          <w:rFonts w:hint="eastAsia"/>
          <w:rtl/>
        </w:rPr>
        <w:t>לומר</w:t>
      </w:r>
      <w:r w:rsidRPr="00604EF9">
        <w:rPr>
          <w:rtl/>
        </w:rPr>
        <w:t xml:space="preserve"> </w:t>
      </w:r>
      <w:r w:rsidRPr="00604EF9">
        <w:rPr>
          <w:rFonts w:hint="eastAsia"/>
          <w:rtl/>
        </w:rPr>
        <w:t>שיש</w:t>
      </w:r>
      <w:r w:rsidRPr="00604EF9">
        <w:rPr>
          <w:rtl/>
        </w:rPr>
        <w:t xml:space="preserve"> </w:t>
      </w:r>
      <w:r w:rsidRPr="00604EF9">
        <w:rPr>
          <w:rFonts w:hint="eastAsia"/>
          <w:rtl/>
        </w:rPr>
        <w:t>אומדנה</w:t>
      </w:r>
      <w:r w:rsidRPr="00604EF9">
        <w:rPr>
          <w:rtl/>
        </w:rPr>
        <w:t xml:space="preserve"> </w:t>
      </w:r>
      <w:r w:rsidRPr="00604EF9">
        <w:rPr>
          <w:rFonts w:hint="eastAsia"/>
          <w:rtl/>
        </w:rPr>
        <w:t>לכוונת</w:t>
      </w:r>
      <w:r w:rsidRPr="00604EF9">
        <w:rPr>
          <w:rtl/>
        </w:rPr>
        <w:t xml:space="preserve"> </w:t>
      </w:r>
      <w:r w:rsidRPr="00604EF9">
        <w:rPr>
          <w:rFonts w:hint="eastAsia"/>
          <w:rtl/>
        </w:rPr>
        <w:t>שיתוף</w:t>
      </w:r>
      <w:r w:rsidRPr="00604EF9">
        <w:rPr>
          <w:rtl/>
        </w:rPr>
        <w:t xml:space="preserve"> </w:t>
      </w:r>
      <w:r w:rsidRPr="00604EF9">
        <w:rPr>
          <w:rFonts w:hint="eastAsia"/>
          <w:rtl/>
        </w:rPr>
        <w:t>מצד</w:t>
      </w:r>
      <w:r w:rsidRPr="00604EF9">
        <w:rPr>
          <w:rtl/>
        </w:rPr>
        <w:t xml:space="preserve"> </w:t>
      </w:r>
      <w:r>
        <w:rPr>
          <w:rFonts w:hint="cs"/>
          <w:rtl/>
        </w:rPr>
        <w:t>[המשיב]</w:t>
      </w:r>
      <w:r w:rsidRPr="00604EF9">
        <w:rPr>
          <w:rtl/>
        </w:rPr>
        <w:t xml:space="preserve"> </w:t>
      </w:r>
      <w:r w:rsidRPr="00604EF9">
        <w:rPr>
          <w:rFonts w:hint="eastAsia"/>
          <w:rtl/>
        </w:rPr>
        <w:t>הנבגד</w:t>
      </w:r>
      <w:r w:rsidRPr="00604EF9">
        <w:rPr>
          <w:rtl/>
        </w:rPr>
        <w:t xml:space="preserve"> </w:t>
      </w:r>
      <w:r w:rsidRPr="00604EF9">
        <w:rPr>
          <w:rFonts w:hint="eastAsia"/>
          <w:rtl/>
        </w:rPr>
        <w:t>על</w:t>
      </w:r>
      <w:r w:rsidRPr="00604EF9">
        <w:rPr>
          <w:rtl/>
        </w:rPr>
        <w:t xml:space="preserve"> </w:t>
      </w:r>
      <w:r w:rsidRPr="00604EF9">
        <w:rPr>
          <w:rFonts w:hint="eastAsia"/>
          <w:rtl/>
        </w:rPr>
        <w:t>ידי</w:t>
      </w:r>
      <w:r w:rsidRPr="00604EF9">
        <w:rPr>
          <w:rtl/>
        </w:rPr>
        <w:t xml:space="preserve"> </w:t>
      </w:r>
      <w:r>
        <w:rPr>
          <w:rFonts w:hint="cs"/>
          <w:rtl/>
        </w:rPr>
        <w:t>[המבקשת]</w:t>
      </w:r>
      <w:r w:rsidRPr="00604EF9">
        <w:rPr>
          <w:rtl/>
        </w:rPr>
        <w:t xml:space="preserve">". </w:t>
      </w:r>
      <w:r w:rsidRPr="00604EF9">
        <w:rPr>
          <w:rFonts w:hint="eastAsia"/>
          <w:rtl/>
        </w:rPr>
        <w:t>הדיין</w:t>
      </w:r>
      <w:r w:rsidRPr="00604EF9">
        <w:rPr>
          <w:rtl/>
        </w:rPr>
        <w:t xml:space="preserve"> </w:t>
      </w:r>
      <w:r w:rsidRPr="00604EF9">
        <w:rPr>
          <w:rFonts w:ascii="Century" w:hAnsi="Century" w:cs="Miriam" w:hint="eastAsia"/>
          <w:b/>
          <w:szCs w:val="24"/>
          <w:rtl/>
        </w:rPr>
        <w:t>נהרי</w:t>
      </w:r>
      <w:r w:rsidRPr="00604EF9">
        <w:rPr>
          <w:rtl/>
        </w:rPr>
        <w:t xml:space="preserve"> </w:t>
      </w:r>
      <w:r>
        <w:rPr>
          <w:rFonts w:hint="cs"/>
          <w:rtl/>
        </w:rPr>
        <w:t>ביצע היקש מ</w:t>
      </w:r>
      <w:r w:rsidRPr="00604EF9">
        <w:rPr>
          <w:rFonts w:hint="eastAsia"/>
          <w:rtl/>
        </w:rPr>
        <w:t>דיני</w:t>
      </w:r>
      <w:r w:rsidRPr="00604EF9">
        <w:rPr>
          <w:rtl/>
        </w:rPr>
        <w:t xml:space="preserve"> </w:t>
      </w:r>
      <w:r w:rsidRPr="00604EF9">
        <w:rPr>
          <w:rFonts w:hint="eastAsia"/>
          <w:rtl/>
        </w:rPr>
        <w:t>המתנה</w:t>
      </w:r>
      <w:r>
        <w:rPr>
          <w:rFonts w:hint="cs"/>
          <w:rtl/>
        </w:rPr>
        <w:t>, והדגיש כי "</w:t>
      </w:r>
      <w:r w:rsidRPr="0055592A">
        <w:rPr>
          <w:rFonts w:hint="eastAsia"/>
          <w:rtl/>
        </w:rPr>
        <w:t>הלכת</w:t>
      </w:r>
      <w:r w:rsidRPr="0055592A">
        <w:rPr>
          <w:rtl/>
        </w:rPr>
        <w:t xml:space="preserve"> </w:t>
      </w:r>
      <w:r w:rsidRPr="0055592A">
        <w:rPr>
          <w:rFonts w:hint="eastAsia"/>
          <w:rtl/>
        </w:rPr>
        <w:t>שיתוף</w:t>
      </w:r>
      <w:r w:rsidRPr="0055592A">
        <w:rPr>
          <w:rtl/>
        </w:rPr>
        <w:t xml:space="preserve"> </w:t>
      </w:r>
      <w:r w:rsidRPr="0055592A">
        <w:rPr>
          <w:rFonts w:hint="eastAsia"/>
          <w:rtl/>
        </w:rPr>
        <w:t>בנויה</w:t>
      </w:r>
      <w:r w:rsidRPr="0055592A">
        <w:rPr>
          <w:rtl/>
        </w:rPr>
        <w:t xml:space="preserve"> </w:t>
      </w:r>
      <w:r w:rsidRPr="0055592A">
        <w:rPr>
          <w:rFonts w:hint="eastAsia"/>
          <w:rtl/>
        </w:rPr>
        <w:t>על</w:t>
      </w:r>
      <w:r w:rsidRPr="0055592A">
        <w:rPr>
          <w:rtl/>
        </w:rPr>
        <w:t xml:space="preserve"> </w:t>
      </w:r>
      <w:r w:rsidRPr="0055592A">
        <w:rPr>
          <w:rFonts w:hint="eastAsia"/>
          <w:rtl/>
        </w:rPr>
        <w:t>אומדנה</w:t>
      </w:r>
      <w:r w:rsidRPr="0055592A">
        <w:rPr>
          <w:rtl/>
        </w:rPr>
        <w:t xml:space="preserve"> </w:t>
      </w:r>
      <w:r w:rsidRPr="0055592A">
        <w:rPr>
          <w:rFonts w:hint="eastAsia"/>
          <w:rtl/>
        </w:rPr>
        <w:t>של</w:t>
      </w:r>
      <w:r w:rsidRPr="0055592A">
        <w:rPr>
          <w:rtl/>
        </w:rPr>
        <w:t xml:space="preserve"> </w:t>
      </w:r>
      <w:r w:rsidRPr="0055592A">
        <w:rPr>
          <w:rFonts w:hint="eastAsia"/>
          <w:rtl/>
        </w:rPr>
        <w:t>כוונת</w:t>
      </w:r>
      <w:r w:rsidRPr="0055592A">
        <w:rPr>
          <w:rtl/>
        </w:rPr>
        <w:t xml:space="preserve"> </w:t>
      </w:r>
      <w:r w:rsidRPr="0055592A">
        <w:rPr>
          <w:rFonts w:hint="eastAsia"/>
          <w:rtl/>
        </w:rPr>
        <w:t>בן</w:t>
      </w:r>
      <w:r w:rsidRPr="0055592A">
        <w:rPr>
          <w:rtl/>
        </w:rPr>
        <w:t xml:space="preserve"> </w:t>
      </w:r>
      <w:r w:rsidRPr="0055592A">
        <w:rPr>
          <w:rFonts w:hint="eastAsia"/>
          <w:rtl/>
        </w:rPr>
        <w:t>זוג</w:t>
      </w:r>
      <w:r w:rsidRPr="0055592A">
        <w:rPr>
          <w:rtl/>
        </w:rPr>
        <w:t xml:space="preserve"> </w:t>
      </w:r>
      <w:r w:rsidRPr="0055592A">
        <w:rPr>
          <w:rFonts w:hint="eastAsia"/>
          <w:rtl/>
        </w:rPr>
        <w:t>לתת</w:t>
      </w:r>
      <w:r w:rsidRPr="0055592A">
        <w:rPr>
          <w:rtl/>
        </w:rPr>
        <w:t xml:space="preserve"> </w:t>
      </w:r>
      <w:r w:rsidRPr="0055592A">
        <w:rPr>
          <w:rFonts w:hint="eastAsia"/>
          <w:rtl/>
        </w:rPr>
        <w:t>מתנה</w:t>
      </w:r>
      <w:r w:rsidRPr="0055592A">
        <w:rPr>
          <w:rtl/>
        </w:rPr>
        <w:t xml:space="preserve"> </w:t>
      </w:r>
      <w:r w:rsidRPr="0055592A">
        <w:rPr>
          <w:rFonts w:hint="eastAsia"/>
          <w:rtl/>
        </w:rPr>
        <w:t>למשנהו</w:t>
      </w:r>
      <w:r w:rsidRPr="0055592A">
        <w:rPr>
          <w:rtl/>
        </w:rPr>
        <w:t xml:space="preserve"> </w:t>
      </w:r>
      <w:r w:rsidRPr="0055592A">
        <w:rPr>
          <w:rFonts w:hint="eastAsia"/>
          <w:rtl/>
        </w:rPr>
        <w:t>מחצית</w:t>
      </w:r>
      <w:r w:rsidRPr="0055592A">
        <w:rPr>
          <w:rtl/>
        </w:rPr>
        <w:t xml:space="preserve"> </w:t>
      </w:r>
      <w:r w:rsidRPr="0055592A">
        <w:rPr>
          <w:rFonts w:hint="eastAsia"/>
          <w:rtl/>
        </w:rPr>
        <w:t>מנכס</w:t>
      </w:r>
      <w:r w:rsidRPr="0055592A">
        <w:rPr>
          <w:rtl/>
        </w:rPr>
        <w:t xml:space="preserve"> </w:t>
      </w:r>
      <w:r w:rsidRPr="0055592A">
        <w:rPr>
          <w:rFonts w:hint="eastAsia"/>
          <w:rtl/>
        </w:rPr>
        <w:t>הרשום</w:t>
      </w:r>
      <w:r w:rsidRPr="0055592A">
        <w:rPr>
          <w:rtl/>
        </w:rPr>
        <w:t xml:space="preserve"> </w:t>
      </w:r>
      <w:r w:rsidRPr="0055592A">
        <w:rPr>
          <w:rFonts w:hint="eastAsia"/>
          <w:rtl/>
        </w:rPr>
        <w:t>על</w:t>
      </w:r>
      <w:r w:rsidRPr="0055592A">
        <w:rPr>
          <w:rtl/>
        </w:rPr>
        <w:t xml:space="preserve"> </w:t>
      </w:r>
      <w:r w:rsidRPr="0055592A">
        <w:rPr>
          <w:rFonts w:hint="eastAsia"/>
          <w:rtl/>
        </w:rPr>
        <w:t>שמו</w:t>
      </w:r>
      <w:r w:rsidRPr="0055592A">
        <w:rPr>
          <w:rtl/>
        </w:rPr>
        <w:t xml:space="preserve"> </w:t>
      </w:r>
      <w:r w:rsidRPr="0055592A">
        <w:rPr>
          <w:rFonts w:hint="eastAsia"/>
          <w:rtl/>
        </w:rPr>
        <w:t>במסגרת</w:t>
      </w:r>
      <w:r w:rsidRPr="0055592A">
        <w:rPr>
          <w:rtl/>
        </w:rPr>
        <w:t xml:space="preserve"> </w:t>
      </w:r>
      <w:r w:rsidRPr="0055592A">
        <w:rPr>
          <w:rFonts w:hint="eastAsia"/>
          <w:rtl/>
        </w:rPr>
        <w:t>מערכת</w:t>
      </w:r>
      <w:r w:rsidRPr="0055592A">
        <w:rPr>
          <w:rtl/>
        </w:rPr>
        <w:t xml:space="preserve"> </w:t>
      </w:r>
      <w:r w:rsidRPr="0055592A">
        <w:rPr>
          <w:rFonts w:hint="eastAsia"/>
          <w:rtl/>
        </w:rPr>
        <w:t>הנישואין</w:t>
      </w:r>
      <w:r w:rsidRPr="0055592A">
        <w:rPr>
          <w:rtl/>
        </w:rPr>
        <w:t xml:space="preserve">. </w:t>
      </w:r>
      <w:r w:rsidRPr="0055592A">
        <w:rPr>
          <w:rFonts w:hint="eastAsia"/>
          <w:rtl/>
        </w:rPr>
        <w:t>כוונה</w:t>
      </w:r>
      <w:r w:rsidRPr="0055592A">
        <w:rPr>
          <w:rtl/>
        </w:rPr>
        <w:t xml:space="preserve"> </w:t>
      </w:r>
      <w:r w:rsidRPr="0055592A">
        <w:rPr>
          <w:rFonts w:hint="eastAsia"/>
          <w:rtl/>
        </w:rPr>
        <w:t>זו</w:t>
      </w:r>
      <w:r w:rsidRPr="0055592A">
        <w:rPr>
          <w:rtl/>
        </w:rPr>
        <w:t xml:space="preserve"> </w:t>
      </w:r>
      <w:r w:rsidRPr="0055592A">
        <w:rPr>
          <w:rFonts w:hint="eastAsia"/>
          <w:rtl/>
        </w:rPr>
        <w:t>לשתף</w:t>
      </w:r>
      <w:r w:rsidRPr="0055592A">
        <w:rPr>
          <w:rtl/>
        </w:rPr>
        <w:t xml:space="preserve"> </w:t>
      </w:r>
      <w:r w:rsidRPr="0055592A">
        <w:rPr>
          <w:rFonts w:hint="eastAsia"/>
          <w:rtl/>
        </w:rPr>
        <w:t>את</w:t>
      </w:r>
      <w:r w:rsidRPr="0055592A">
        <w:rPr>
          <w:rtl/>
        </w:rPr>
        <w:t xml:space="preserve"> </w:t>
      </w:r>
      <w:r w:rsidRPr="0055592A">
        <w:rPr>
          <w:rFonts w:hint="eastAsia"/>
          <w:rtl/>
        </w:rPr>
        <w:t>בן</w:t>
      </w:r>
      <w:r w:rsidRPr="0055592A">
        <w:rPr>
          <w:rtl/>
        </w:rPr>
        <w:t xml:space="preserve"> </w:t>
      </w:r>
      <w:r w:rsidRPr="0055592A">
        <w:rPr>
          <w:rFonts w:hint="eastAsia"/>
          <w:rtl/>
        </w:rPr>
        <w:t>הזוג</w:t>
      </w:r>
      <w:r w:rsidRPr="0055592A">
        <w:rPr>
          <w:rtl/>
        </w:rPr>
        <w:t xml:space="preserve"> </w:t>
      </w:r>
      <w:r w:rsidRPr="0055592A">
        <w:rPr>
          <w:rFonts w:hint="eastAsia"/>
          <w:rtl/>
        </w:rPr>
        <w:t>בנכס</w:t>
      </w:r>
      <w:r w:rsidRPr="0055592A">
        <w:rPr>
          <w:rtl/>
        </w:rPr>
        <w:t xml:space="preserve"> – </w:t>
      </w:r>
      <w:r w:rsidRPr="0055592A">
        <w:rPr>
          <w:rFonts w:hint="eastAsia"/>
          <w:rtl/>
        </w:rPr>
        <w:t>לא</w:t>
      </w:r>
      <w:r w:rsidRPr="0055592A">
        <w:rPr>
          <w:rtl/>
        </w:rPr>
        <w:t xml:space="preserve"> </w:t>
      </w:r>
      <w:r w:rsidRPr="0055592A">
        <w:rPr>
          <w:rFonts w:hint="eastAsia"/>
          <w:rtl/>
        </w:rPr>
        <w:t>עדיף</w:t>
      </w:r>
      <w:r w:rsidRPr="0055592A">
        <w:rPr>
          <w:rtl/>
        </w:rPr>
        <w:t xml:space="preserve"> </w:t>
      </w:r>
      <w:r w:rsidRPr="0055592A">
        <w:rPr>
          <w:rFonts w:hint="eastAsia"/>
          <w:rtl/>
        </w:rPr>
        <w:t>דינה</w:t>
      </w:r>
      <w:r w:rsidRPr="0055592A">
        <w:rPr>
          <w:rtl/>
        </w:rPr>
        <w:t xml:space="preserve"> </w:t>
      </w:r>
      <w:r w:rsidRPr="0055592A">
        <w:rPr>
          <w:rFonts w:hint="eastAsia"/>
          <w:rtl/>
        </w:rPr>
        <w:t>מכוונת</w:t>
      </w:r>
      <w:r w:rsidRPr="0055592A">
        <w:rPr>
          <w:rtl/>
        </w:rPr>
        <w:t xml:space="preserve"> </w:t>
      </w:r>
      <w:r w:rsidRPr="0055592A">
        <w:rPr>
          <w:rFonts w:hint="eastAsia"/>
          <w:rtl/>
        </w:rPr>
        <w:t>נותן</w:t>
      </w:r>
      <w:r w:rsidRPr="0055592A">
        <w:rPr>
          <w:rtl/>
        </w:rPr>
        <w:t xml:space="preserve"> </w:t>
      </w:r>
      <w:r w:rsidRPr="0055592A">
        <w:rPr>
          <w:rFonts w:hint="eastAsia"/>
          <w:rtl/>
        </w:rPr>
        <w:t>מתנה</w:t>
      </w:r>
      <w:r>
        <w:rPr>
          <w:rFonts w:hint="cs"/>
          <w:rtl/>
        </w:rPr>
        <w:t xml:space="preserve">". עוד מוסיף הדיין </w:t>
      </w:r>
      <w:r w:rsidRPr="00673AE1">
        <w:rPr>
          <w:rFonts w:ascii="Century" w:hAnsi="Century" w:cs="Miriam" w:hint="cs"/>
          <w:b/>
          <w:spacing w:val="0"/>
          <w:sz w:val="22"/>
          <w:szCs w:val="24"/>
          <w:rtl/>
        </w:rPr>
        <w:t>נהרי</w:t>
      </w:r>
      <w:r w:rsidRPr="00604EF9">
        <w:rPr>
          <w:rtl/>
        </w:rPr>
        <w:t xml:space="preserve"> </w:t>
      </w:r>
      <w:r>
        <w:rPr>
          <w:rFonts w:hint="cs"/>
          <w:rtl/>
        </w:rPr>
        <w:t>ש</w:t>
      </w:r>
      <w:r w:rsidRPr="00604EF9">
        <w:rPr>
          <w:rFonts w:hint="eastAsia"/>
          <w:rtl/>
        </w:rPr>
        <w:t>גם</w:t>
      </w:r>
      <w:r w:rsidRPr="00604EF9">
        <w:rPr>
          <w:rtl/>
        </w:rPr>
        <w:t xml:space="preserve"> </w:t>
      </w:r>
      <w:r w:rsidRPr="00604EF9">
        <w:rPr>
          <w:rFonts w:hint="eastAsia"/>
          <w:rtl/>
        </w:rPr>
        <w:t>אילו</w:t>
      </w:r>
      <w:r w:rsidRPr="00604EF9">
        <w:rPr>
          <w:rtl/>
        </w:rPr>
        <w:t xml:space="preserve"> </w:t>
      </w:r>
      <w:r w:rsidRPr="00604EF9">
        <w:rPr>
          <w:rFonts w:hint="eastAsia"/>
          <w:rtl/>
        </w:rPr>
        <w:t>ה</w:t>
      </w:r>
      <w:r w:rsidRPr="00604EF9">
        <w:rPr>
          <w:rFonts w:hint="cs"/>
          <w:rtl/>
        </w:rPr>
        <w:t>ייתה מוכחת כוונת שיתוף בענייננו,</w:t>
      </w:r>
      <w:r w:rsidRPr="00604EF9">
        <w:rPr>
          <w:rtl/>
        </w:rPr>
        <w:t xml:space="preserve"> </w:t>
      </w:r>
      <w:r w:rsidRPr="00604EF9">
        <w:rPr>
          <w:rFonts w:hint="cs"/>
          <w:rtl/>
        </w:rPr>
        <w:t>הרי</w:t>
      </w:r>
      <w:r w:rsidRPr="00604EF9">
        <w:rPr>
          <w:rFonts w:hint="eastAsia"/>
          <w:rtl/>
        </w:rPr>
        <w:t xml:space="preserve"> </w:t>
      </w:r>
      <w:r w:rsidRPr="00604EF9">
        <w:rPr>
          <w:rFonts w:hint="cs"/>
          <w:rtl/>
        </w:rPr>
        <w:t>ש</w:t>
      </w:r>
      <w:r w:rsidRPr="00604EF9">
        <w:rPr>
          <w:rFonts w:hint="eastAsia"/>
          <w:rtl/>
        </w:rPr>
        <w:t>פגיעה</w:t>
      </w:r>
      <w:r w:rsidRPr="00604EF9">
        <w:rPr>
          <w:rtl/>
        </w:rPr>
        <w:t xml:space="preserve"> </w:t>
      </w:r>
      <w:r w:rsidRPr="00604EF9">
        <w:rPr>
          <w:rFonts w:hint="eastAsia"/>
          <w:rtl/>
        </w:rPr>
        <w:t>חמורה</w:t>
      </w:r>
      <w:r w:rsidRPr="00604EF9">
        <w:rPr>
          <w:rtl/>
        </w:rPr>
        <w:t xml:space="preserve"> </w:t>
      </w:r>
      <w:r w:rsidRPr="00604EF9">
        <w:rPr>
          <w:rFonts w:hint="eastAsia"/>
          <w:rtl/>
        </w:rPr>
        <w:t>במרקם</w:t>
      </w:r>
      <w:r w:rsidRPr="00604EF9">
        <w:rPr>
          <w:rtl/>
        </w:rPr>
        <w:t xml:space="preserve"> </w:t>
      </w:r>
      <w:r w:rsidRPr="00604EF9">
        <w:rPr>
          <w:rFonts w:hint="eastAsia"/>
          <w:rtl/>
        </w:rPr>
        <w:t>הנישואין</w:t>
      </w:r>
      <w:r w:rsidRPr="00604EF9">
        <w:rPr>
          <w:rtl/>
        </w:rPr>
        <w:t xml:space="preserve"> </w:t>
      </w:r>
      <w:r w:rsidRPr="00604EF9">
        <w:rPr>
          <w:rFonts w:hint="eastAsia"/>
          <w:rtl/>
        </w:rPr>
        <w:t>עולה</w:t>
      </w:r>
      <w:r w:rsidRPr="00604EF9">
        <w:rPr>
          <w:rtl/>
        </w:rPr>
        <w:t xml:space="preserve"> </w:t>
      </w:r>
      <w:r w:rsidRPr="00604EF9">
        <w:rPr>
          <w:rFonts w:hint="eastAsia"/>
          <w:rtl/>
        </w:rPr>
        <w:t>כדי</w:t>
      </w:r>
      <w:r w:rsidRPr="00604EF9">
        <w:rPr>
          <w:rtl/>
        </w:rPr>
        <w:t xml:space="preserve"> </w:t>
      </w:r>
      <w:r w:rsidRPr="00604EF9">
        <w:rPr>
          <w:rFonts w:hint="eastAsia"/>
          <w:rtl/>
        </w:rPr>
        <w:t>התנהגות</w:t>
      </w:r>
      <w:r w:rsidRPr="00604EF9">
        <w:rPr>
          <w:rtl/>
        </w:rPr>
        <w:t xml:space="preserve"> </w:t>
      </w:r>
      <w:r w:rsidRPr="00604EF9">
        <w:rPr>
          <w:rFonts w:hint="eastAsia"/>
          <w:rtl/>
        </w:rPr>
        <w:t>מחפירה</w:t>
      </w:r>
      <w:r w:rsidRPr="00604EF9">
        <w:rPr>
          <w:rtl/>
        </w:rPr>
        <w:t xml:space="preserve"> </w:t>
      </w:r>
      <w:r w:rsidRPr="00604EF9">
        <w:rPr>
          <w:rFonts w:hint="eastAsia"/>
          <w:rtl/>
        </w:rPr>
        <w:t>המצדיקה</w:t>
      </w:r>
      <w:r w:rsidRPr="00604EF9">
        <w:rPr>
          <w:rtl/>
        </w:rPr>
        <w:t xml:space="preserve"> </w:t>
      </w:r>
      <w:r w:rsidRPr="00604EF9">
        <w:rPr>
          <w:rFonts w:hint="eastAsia"/>
          <w:rtl/>
        </w:rPr>
        <w:t>חזרה</w:t>
      </w:r>
      <w:r w:rsidRPr="00604EF9">
        <w:rPr>
          <w:rtl/>
        </w:rPr>
        <w:t xml:space="preserve"> </w:t>
      </w:r>
      <w:r w:rsidRPr="00604EF9">
        <w:rPr>
          <w:rFonts w:hint="eastAsia"/>
          <w:rtl/>
        </w:rPr>
        <w:t>מכוונת</w:t>
      </w:r>
      <w:r w:rsidRPr="00604EF9">
        <w:rPr>
          <w:rtl/>
        </w:rPr>
        <w:t xml:space="preserve"> </w:t>
      </w:r>
      <w:r w:rsidRPr="00604EF9">
        <w:rPr>
          <w:rFonts w:hint="cs"/>
          <w:rtl/>
        </w:rPr>
        <w:t>ה</w:t>
      </w:r>
      <w:r w:rsidRPr="00604EF9">
        <w:rPr>
          <w:rFonts w:hint="eastAsia"/>
          <w:rtl/>
        </w:rPr>
        <w:t>שיתוף</w:t>
      </w:r>
      <w:r>
        <w:rPr>
          <w:rtl/>
        </w:rPr>
        <w:t>.</w:t>
      </w:r>
    </w:p>
    <w:p w:rsidR="00FA3A86" w:rsidRDefault="00FA3A86" w:rsidP="00FA3A86">
      <w:pPr>
        <w:pStyle w:val="Ruller4"/>
        <w:numPr>
          <w:ilvl w:val="0"/>
          <w:numId w:val="0"/>
        </w:numPr>
      </w:pPr>
    </w:p>
    <w:p w:rsidR="00FA3A86" w:rsidRPr="00604EF9" w:rsidRDefault="00FA3A86" w:rsidP="00FA3A86">
      <w:pPr>
        <w:pStyle w:val="Ruller4"/>
        <w:rPr>
          <w:rtl/>
        </w:rPr>
      </w:pPr>
      <w:r w:rsidRPr="00604EF9">
        <w:rPr>
          <w:rFonts w:hint="cs"/>
          <w:rtl/>
        </w:rPr>
        <w:t xml:space="preserve">הדיין </w:t>
      </w:r>
      <w:r w:rsidRPr="0057649C">
        <w:rPr>
          <w:rFonts w:ascii="Century" w:hAnsi="Century" w:cs="Miriam" w:hint="cs"/>
          <w:b/>
          <w:spacing w:val="0"/>
          <w:sz w:val="22"/>
          <w:szCs w:val="24"/>
          <w:rtl/>
        </w:rPr>
        <w:t>אלמליח</w:t>
      </w:r>
      <w:r w:rsidRPr="00604EF9">
        <w:rPr>
          <w:rFonts w:hint="cs"/>
          <w:rtl/>
        </w:rPr>
        <w:t xml:space="preserve"> ציין כי לא הוכחה כוונת שיתוף ולא הוצג "דבר מה נוסף" המעיד </w:t>
      </w:r>
      <w:r>
        <w:rPr>
          <w:rFonts w:hint="cs"/>
          <w:rtl/>
        </w:rPr>
        <w:t>ש</w:t>
      </w:r>
      <w:r w:rsidRPr="00604EF9">
        <w:rPr>
          <w:rFonts w:hint="cs"/>
          <w:rtl/>
        </w:rPr>
        <w:t xml:space="preserve">המבקשת זכאית לחלק מהנכס. הדיין </w:t>
      </w:r>
      <w:r w:rsidRPr="0057649C">
        <w:rPr>
          <w:rFonts w:ascii="Century" w:hAnsi="Century" w:cs="Miriam" w:hint="cs"/>
          <w:b/>
          <w:spacing w:val="0"/>
          <w:sz w:val="22"/>
          <w:szCs w:val="24"/>
          <w:rtl/>
        </w:rPr>
        <w:t>אלמליח</w:t>
      </w:r>
      <w:r w:rsidRPr="00604EF9">
        <w:rPr>
          <w:rFonts w:hint="cs"/>
          <w:rtl/>
        </w:rPr>
        <w:t xml:space="preserve"> עמד על כך </w:t>
      </w:r>
      <w:r>
        <w:rPr>
          <w:rFonts w:hint="cs"/>
          <w:rtl/>
        </w:rPr>
        <w:t xml:space="preserve">שהבית </w:t>
      </w:r>
      <w:r w:rsidRPr="00604EF9">
        <w:rPr>
          <w:rFonts w:hint="cs"/>
          <w:rtl/>
        </w:rPr>
        <w:t>נבנה בעסקת קומבינציה</w:t>
      </w:r>
      <w:r>
        <w:rPr>
          <w:rFonts w:hint="cs"/>
          <w:rtl/>
        </w:rPr>
        <w:t>,</w:t>
      </w:r>
      <w:r w:rsidRPr="00604EF9">
        <w:rPr>
          <w:rFonts w:hint="cs"/>
          <w:rtl/>
        </w:rPr>
        <w:t xml:space="preserve"> כך שהמשיב למעשה מימן את הבניה</w:t>
      </w:r>
      <w:r>
        <w:rPr>
          <w:rFonts w:hint="cs"/>
          <w:rtl/>
        </w:rPr>
        <w:t>;</w:t>
      </w:r>
      <w:r w:rsidRPr="00604EF9">
        <w:rPr>
          <w:rFonts w:hint="cs"/>
          <w:rtl/>
        </w:rPr>
        <w:t xml:space="preserve"> </w:t>
      </w:r>
      <w:r>
        <w:rPr>
          <w:rFonts w:hint="cs"/>
          <w:rtl/>
        </w:rPr>
        <w:t>על כך ש</w:t>
      </w:r>
      <w:r w:rsidRPr="00604EF9">
        <w:rPr>
          <w:rFonts w:hint="cs"/>
          <w:rtl/>
        </w:rPr>
        <w:t xml:space="preserve">השיפוץ מומן גם הוא מכיסו </w:t>
      </w:r>
      <w:r w:rsidRPr="00604EF9">
        <w:rPr>
          <w:rFonts w:hint="cs"/>
          <w:rtl/>
        </w:rPr>
        <w:lastRenderedPageBreak/>
        <w:t>של המשיב</w:t>
      </w:r>
      <w:r>
        <w:rPr>
          <w:rFonts w:hint="cs"/>
          <w:rtl/>
        </w:rPr>
        <w:t xml:space="preserve">; ועל כך שהבית </w:t>
      </w:r>
      <w:r w:rsidRPr="00604EF9">
        <w:rPr>
          <w:rFonts w:hint="cs"/>
          <w:rtl/>
        </w:rPr>
        <w:t>נרש</w:t>
      </w:r>
      <w:r>
        <w:rPr>
          <w:rFonts w:hint="cs"/>
          <w:rtl/>
        </w:rPr>
        <w:t>ם</w:t>
      </w:r>
      <w:r w:rsidRPr="00604EF9">
        <w:rPr>
          <w:rFonts w:hint="cs"/>
          <w:rtl/>
        </w:rPr>
        <w:t xml:space="preserve"> על שמו של המשיב בלבד. לכן</w:t>
      </w:r>
      <w:r>
        <w:rPr>
          <w:rFonts w:hint="cs"/>
          <w:rtl/>
        </w:rPr>
        <w:t>,</w:t>
      </w:r>
      <w:r w:rsidRPr="00604EF9">
        <w:rPr>
          <w:rFonts w:hint="cs"/>
          <w:rtl/>
        </w:rPr>
        <w:t xml:space="preserve"> קבע הדיין </w:t>
      </w:r>
      <w:r w:rsidRPr="0057649C">
        <w:rPr>
          <w:rFonts w:ascii="Century" w:hAnsi="Century" w:cs="Miriam" w:hint="cs"/>
          <w:b/>
          <w:spacing w:val="0"/>
          <w:sz w:val="22"/>
          <w:szCs w:val="24"/>
          <w:rtl/>
        </w:rPr>
        <w:t>אלמליח</w:t>
      </w:r>
      <w:r w:rsidRPr="00604EF9">
        <w:rPr>
          <w:rFonts w:hint="cs"/>
          <w:rtl/>
        </w:rPr>
        <w:t xml:space="preserve"> כי בנסיבות העניין לא התגבש כל שיתוף במקרקעין או בבית, אף לא "שותפות מוחלשת". </w:t>
      </w:r>
    </w:p>
    <w:p w:rsidR="00FA3A86" w:rsidRPr="00604EF9" w:rsidRDefault="00FA3A86" w:rsidP="00FA3A86">
      <w:pPr>
        <w:pStyle w:val="Ruller41"/>
        <w:rPr>
          <w:rtl/>
        </w:rPr>
      </w:pPr>
    </w:p>
    <w:p w:rsidR="00FA3A86" w:rsidRPr="00604EF9" w:rsidRDefault="00FA3A86" w:rsidP="00FA3A86">
      <w:pPr>
        <w:pStyle w:val="Ruller4"/>
        <w:numPr>
          <w:ilvl w:val="0"/>
          <w:numId w:val="0"/>
        </w:numPr>
        <w:rPr>
          <w:rtl/>
        </w:rPr>
      </w:pPr>
      <w:r>
        <w:rPr>
          <w:rtl/>
        </w:rPr>
        <w:tab/>
      </w:r>
      <w:r>
        <w:rPr>
          <w:rFonts w:hint="cs"/>
          <w:rtl/>
        </w:rPr>
        <w:t xml:space="preserve">לאחר עיון בחוות דעתו של הדיין </w:t>
      </w:r>
      <w:r w:rsidRPr="005E1BD5">
        <w:rPr>
          <w:rFonts w:ascii="Century" w:hAnsi="Century" w:cs="Miriam" w:hint="cs"/>
          <w:b/>
          <w:spacing w:val="0"/>
          <w:sz w:val="22"/>
          <w:szCs w:val="24"/>
          <w:rtl/>
        </w:rPr>
        <w:t>אלמליח</w:t>
      </w:r>
      <w:r>
        <w:rPr>
          <w:rFonts w:ascii="Century" w:hAnsi="Century" w:hint="cs"/>
          <w:sz w:val="22"/>
          <w:rtl/>
        </w:rPr>
        <w:t>,</w:t>
      </w:r>
      <w:r w:rsidRPr="002D2FC3">
        <w:rPr>
          <w:rFonts w:hint="cs"/>
          <w:rtl/>
        </w:rPr>
        <w:t xml:space="preserve"> </w:t>
      </w:r>
      <w:r w:rsidRPr="00604EF9">
        <w:rPr>
          <w:rFonts w:hint="cs"/>
          <w:rtl/>
        </w:rPr>
        <w:t xml:space="preserve">חזר בו הדיין </w:t>
      </w:r>
      <w:r w:rsidRPr="00604EF9">
        <w:rPr>
          <w:rFonts w:ascii="Century" w:hAnsi="Century" w:cs="Miriam" w:hint="cs"/>
          <w:b/>
          <w:spacing w:val="0"/>
          <w:sz w:val="22"/>
          <w:szCs w:val="24"/>
          <w:rtl/>
        </w:rPr>
        <w:t>נהרי</w:t>
      </w:r>
      <w:r w:rsidRPr="00604EF9">
        <w:rPr>
          <w:rFonts w:hint="cs"/>
          <w:rtl/>
        </w:rPr>
        <w:t xml:space="preserve"> מ</w:t>
      </w:r>
      <w:r>
        <w:rPr>
          <w:rFonts w:hint="cs"/>
          <w:rtl/>
        </w:rPr>
        <w:t xml:space="preserve">ן העמדה </w:t>
      </w:r>
      <w:r w:rsidRPr="00604EF9">
        <w:rPr>
          <w:rFonts w:hint="cs"/>
          <w:rtl/>
        </w:rPr>
        <w:t xml:space="preserve">כי יש </w:t>
      </w:r>
      <w:r>
        <w:rPr>
          <w:rFonts w:hint="cs"/>
          <w:rtl/>
        </w:rPr>
        <w:t xml:space="preserve">לפסוק למבקשת 20% מערך הבית כמסקנתו של הדיין </w:t>
      </w:r>
      <w:r w:rsidRPr="00386F0A">
        <w:rPr>
          <w:rFonts w:cs="Miriam" w:hint="cs"/>
          <w:sz w:val="22"/>
          <w:szCs w:val="24"/>
          <w:rtl/>
        </w:rPr>
        <w:t>עמוס</w:t>
      </w:r>
      <w:r>
        <w:rPr>
          <w:rFonts w:hint="cs"/>
          <w:rtl/>
        </w:rPr>
        <w:t>,</w:t>
      </w:r>
      <w:r w:rsidRPr="00604EF9">
        <w:rPr>
          <w:rFonts w:hint="cs"/>
          <w:rtl/>
        </w:rPr>
        <w:t xml:space="preserve"> והצטרף לתוצאה </w:t>
      </w:r>
      <w:r>
        <w:rPr>
          <w:rFonts w:hint="cs"/>
          <w:rtl/>
        </w:rPr>
        <w:t>ש</w:t>
      </w:r>
      <w:r w:rsidRPr="00604EF9">
        <w:rPr>
          <w:rFonts w:hint="cs"/>
          <w:rtl/>
        </w:rPr>
        <w:t xml:space="preserve">אליה הגיע הדיין </w:t>
      </w:r>
      <w:r w:rsidRPr="00604EF9">
        <w:rPr>
          <w:rFonts w:ascii="Century" w:hAnsi="Century" w:cs="Miriam" w:hint="cs"/>
          <w:b/>
          <w:spacing w:val="0"/>
          <w:sz w:val="22"/>
          <w:szCs w:val="24"/>
          <w:rtl/>
        </w:rPr>
        <w:t>אלמליח</w:t>
      </w:r>
      <w:r>
        <w:rPr>
          <w:rFonts w:ascii="FrankRuehl" w:hAnsi="FrankRuehl" w:hint="cs"/>
          <w:b/>
          <w:sz w:val="28"/>
          <w:rtl/>
        </w:rPr>
        <w:t xml:space="preserve"> </w:t>
      </w:r>
      <w:r>
        <w:rPr>
          <w:rFonts w:ascii="FrankRuehl" w:hAnsi="FrankRuehl"/>
          <w:b/>
          <w:sz w:val="28"/>
          <w:rtl/>
        </w:rPr>
        <w:t>–</w:t>
      </w:r>
      <w:r>
        <w:rPr>
          <w:rFonts w:ascii="FrankRuehl" w:hAnsi="FrankRuehl" w:hint="cs"/>
          <w:b/>
          <w:sz w:val="28"/>
          <w:rtl/>
        </w:rPr>
        <w:t xml:space="preserve"> אך לא חזר בו </w:t>
      </w:r>
      <w:r>
        <w:rPr>
          <w:rFonts w:hint="cs"/>
          <w:rtl/>
        </w:rPr>
        <w:t xml:space="preserve">מההיקש </w:t>
      </w:r>
      <w:r w:rsidRPr="00604EF9">
        <w:rPr>
          <w:rFonts w:hint="eastAsia"/>
          <w:rtl/>
        </w:rPr>
        <w:t>בין</w:t>
      </w:r>
      <w:r w:rsidRPr="00604EF9">
        <w:rPr>
          <w:rtl/>
        </w:rPr>
        <w:t xml:space="preserve"> </w:t>
      </w:r>
      <w:r w:rsidRPr="00604EF9">
        <w:rPr>
          <w:rFonts w:hint="eastAsia"/>
          <w:rtl/>
        </w:rPr>
        <w:t>כוונת</w:t>
      </w:r>
      <w:r w:rsidRPr="00604EF9">
        <w:rPr>
          <w:rtl/>
        </w:rPr>
        <w:t xml:space="preserve"> </w:t>
      </w:r>
      <w:r w:rsidRPr="00604EF9">
        <w:rPr>
          <w:rFonts w:hint="eastAsia"/>
          <w:rtl/>
        </w:rPr>
        <w:t>השיתוף</w:t>
      </w:r>
      <w:r w:rsidRPr="00604EF9">
        <w:rPr>
          <w:rtl/>
        </w:rPr>
        <w:t xml:space="preserve"> </w:t>
      </w:r>
      <w:r>
        <w:rPr>
          <w:rFonts w:hint="cs"/>
          <w:rtl/>
        </w:rPr>
        <w:t>ו</w:t>
      </w:r>
      <w:r w:rsidRPr="00604EF9">
        <w:rPr>
          <w:rFonts w:hint="eastAsia"/>
          <w:rtl/>
        </w:rPr>
        <w:t>בין</w:t>
      </w:r>
      <w:r w:rsidRPr="00604EF9">
        <w:rPr>
          <w:rtl/>
        </w:rPr>
        <w:t xml:space="preserve"> </w:t>
      </w:r>
      <w:r w:rsidRPr="00604EF9">
        <w:rPr>
          <w:rFonts w:hint="eastAsia"/>
          <w:rtl/>
        </w:rPr>
        <w:t>דיני</w:t>
      </w:r>
      <w:r w:rsidRPr="00604EF9">
        <w:rPr>
          <w:rtl/>
        </w:rPr>
        <w:t xml:space="preserve"> </w:t>
      </w:r>
      <w:r>
        <w:rPr>
          <w:rFonts w:hint="cs"/>
          <w:rtl/>
        </w:rPr>
        <w:t>ה</w:t>
      </w:r>
      <w:r w:rsidRPr="00604EF9">
        <w:rPr>
          <w:rFonts w:hint="eastAsia"/>
          <w:rtl/>
        </w:rPr>
        <w:t>מתנה</w:t>
      </w:r>
      <w:r w:rsidRPr="00604EF9">
        <w:rPr>
          <w:rtl/>
        </w:rPr>
        <w:t xml:space="preserve">, </w:t>
      </w:r>
      <w:r>
        <w:rPr>
          <w:rFonts w:hint="cs"/>
          <w:rtl/>
        </w:rPr>
        <w:t>בציינו כי</w:t>
      </w:r>
      <w:r w:rsidRPr="00604EF9">
        <w:rPr>
          <w:rFonts w:hint="cs"/>
          <w:rtl/>
        </w:rPr>
        <w:t xml:space="preserve"> </w:t>
      </w:r>
      <w:r w:rsidRPr="00604EF9">
        <w:rPr>
          <w:rtl/>
        </w:rPr>
        <w:t>"</w:t>
      </w:r>
      <w:r w:rsidRPr="00604EF9">
        <w:rPr>
          <w:rFonts w:hint="eastAsia"/>
          <w:rtl/>
        </w:rPr>
        <w:t>הדעת</w:t>
      </w:r>
      <w:r w:rsidRPr="00604EF9">
        <w:rPr>
          <w:rtl/>
        </w:rPr>
        <w:t xml:space="preserve"> </w:t>
      </w:r>
      <w:r w:rsidRPr="00604EF9">
        <w:rPr>
          <w:rFonts w:hint="eastAsia"/>
          <w:rtl/>
        </w:rPr>
        <w:t>נוטה</w:t>
      </w:r>
      <w:r w:rsidRPr="00604EF9">
        <w:rPr>
          <w:rtl/>
        </w:rPr>
        <w:t xml:space="preserve"> </w:t>
      </w:r>
      <w:r w:rsidRPr="00604EF9">
        <w:rPr>
          <w:rFonts w:hint="eastAsia"/>
          <w:rtl/>
        </w:rPr>
        <w:t>שאין</w:t>
      </w:r>
      <w:r w:rsidRPr="00604EF9">
        <w:rPr>
          <w:rtl/>
        </w:rPr>
        <w:t xml:space="preserve"> </w:t>
      </w:r>
      <w:r w:rsidRPr="00604EF9">
        <w:rPr>
          <w:rFonts w:hint="eastAsia"/>
          <w:rtl/>
        </w:rPr>
        <w:t>כוונת</w:t>
      </w:r>
      <w:r w:rsidRPr="00604EF9">
        <w:rPr>
          <w:rtl/>
        </w:rPr>
        <w:t xml:space="preserve"> </w:t>
      </w:r>
      <w:r w:rsidRPr="00604EF9">
        <w:rPr>
          <w:rFonts w:hint="eastAsia"/>
          <w:rtl/>
        </w:rPr>
        <w:t>שיתוף</w:t>
      </w:r>
      <w:r w:rsidRPr="00604EF9">
        <w:rPr>
          <w:rtl/>
        </w:rPr>
        <w:t xml:space="preserve"> </w:t>
      </w:r>
      <w:r w:rsidRPr="00604EF9">
        <w:rPr>
          <w:rFonts w:hint="eastAsia"/>
          <w:rtl/>
        </w:rPr>
        <w:t>למי</w:t>
      </w:r>
      <w:r w:rsidRPr="00604EF9">
        <w:rPr>
          <w:rtl/>
        </w:rPr>
        <w:t xml:space="preserve"> </w:t>
      </w:r>
      <w:r w:rsidRPr="00604EF9">
        <w:rPr>
          <w:rFonts w:hint="eastAsia"/>
          <w:rtl/>
        </w:rPr>
        <w:t>שבגד</w:t>
      </w:r>
      <w:r w:rsidRPr="00604EF9">
        <w:rPr>
          <w:rtl/>
        </w:rPr>
        <w:t xml:space="preserve"> </w:t>
      </w:r>
      <w:r w:rsidRPr="00604EF9">
        <w:rPr>
          <w:rFonts w:hint="eastAsia"/>
          <w:rtl/>
        </w:rPr>
        <w:t>במערכת</w:t>
      </w:r>
      <w:r w:rsidRPr="00604EF9">
        <w:rPr>
          <w:rtl/>
        </w:rPr>
        <w:t xml:space="preserve"> </w:t>
      </w:r>
      <w:r w:rsidRPr="00604EF9">
        <w:rPr>
          <w:rFonts w:hint="eastAsia"/>
          <w:rtl/>
        </w:rPr>
        <w:t>הנישואין</w:t>
      </w:r>
      <w:r w:rsidRPr="00604EF9">
        <w:rPr>
          <w:rtl/>
        </w:rPr>
        <w:t>".</w:t>
      </w:r>
      <w:r w:rsidRPr="00604EF9">
        <w:rPr>
          <w:rFonts w:hint="cs"/>
          <w:rtl/>
        </w:rPr>
        <w:t xml:space="preserve"> </w:t>
      </w:r>
      <w:r w:rsidRPr="00604EF9">
        <w:rPr>
          <w:rFonts w:ascii="Century" w:hAnsi="Century" w:hint="cs"/>
          <w:rtl/>
        </w:rPr>
        <w:t>לפיכך נקבע</w:t>
      </w:r>
      <w:r w:rsidRPr="00604EF9">
        <w:rPr>
          <w:rtl/>
        </w:rPr>
        <w:t xml:space="preserve">, </w:t>
      </w:r>
      <w:r w:rsidRPr="00604EF9">
        <w:rPr>
          <w:rFonts w:hint="eastAsia"/>
          <w:rtl/>
        </w:rPr>
        <w:t>בדעת</w:t>
      </w:r>
      <w:r w:rsidRPr="00604EF9">
        <w:rPr>
          <w:rtl/>
        </w:rPr>
        <w:t xml:space="preserve"> </w:t>
      </w:r>
      <w:r w:rsidRPr="00604EF9">
        <w:rPr>
          <w:rFonts w:hint="eastAsia"/>
          <w:rtl/>
        </w:rPr>
        <w:t>רוב</w:t>
      </w:r>
      <w:r w:rsidRPr="00604EF9">
        <w:rPr>
          <w:rtl/>
        </w:rPr>
        <w:t xml:space="preserve">, </w:t>
      </w:r>
      <w:r w:rsidRPr="00604EF9">
        <w:rPr>
          <w:rFonts w:hint="eastAsia"/>
          <w:rtl/>
        </w:rPr>
        <w:t>כי</w:t>
      </w:r>
      <w:r w:rsidRPr="00604EF9">
        <w:rPr>
          <w:rtl/>
        </w:rPr>
        <w:t xml:space="preserve"> </w:t>
      </w:r>
      <w:r w:rsidRPr="00604EF9">
        <w:rPr>
          <w:rFonts w:hint="eastAsia"/>
          <w:rtl/>
        </w:rPr>
        <w:t>ל</w:t>
      </w:r>
      <w:r w:rsidRPr="00604EF9">
        <w:rPr>
          <w:rFonts w:hint="cs"/>
          <w:rtl/>
        </w:rPr>
        <w:t>מבקשת</w:t>
      </w:r>
      <w:r w:rsidRPr="00604EF9">
        <w:rPr>
          <w:rtl/>
        </w:rPr>
        <w:t xml:space="preserve"> </w:t>
      </w:r>
      <w:r w:rsidRPr="00604EF9">
        <w:rPr>
          <w:rFonts w:hint="eastAsia"/>
          <w:rtl/>
        </w:rPr>
        <w:t>אין</w:t>
      </w:r>
      <w:r w:rsidRPr="00604EF9">
        <w:rPr>
          <w:rtl/>
        </w:rPr>
        <w:t xml:space="preserve"> </w:t>
      </w:r>
      <w:r w:rsidRPr="00604EF9">
        <w:rPr>
          <w:rFonts w:hint="eastAsia"/>
          <w:rtl/>
        </w:rPr>
        <w:t>כל</w:t>
      </w:r>
      <w:r w:rsidRPr="00604EF9">
        <w:rPr>
          <w:rtl/>
        </w:rPr>
        <w:t xml:space="preserve"> </w:t>
      </w:r>
      <w:r w:rsidRPr="00604EF9">
        <w:rPr>
          <w:rFonts w:hint="cs"/>
          <w:rtl/>
        </w:rPr>
        <w:t>זכות בבית המגורים</w:t>
      </w:r>
      <w:r w:rsidRPr="00604EF9">
        <w:rPr>
          <w:rtl/>
        </w:rPr>
        <w:t>.</w:t>
      </w:r>
    </w:p>
    <w:p w:rsidR="00FA3A86" w:rsidRPr="00604EF9" w:rsidRDefault="00FA3A86" w:rsidP="00FA3A86">
      <w:pPr>
        <w:pStyle w:val="Ruller4"/>
        <w:numPr>
          <w:ilvl w:val="0"/>
          <w:numId w:val="0"/>
        </w:numPr>
        <w:rPr>
          <w:rtl/>
        </w:rPr>
      </w:pPr>
    </w:p>
    <w:p w:rsidR="00FA3A86" w:rsidRPr="00604EF9" w:rsidRDefault="00FA3A86" w:rsidP="00FA3A86">
      <w:pPr>
        <w:pStyle w:val="1"/>
        <w:rPr>
          <w:rtl/>
        </w:rPr>
      </w:pPr>
      <w:r w:rsidRPr="00604EF9">
        <w:rPr>
          <w:rFonts w:hint="cs"/>
          <w:rtl/>
        </w:rPr>
        <w:t>פסק דינו של בית המשפט העליון</w:t>
      </w:r>
    </w:p>
    <w:p w:rsidR="00FA3A86" w:rsidRPr="00604EF9" w:rsidRDefault="00FA3A86" w:rsidP="00FA3A86">
      <w:pPr>
        <w:tabs>
          <w:tab w:val="left" w:pos="800"/>
        </w:tabs>
        <w:jc w:val="both"/>
        <w:rPr>
          <w:rFonts w:ascii="Arial TUR" w:hAnsi="Arial TUR"/>
          <w:sz w:val="22"/>
          <w:rtl/>
        </w:rPr>
      </w:pPr>
    </w:p>
    <w:p w:rsidR="00FA3A86" w:rsidRPr="00604EF9" w:rsidRDefault="00FA3A86" w:rsidP="00FA3A86">
      <w:pPr>
        <w:pStyle w:val="Ruller4"/>
        <w:rPr>
          <w:rtl/>
        </w:rPr>
      </w:pPr>
      <w:r w:rsidRPr="00604EF9">
        <w:rPr>
          <w:rFonts w:hint="cs"/>
          <w:rtl/>
        </w:rPr>
        <w:t xml:space="preserve">המבקשת לא השלימה עם פסק הדין והגישה עתירה לבית משפט זה, אשר נדחתה, כאמור, בדעת רוב (השופטים </w:t>
      </w:r>
      <w:r w:rsidRPr="00604EF9">
        <w:rPr>
          <w:rFonts w:ascii="Century" w:hAnsi="Century" w:cs="Miriam" w:hint="cs"/>
          <w:b/>
          <w:sz w:val="22"/>
          <w:szCs w:val="24"/>
          <w:rtl/>
        </w:rPr>
        <w:t>מינץ</w:t>
      </w:r>
      <w:r w:rsidRPr="00604EF9">
        <w:rPr>
          <w:rFonts w:hint="cs"/>
          <w:rtl/>
        </w:rPr>
        <w:t xml:space="preserve"> ו</w:t>
      </w:r>
      <w:r w:rsidRPr="00604EF9">
        <w:rPr>
          <w:rFonts w:ascii="Century" w:hAnsi="Century" w:cs="Miriam" w:hint="cs"/>
          <w:b/>
          <w:sz w:val="22"/>
          <w:szCs w:val="24"/>
          <w:rtl/>
        </w:rPr>
        <w:t xml:space="preserve">שטיין </w:t>
      </w:r>
      <w:r w:rsidRPr="00604EF9">
        <w:rPr>
          <w:rFonts w:hint="cs"/>
          <w:rtl/>
        </w:rPr>
        <w:t xml:space="preserve">נגד דעתו החולקת של השופט </w:t>
      </w:r>
      <w:r w:rsidRPr="00604EF9">
        <w:rPr>
          <w:rFonts w:ascii="Century" w:hAnsi="Century" w:cs="Miriam" w:hint="cs"/>
          <w:b/>
          <w:sz w:val="22"/>
          <w:szCs w:val="24"/>
          <w:rtl/>
        </w:rPr>
        <w:t>עמית</w:t>
      </w:r>
      <w:r w:rsidRPr="00604EF9">
        <w:rPr>
          <w:rFonts w:hint="cs"/>
          <w:rtl/>
        </w:rPr>
        <w:t>). במוקד העתיר</w:t>
      </w:r>
      <w:r>
        <w:rPr>
          <w:rFonts w:hint="cs"/>
          <w:rtl/>
        </w:rPr>
        <w:t>ות</w:t>
      </w:r>
      <w:r w:rsidRPr="00604EF9">
        <w:rPr>
          <w:rFonts w:hint="cs"/>
          <w:rtl/>
        </w:rPr>
        <w:t xml:space="preserve"> עמדה השאלה אם יש מקום להתערבותו של בית משפט זה בפסק דינו של בית הדין הרבני הגדול</w:t>
      </w:r>
      <w:r>
        <w:rPr>
          <w:rFonts w:hint="cs"/>
          <w:rtl/>
        </w:rPr>
        <w:t>,</w:t>
      </w:r>
      <w:r w:rsidRPr="00604EF9">
        <w:rPr>
          <w:rFonts w:hint="cs"/>
          <w:rtl/>
        </w:rPr>
        <w:t xml:space="preserve"> </w:t>
      </w:r>
      <w:r>
        <w:rPr>
          <w:rFonts w:hint="cs"/>
          <w:rtl/>
        </w:rPr>
        <w:t xml:space="preserve">אשר לטענת המבקשת נתן משקל </w:t>
      </w:r>
      <w:r w:rsidRPr="00604EF9">
        <w:rPr>
          <w:rFonts w:hint="cs"/>
          <w:rtl/>
        </w:rPr>
        <w:t>לבגיד</w:t>
      </w:r>
      <w:r>
        <w:rPr>
          <w:rFonts w:hint="cs"/>
          <w:rtl/>
        </w:rPr>
        <w:t>ת</w:t>
      </w:r>
      <w:r w:rsidRPr="00604EF9">
        <w:rPr>
          <w:rFonts w:hint="cs"/>
          <w:rtl/>
        </w:rPr>
        <w:t xml:space="preserve">ה הנטענת. השופט </w:t>
      </w:r>
      <w:r w:rsidRPr="00604EF9">
        <w:rPr>
          <w:rFonts w:ascii="Century" w:hAnsi="Century" w:cs="Miriam" w:hint="cs"/>
          <w:b/>
          <w:spacing w:val="0"/>
          <w:sz w:val="22"/>
          <w:szCs w:val="24"/>
          <w:rtl/>
        </w:rPr>
        <w:t>עמית</w:t>
      </w:r>
      <w:r w:rsidRPr="00604EF9">
        <w:rPr>
          <w:rFonts w:hint="cs"/>
          <w:rtl/>
        </w:rPr>
        <w:t xml:space="preserve"> ציין כי במצב הדברים הרגיל </w:t>
      </w:r>
      <w:r>
        <w:rPr>
          <w:rFonts w:hint="cs"/>
          <w:rtl/>
        </w:rPr>
        <w:t xml:space="preserve">הוא </w:t>
      </w:r>
      <w:r w:rsidRPr="00604EF9">
        <w:rPr>
          <w:rFonts w:hint="cs"/>
          <w:rtl/>
        </w:rPr>
        <w:t xml:space="preserve">לא היה רואה מקום להתערב במסקנתו של בית הדין הרבני הגדול, שכן הלכה ידועה היא שבית משפט זה אינו יושב כערכאת ערעור על בתי הדין הרבניים והתערבותו מוגבלת למקרים חריגים בלבד. אלא שלשיטת השופט </w:t>
      </w:r>
      <w:r w:rsidRPr="00604EF9">
        <w:rPr>
          <w:rFonts w:ascii="Century" w:hAnsi="Century" w:cs="Miriam" w:hint="cs"/>
          <w:b/>
          <w:sz w:val="22"/>
          <w:szCs w:val="24"/>
          <w:rtl/>
        </w:rPr>
        <w:t>עמית</w:t>
      </w:r>
      <w:r>
        <w:rPr>
          <w:rFonts w:ascii="Century" w:hAnsi="Century" w:hint="cs"/>
          <w:sz w:val="22"/>
          <w:rtl/>
        </w:rPr>
        <w:t>,</w:t>
      </w:r>
      <w:r w:rsidRPr="00604EF9">
        <w:rPr>
          <w:rFonts w:hint="cs"/>
          <w:rtl/>
        </w:rPr>
        <w:t xml:space="preserve"> המקרה שבפנ</w:t>
      </w:r>
      <w:r>
        <w:rPr>
          <w:rFonts w:hint="cs"/>
          <w:rtl/>
        </w:rPr>
        <w:t>ינו נופל בגדר אותם מקרים חריגים.</w:t>
      </w:r>
      <w:r w:rsidRPr="00604EF9">
        <w:rPr>
          <w:rFonts w:hint="cs"/>
          <w:rtl/>
        </w:rPr>
        <w:t xml:space="preserve"> </w:t>
      </w:r>
      <w:r>
        <w:rPr>
          <w:rFonts w:hint="cs"/>
          <w:rtl/>
        </w:rPr>
        <w:t xml:space="preserve">לגישתו, </w:t>
      </w:r>
      <w:r w:rsidRPr="00604EF9">
        <w:rPr>
          <w:rFonts w:hint="cs"/>
          <w:rtl/>
        </w:rPr>
        <w:t xml:space="preserve">בית הדין הרבני הגדול החיל במקרה דנן את הדין הדתי על סוגיות </w:t>
      </w:r>
      <w:proofErr w:type="spellStart"/>
      <w:r w:rsidRPr="00604EF9">
        <w:rPr>
          <w:rFonts w:hint="cs"/>
          <w:rtl/>
        </w:rPr>
        <w:t>רכושיות</w:t>
      </w:r>
      <w:proofErr w:type="spellEnd"/>
      <w:r>
        <w:rPr>
          <w:rFonts w:hint="cs"/>
          <w:rtl/>
        </w:rPr>
        <w:t xml:space="preserve">, וזאת </w:t>
      </w:r>
      <w:r w:rsidRPr="00604EF9">
        <w:rPr>
          <w:rFonts w:hint="cs"/>
          <w:rtl/>
        </w:rPr>
        <w:t xml:space="preserve">בניגוד להלכה שנפסקה בבג"ץ 1000/92 </w:t>
      </w:r>
      <w:r w:rsidRPr="00604EF9">
        <w:rPr>
          <w:rFonts w:ascii="Century" w:hAnsi="Century" w:cs="Miriam" w:hint="cs"/>
          <w:b/>
          <w:spacing w:val="0"/>
          <w:sz w:val="22"/>
          <w:szCs w:val="24"/>
          <w:rtl/>
        </w:rPr>
        <w:t>בבלי נ' בית הדין הרבני הגדול</w:t>
      </w:r>
      <w:r w:rsidRPr="00604EF9">
        <w:rPr>
          <w:rFonts w:hint="cs"/>
          <w:rtl/>
        </w:rPr>
        <w:t xml:space="preserve">, פ"ד מח(2) 221 (1994) (להלן: </w:t>
      </w:r>
      <w:r w:rsidRPr="00604EF9">
        <w:rPr>
          <w:rFonts w:ascii="Century" w:hAnsi="Century" w:cs="Miriam" w:hint="cs"/>
          <w:b/>
          <w:spacing w:val="0"/>
          <w:sz w:val="22"/>
          <w:szCs w:val="24"/>
          <w:rtl/>
        </w:rPr>
        <w:t>הלכת בבלי</w:t>
      </w:r>
      <w:r>
        <w:rPr>
          <w:rFonts w:hint="cs"/>
          <w:rtl/>
        </w:rPr>
        <w:t xml:space="preserve">), </w:t>
      </w:r>
      <w:r w:rsidRPr="00604EF9">
        <w:rPr>
          <w:rFonts w:hint="cs"/>
          <w:rtl/>
        </w:rPr>
        <w:t>לפיה ענייני הרכוש בין בני זוג אינם חלק מענייני הנישואין והגירושין שעליהם חל הדין הדתי.</w:t>
      </w:r>
    </w:p>
    <w:p w:rsidR="00FA3A86" w:rsidRPr="00604EF9" w:rsidRDefault="00FA3A86" w:rsidP="00FA3A86">
      <w:pPr>
        <w:pStyle w:val="Ruller41"/>
      </w:pPr>
    </w:p>
    <w:p w:rsidR="00FA3A86" w:rsidRPr="001A1C11" w:rsidRDefault="00FA3A86" w:rsidP="00FA3A86">
      <w:pPr>
        <w:pStyle w:val="Ruller41"/>
        <w:rPr>
          <w:rFonts w:ascii="FrankRuehl" w:hAnsi="FrankRuehl"/>
          <w:color w:val="000000"/>
          <w:sz w:val="28"/>
          <w:rtl/>
        </w:rPr>
      </w:pPr>
      <w:r w:rsidRPr="00604EF9">
        <w:rPr>
          <w:rtl/>
        </w:rPr>
        <w:tab/>
      </w:r>
      <w:r w:rsidRPr="00604EF9">
        <w:rPr>
          <w:rFonts w:hint="cs"/>
          <w:rtl/>
        </w:rPr>
        <w:t xml:space="preserve">לגישת השופט </w:t>
      </w:r>
      <w:r w:rsidRPr="00604EF9">
        <w:rPr>
          <w:rFonts w:ascii="Century" w:hAnsi="Century" w:cs="Miriam" w:hint="cs"/>
          <w:b/>
          <w:szCs w:val="24"/>
          <w:rtl/>
        </w:rPr>
        <w:t>עמית</w:t>
      </w:r>
      <w:r w:rsidRPr="00604EF9">
        <w:rPr>
          <w:rFonts w:hint="cs"/>
          <w:rtl/>
        </w:rPr>
        <w:t>, בעוד שבדין האזרחי המגמה היא לנתק את העיסוק בהתנהגות המינית של הצדדים מסוג</w:t>
      </w:r>
      <w:r>
        <w:rPr>
          <w:rFonts w:hint="cs"/>
          <w:rtl/>
        </w:rPr>
        <w:t>י</w:t>
      </w:r>
      <w:r w:rsidRPr="00604EF9">
        <w:rPr>
          <w:rFonts w:hint="cs"/>
          <w:rtl/>
        </w:rPr>
        <w:t>ית חלוקת הרכוש, בדין הדתי נעשה שימוש בזכויות הקניין והחיוב כדי "להעניש" את ה</w:t>
      </w:r>
      <w:r>
        <w:rPr>
          <w:rFonts w:hint="cs"/>
          <w:rtl/>
        </w:rPr>
        <w:t>"</w:t>
      </w:r>
      <w:r w:rsidRPr="00604EF9">
        <w:rPr>
          <w:rFonts w:hint="cs"/>
          <w:rtl/>
        </w:rPr>
        <w:t>אשם</w:t>
      </w:r>
      <w:r>
        <w:rPr>
          <w:rFonts w:hint="cs"/>
          <w:rtl/>
        </w:rPr>
        <w:t>"</w:t>
      </w:r>
      <w:r w:rsidRPr="00604EF9">
        <w:rPr>
          <w:rFonts w:hint="cs"/>
          <w:rtl/>
        </w:rPr>
        <w:t xml:space="preserve"> בכישלון חיי המשפחה. </w:t>
      </w:r>
      <w:r w:rsidRPr="00604EF9">
        <w:rPr>
          <w:rFonts w:ascii="Century" w:hAnsi="Century" w:hint="cs"/>
          <w:rtl/>
        </w:rPr>
        <w:t xml:space="preserve">השופט </w:t>
      </w:r>
      <w:r w:rsidRPr="00604EF9">
        <w:rPr>
          <w:rFonts w:ascii="Century" w:hAnsi="Century" w:cs="Miriam" w:hint="cs"/>
          <w:b/>
          <w:spacing w:val="0"/>
          <w:szCs w:val="24"/>
          <w:rtl/>
        </w:rPr>
        <w:t>עמית</w:t>
      </w:r>
      <w:r w:rsidRPr="00604EF9">
        <w:rPr>
          <w:rFonts w:ascii="Century" w:hAnsi="Century" w:hint="cs"/>
          <w:rtl/>
        </w:rPr>
        <w:t xml:space="preserve"> </w:t>
      </w:r>
      <w:r>
        <w:rPr>
          <w:rFonts w:ascii="Century" w:hAnsi="Century" w:hint="cs"/>
          <w:rtl/>
        </w:rPr>
        <w:t>ציין כי</w:t>
      </w:r>
      <w:r w:rsidRPr="00604EF9">
        <w:rPr>
          <w:rFonts w:ascii="Century" w:hAnsi="Century" w:hint="cs"/>
          <w:rtl/>
        </w:rPr>
        <w:t xml:space="preserve"> בפסיקה האזרחית נקבע</w:t>
      </w:r>
      <w:r w:rsidRPr="00604EF9">
        <w:rPr>
          <w:rFonts w:hint="cs"/>
          <w:rtl/>
        </w:rPr>
        <w:t xml:space="preserve"> שהשיתוף </w:t>
      </w:r>
      <w:r>
        <w:rPr>
          <w:rFonts w:hint="cs"/>
          <w:rtl/>
        </w:rPr>
        <w:t xml:space="preserve">בנכס </w:t>
      </w:r>
      <w:r w:rsidRPr="00604EF9">
        <w:rPr>
          <w:rFonts w:hint="cs"/>
          <w:rtl/>
        </w:rPr>
        <w:t>ספציפי מתגבש בנקודה מסוימת על ציר חיי הנישואין, וכי אף שבגידה עשויה לשים קץ לשיתוף, אין נענשים עליה למפרע על ידי נטילת זכויות ברכוש המשותף</w:t>
      </w:r>
      <w:r>
        <w:rPr>
          <w:rFonts w:hint="cs"/>
          <w:rtl/>
        </w:rPr>
        <w:t xml:space="preserve">. </w:t>
      </w:r>
      <w:r w:rsidRPr="00604EF9">
        <w:rPr>
          <w:rFonts w:hint="cs"/>
          <w:rtl/>
        </w:rPr>
        <w:t xml:space="preserve">השופט </w:t>
      </w:r>
      <w:r w:rsidRPr="00604EF9">
        <w:rPr>
          <w:rFonts w:ascii="Century" w:hAnsi="Century" w:cs="Miriam" w:hint="cs"/>
          <w:b/>
          <w:spacing w:val="0"/>
          <w:szCs w:val="24"/>
          <w:rtl/>
        </w:rPr>
        <w:t>עמית</w:t>
      </w:r>
      <w:r w:rsidRPr="00604EF9">
        <w:rPr>
          <w:rFonts w:hint="cs"/>
          <w:rtl/>
        </w:rPr>
        <w:t xml:space="preserve"> סבר כי קריא</w:t>
      </w:r>
      <w:r>
        <w:rPr>
          <w:rFonts w:hint="cs"/>
          <w:rtl/>
        </w:rPr>
        <w:t>ת</w:t>
      </w:r>
      <w:r w:rsidRPr="00604EF9">
        <w:rPr>
          <w:rFonts w:hint="cs"/>
          <w:rtl/>
        </w:rPr>
        <w:t xml:space="preserve"> פסק דינו של בית הדין הרבני </w:t>
      </w:r>
      <w:r w:rsidRPr="00604EF9">
        <w:rPr>
          <w:rFonts w:ascii="Century" w:hAnsi="Century" w:hint="cs"/>
          <w:rtl/>
        </w:rPr>
        <w:t>הגדול</w:t>
      </w:r>
      <w:r w:rsidRPr="00604EF9">
        <w:rPr>
          <w:rFonts w:hint="cs"/>
          <w:rtl/>
        </w:rPr>
        <w:t xml:space="preserve"> </w:t>
      </w:r>
      <w:r>
        <w:rPr>
          <w:rFonts w:hint="cs"/>
          <w:rtl/>
        </w:rPr>
        <w:t>מלמדת ש</w:t>
      </w:r>
      <w:r w:rsidRPr="00604EF9">
        <w:rPr>
          <w:rFonts w:hint="cs"/>
          <w:rtl/>
        </w:rPr>
        <w:t xml:space="preserve">מעשה הבגידה של המבקשת הוא שהטה את הכף לחובתה. לעמדתו של השופט </w:t>
      </w:r>
      <w:r w:rsidRPr="00604EF9">
        <w:rPr>
          <w:rFonts w:ascii="Century" w:hAnsi="Century" w:cs="Miriam" w:hint="cs"/>
          <w:b/>
          <w:szCs w:val="24"/>
          <w:rtl/>
        </w:rPr>
        <w:t>עמית</w:t>
      </w:r>
      <w:r w:rsidRPr="00604EF9">
        <w:rPr>
          <w:rFonts w:ascii="Century" w:hAnsi="Century" w:hint="cs"/>
          <w:rtl/>
        </w:rPr>
        <w:t>,</w:t>
      </w:r>
      <w:r w:rsidRPr="00604EF9">
        <w:rPr>
          <w:rFonts w:hint="cs"/>
          <w:rtl/>
        </w:rPr>
        <w:t xml:space="preserve"> </w:t>
      </w:r>
      <w:r>
        <w:rPr>
          <w:rFonts w:hint="cs"/>
          <w:rtl/>
        </w:rPr>
        <w:t>אף ש</w:t>
      </w:r>
      <w:r w:rsidRPr="00604EF9">
        <w:rPr>
          <w:rFonts w:hint="cs"/>
          <w:rtl/>
        </w:rPr>
        <w:t>בית הדין הרבני הגדול שילם "מס שפתיים" לדין האזרחי</w:t>
      </w:r>
      <w:r>
        <w:rPr>
          <w:rFonts w:hint="cs"/>
          <w:rtl/>
        </w:rPr>
        <w:t>,</w:t>
      </w:r>
      <w:r w:rsidRPr="00604EF9">
        <w:rPr>
          <w:rFonts w:hint="cs"/>
          <w:rtl/>
        </w:rPr>
        <w:t xml:space="preserve"> בפועל נ</w:t>
      </w:r>
      <w:r>
        <w:rPr>
          <w:rFonts w:hint="cs"/>
          <w:rtl/>
        </w:rPr>
        <w:t>י</w:t>
      </w:r>
      <w:r w:rsidRPr="00604EF9">
        <w:rPr>
          <w:rFonts w:hint="cs"/>
          <w:rtl/>
        </w:rPr>
        <w:t xml:space="preserve">תן משקל מכריע לבגידתה </w:t>
      </w:r>
      <w:r>
        <w:rPr>
          <w:rFonts w:hint="cs"/>
          <w:rtl/>
        </w:rPr>
        <w:t xml:space="preserve">הנטענת </w:t>
      </w:r>
      <w:r w:rsidRPr="00604EF9">
        <w:rPr>
          <w:rFonts w:hint="cs"/>
          <w:rtl/>
        </w:rPr>
        <w:t xml:space="preserve">של </w:t>
      </w:r>
      <w:r>
        <w:rPr>
          <w:rFonts w:hint="cs"/>
          <w:rtl/>
        </w:rPr>
        <w:t xml:space="preserve">המבקשת. בפרט הדגיש השופט </w:t>
      </w:r>
      <w:r w:rsidRPr="007A06B6">
        <w:rPr>
          <w:rFonts w:ascii="Century" w:hAnsi="Century" w:cs="Miriam" w:hint="cs"/>
          <w:b/>
          <w:szCs w:val="24"/>
          <w:rtl/>
        </w:rPr>
        <w:t>עמית</w:t>
      </w:r>
      <w:r>
        <w:rPr>
          <w:rFonts w:hint="cs"/>
          <w:rtl/>
        </w:rPr>
        <w:t xml:space="preserve"> כי הדיין </w:t>
      </w:r>
      <w:r w:rsidRPr="001A1C11">
        <w:rPr>
          <w:rFonts w:ascii="Century" w:hAnsi="Century" w:cs="Miriam" w:hint="eastAsia"/>
          <w:b/>
          <w:spacing w:val="0"/>
          <w:szCs w:val="24"/>
          <w:rtl/>
        </w:rPr>
        <w:t>נהרי</w:t>
      </w:r>
      <w:r>
        <w:rPr>
          <w:rFonts w:hint="cs"/>
          <w:rtl/>
        </w:rPr>
        <w:t xml:space="preserve"> התבסס באופן מפורש על היקש מסעיף 5(ג) לחוק המתנה, התשכ"ח-1968 המאפשר </w:t>
      </w:r>
      <w:r>
        <w:rPr>
          <w:rFonts w:hint="cs"/>
          <w:rtl/>
        </w:rPr>
        <w:lastRenderedPageBreak/>
        <w:t xml:space="preserve">חזרה מהתחייבות ליתן מתנה בשל התנהגות מחפירה </w:t>
      </w:r>
      <w:r>
        <w:rPr>
          <w:rtl/>
        </w:rPr>
        <w:t>–</w:t>
      </w:r>
      <w:r>
        <w:rPr>
          <w:rFonts w:hint="cs"/>
          <w:rtl/>
        </w:rPr>
        <w:t xml:space="preserve"> ובענייננו, הניאוף המיוחס למבקשת. לגישת השופט </w:t>
      </w:r>
      <w:r w:rsidRPr="001A1C11">
        <w:rPr>
          <w:rFonts w:ascii="Century" w:hAnsi="Century" w:cs="Miriam" w:hint="eastAsia"/>
          <w:b/>
          <w:spacing w:val="0"/>
          <w:szCs w:val="24"/>
          <w:rtl/>
        </w:rPr>
        <w:t>עמית</w:t>
      </w:r>
      <w:r>
        <w:rPr>
          <w:rFonts w:hint="cs"/>
          <w:rtl/>
        </w:rPr>
        <w:t xml:space="preserve">, די היה בפסק דינו של הדיין </w:t>
      </w:r>
      <w:r w:rsidRPr="001A1C11">
        <w:rPr>
          <w:rFonts w:ascii="Century" w:hAnsi="Century" w:cs="Miriam" w:hint="eastAsia"/>
          <w:b/>
          <w:spacing w:val="0"/>
          <w:szCs w:val="24"/>
          <w:rtl/>
        </w:rPr>
        <w:t>נהרי</w:t>
      </w:r>
      <w:r>
        <w:rPr>
          <w:rFonts w:hint="cs"/>
          <w:rtl/>
        </w:rPr>
        <w:t xml:space="preserve">, המבוסס כולו על מתן משקל לבגידת המבקשת, כדי להצדיק התערבותו של  בית משפט זה בפסק דינו של בית הדין הרבני הגדול. עוד ציין השופט </w:t>
      </w:r>
      <w:r w:rsidRPr="001A1C11">
        <w:rPr>
          <w:rFonts w:ascii="Century" w:hAnsi="Century" w:cs="Miriam" w:hint="eastAsia"/>
          <w:b/>
          <w:spacing w:val="0"/>
          <w:szCs w:val="24"/>
          <w:rtl/>
        </w:rPr>
        <w:t>עמית</w:t>
      </w:r>
      <w:r>
        <w:rPr>
          <w:rFonts w:hint="cs"/>
          <w:rtl/>
        </w:rPr>
        <w:t xml:space="preserve"> כי </w:t>
      </w:r>
      <w:r w:rsidRPr="00604EF9">
        <w:rPr>
          <w:rFonts w:hint="cs"/>
          <w:rtl/>
        </w:rPr>
        <w:t xml:space="preserve">הדיין </w:t>
      </w:r>
      <w:r w:rsidRPr="00604EF9">
        <w:rPr>
          <w:rFonts w:ascii="Century" w:hAnsi="Century" w:cs="Miriam" w:hint="cs"/>
          <w:b/>
          <w:spacing w:val="0"/>
          <w:szCs w:val="24"/>
          <w:rtl/>
        </w:rPr>
        <w:t>עמוס</w:t>
      </w:r>
      <w:r w:rsidRPr="00604EF9">
        <w:rPr>
          <w:rFonts w:ascii="Century" w:hAnsi="Century" w:cs="Miriam" w:hint="cs"/>
          <w:b/>
          <w:szCs w:val="24"/>
          <w:rtl/>
        </w:rPr>
        <w:t xml:space="preserve"> </w:t>
      </w:r>
      <w:r w:rsidRPr="00604EF9">
        <w:rPr>
          <w:rFonts w:hint="cs"/>
          <w:rtl/>
        </w:rPr>
        <w:t xml:space="preserve">לא הבחין בין מועד היווצרות השיתוף הספציפי לאורך ציר חיי הנישואין, ככל שנוצר, </w:t>
      </w:r>
      <w:r>
        <w:rPr>
          <w:rFonts w:hint="cs"/>
          <w:rtl/>
        </w:rPr>
        <w:t xml:space="preserve">ובין מועד הבגידה, ומכאן מסקנתו של הדיין </w:t>
      </w:r>
      <w:r w:rsidRPr="007A06B6">
        <w:rPr>
          <w:rFonts w:ascii="Century" w:hAnsi="Century" w:cs="Miriam" w:hint="cs"/>
          <w:b/>
          <w:szCs w:val="24"/>
          <w:rtl/>
        </w:rPr>
        <w:t xml:space="preserve">עמוס </w:t>
      </w:r>
      <w:r w:rsidRPr="00604EF9">
        <w:rPr>
          <w:rFonts w:hint="cs"/>
          <w:rtl/>
        </w:rPr>
        <w:t>כי מעשה הבגידה יכול לשלול שיתוף למפרע</w:t>
      </w:r>
      <w:r>
        <w:rPr>
          <w:rFonts w:hint="cs"/>
          <w:rtl/>
        </w:rPr>
        <w:t xml:space="preserve"> </w:t>
      </w:r>
      <w:r>
        <w:rPr>
          <w:rtl/>
        </w:rPr>
        <w:t>–</w:t>
      </w:r>
      <w:r w:rsidRPr="00604EF9">
        <w:rPr>
          <w:rFonts w:hint="cs"/>
          <w:rtl/>
        </w:rPr>
        <w:t xml:space="preserve"> </w:t>
      </w:r>
      <w:r>
        <w:rPr>
          <w:rFonts w:hint="cs"/>
          <w:rtl/>
        </w:rPr>
        <w:t>תחת ה</w:t>
      </w:r>
      <w:r w:rsidRPr="00604EF9">
        <w:rPr>
          <w:rFonts w:hint="cs"/>
          <w:rtl/>
        </w:rPr>
        <w:t xml:space="preserve">הנחה שהמשיב לא היה מסכים לשיתוף </w:t>
      </w:r>
      <w:r>
        <w:rPr>
          <w:rFonts w:hint="cs"/>
          <w:rtl/>
        </w:rPr>
        <w:t>מ</w:t>
      </w:r>
      <w:r w:rsidRPr="00604EF9">
        <w:rPr>
          <w:rFonts w:hint="cs"/>
          <w:rtl/>
        </w:rPr>
        <w:t xml:space="preserve">לכתחילה </w:t>
      </w:r>
      <w:r>
        <w:rPr>
          <w:rFonts w:hint="cs"/>
          <w:rtl/>
        </w:rPr>
        <w:t>אילו ידע</w:t>
      </w:r>
      <w:r w:rsidRPr="00604EF9">
        <w:rPr>
          <w:rFonts w:hint="cs"/>
          <w:rtl/>
        </w:rPr>
        <w:t xml:space="preserve"> שהמבקשת תבגוד בו ביום מן הימים. </w:t>
      </w:r>
      <w:r>
        <w:rPr>
          <w:rFonts w:hint="cs"/>
          <w:rtl/>
        </w:rPr>
        <w:t xml:space="preserve">נוכח כל זאת סבר השופט </w:t>
      </w:r>
      <w:r w:rsidRPr="00C57004">
        <w:rPr>
          <w:rFonts w:ascii="Century" w:hAnsi="Century" w:cs="Miriam" w:hint="cs"/>
          <w:b/>
          <w:szCs w:val="24"/>
          <w:rtl/>
        </w:rPr>
        <w:t xml:space="preserve">עמית </w:t>
      </w:r>
      <w:r>
        <w:rPr>
          <w:rFonts w:hint="cs"/>
          <w:rtl/>
        </w:rPr>
        <w:t xml:space="preserve">כי בית הדין הרבני הגדול </w:t>
      </w:r>
      <w:r w:rsidRPr="00604EF9">
        <w:rPr>
          <w:rFonts w:hint="cs"/>
          <w:rtl/>
        </w:rPr>
        <w:t>הכניס</w:t>
      </w:r>
      <w:r w:rsidRPr="003114B5">
        <w:rPr>
          <w:rFonts w:ascii="Century" w:hAnsi="Century" w:hint="cs"/>
          <w:rtl/>
        </w:rPr>
        <w:t xml:space="preserve"> </w:t>
      </w:r>
      <w:r w:rsidRPr="00604EF9">
        <w:rPr>
          <w:rFonts w:hint="cs"/>
          <w:rtl/>
        </w:rPr>
        <w:t>את רכיב האשמה לשיקולי חלוקת הרכוש דרך "הדלת הראשית" ולמצער "דרך החלון".</w:t>
      </w:r>
    </w:p>
    <w:p w:rsidR="00FA3A86" w:rsidRPr="00604EF9" w:rsidRDefault="00FA3A86" w:rsidP="00FA3A86">
      <w:pPr>
        <w:pStyle w:val="Ruller41"/>
        <w:rPr>
          <w:rFonts w:ascii="Garamond" w:hAnsi="Garamond"/>
          <w:sz w:val="24"/>
          <w:rtl/>
        </w:rPr>
      </w:pPr>
    </w:p>
    <w:p w:rsidR="00FA3A86" w:rsidRPr="00604EF9" w:rsidRDefault="00FA3A86" w:rsidP="00FA3A86">
      <w:pPr>
        <w:pStyle w:val="Ruller4"/>
      </w:pPr>
      <w:r w:rsidRPr="00604EF9">
        <w:rPr>
          <w:rFonts w:hint="eastAsia"/>
          <w:rtl/>
        </w:rPr>
        <w:t>השופט</w:t>
      </w:r>
      <w:r w:rsidRPr="00604EF9">
        <w:rPr>
          <w:rtl/>
        </w:rPr>
        <w:t xml:space="preserve"> </w:t>
      </w:r>
      <w:r w:rsidRPr="00604EF9">
        <w:rPr>
          <w:rFonts w:ascii="Century" w:hAnsi="Century" w:cs="Miriam" w:hint="eastAsia"/>
          <w:b/>
          <w:spacing w:val="0"/>
          <w:sz w:val="22"/>
          <w:szCs w:val="24"/>
          <w:rtl/>
        </w:rPr>
        <w:t>מינץ</w:t>
      </w:r>
      <w:r w:rsidRPr="00604EF9">
        <w:rPr>
          <w:rtl/>
        </w:rPr>
        <w:t xml:space="preserve"> </w:t>
      </w:r>
      <w:r w:rsidRPr="00604EF9">
        <w:rPr>
          <w:rFonts w:hint="eastAsia"/>
          <w:rtl/>
        </w:rPr>
        <w:t>סבר</w:t>
      </w:r>
      <w:r w:rsidRPr="00604EF9">
        <w:rPr>
          <w:rFonts w:hint="cs"/>
          <w:rtl/>
        </w:rPr>
        <w:t xml:space="preserve"> </w:t>
      </w:r>
      <w:r w:rsidRPr="00604EF9">
        <w:rPr>
          <w:rFonts w:hint="eastAsia"/>
          <w:rtl/>
        </w:rPr>
        <w:t>כי</w:t>
      </w:r>
      <w:r w:rsidRPr="00604EF9">
        <w:rPr>
          <w:rtl/>
        </w:rPr>
        <w:t xml:space="preserve"> </w:t>
      </w:r>
      <w:r w:rsidRPr="00604EF9">
        <w:rPr>
          <w:rFonts w:hint="eastAsia"/>
          <w:rtl/>
        </w:rPr>
        <w:t>דין</w:t>
      </w:r>
      <w:r w:rsidRPr="00604EF9">
        <w:rPr>
          <w:rtl/>
        </w:rPr>
        <w:t xml:space="preserve"> </w:t>
      </w:r>
      <w:r w:rsidRPr="00604EF9">
        <w:rPr>
          <w:rFonts w:hint="eastAsia"/>
          <w:rtl/>
        </w:rPr>
        <w:t>העתיר</w:t>
      </w:r>
      <w:r>
        <w:rPr>
          <w:rFonts w:hint="cs"/>
          <w:rtl/>
        </w:rPr>
        <w:t>ות</w:t>
      </w:r>
      <w:r w:rsidRPr="00604EF9">
        <w:rPr>
          <w:rtl/>
        </w:rPr>
        <w:t xml:space="preserve"> </w:t>
      </w:r>
      <w:r w:rsidRPr="00604EF9">
        <w:rPr>
          <w:rFonts w:hint="eastAsia"/>
          <w:rtl/>
        </w:rPr>
        <w:t>להידחות</w:t>
      </w:r>
      <w:r w:rsidRPr="00604EF9">
        <w:rPr>
          <w:rFonts w:hint="cs"/>
          <w:rtl/>
        </w:rPr>
        <w:t xml:space="preserve">. לגישתו, </w:t>
      </w:r>
      <w:r w:rsidRPr="00604EF9">
        <w:rPr>
          <w:rFonts w:hint="eastAsia"/>
          <w:rtl/>
        </w:rPr>
        <w:t>פסק</w:t>
      </w:r>
      <w:r w:rsidRPr="00604EF9">
        <w:rPr>
          <w:rtl/>
        </w:rPr>
        <w:t xml:space="preserve"> </w:t>
      </w:r>
      <w:r w:rsidRPr="00604EF9">
        <w:rPr>
          <w:rFonts w:hint="cs"/>
          <w:rtl/>
        </w:rPr>
        <w:t xml:space="preserve">דינו </w:t>
      </w:r>
      <w:r w:rsidRPr="00604EF9">
        <w:rPr>
          <w:rFonts w:hint="eastAsia"/>
          <w:rtl/>
        </w:rPr>
        <w:t>של</w:t>
      </w:r>
      <w:r w:rsidRPr="00604EF9">
        <w:rPr>
          <w:rtl/>
        </w:rPr>
        <w:t xml:space="preserve"> </w:t>
      </w:r>
      <w:r w:rsidRPr="00604EF9">
        <w:rPr>
          <w:rFonts w:hint="eastAsia"/>
          <w:rtl/>
        </w:rPr>
        <w:t>בית</w:t>
      </w:r>
      <w:r w:rsidRPr="00604EF9">
        <w:rPr>
          <w:rtl/>
        </w:rPr>
        <w:t xml:space="preserve"> </w:t>
      </w:r>
      <w:r w:rsidRPr="00604EF9">
        <w:rPr>
          <w:rFonts w:hint="eastAsia"/>
          <w:rtl/>
        </w:rPr>
        <w:t>הדין</w:t>
      </w:r>
      <w:r w:rsidRPr="00604EF9">
        <w:rPr>
          <w:rtl/>
        </w:rPr>
        <w:t xml:space="preserve"> </w:t>
      </w:r>
      <w:r w:rsidRPr="00604EF9">
        <w:rPr>
          <w:rFonts w:hint="eastAsia"/>
          <w:rtl/>
        </w:rPr>
        <w:t>הרבני</w:t>
      </w:r>
      <w:r w:rsidRPr="00604EF9">
        <w:rPr>
          <w:rtl/>
        </w:rPr>
        <w:t xml:space="preserve"> </w:t>
      </w:r>
      <w:r w:rsidRPr="00604EF9">
        <w:rPr>
          <w:rFonts w:hint="eastAsia"/>
          <w:rtl/>
        </w:rPr>
        <w:t>הגדול</w:t>
      </w:r>
      <w:r w:rsidRPr="00604EF9">
        <w:rPr>
          <w:rtl/>
        </w:rPr>
        <w:t xml:space="preserve"> </w:t>
      </w:r>
      <w:r w:rsidRPr="00604EF9">
        <w:rPr>
          <w:rFonts w:hint="eastAsia"/>
          <w:rtl/>
        </w:rPr>
        <w:t>ניתן</w:t>
      </w:r>
      <w:r w:rsidRPr="00604EF9">
        <w:rPr>
          <w:rtl/>
        </w:rPr>
        <w:t xml:space="preserve"> </w:t>
      </w:r>
      <w:r w:rsidRPr="00604EF9">
        <w:rPr>
          <w:rFonts w:hint="eastAsia"/>
          <w:rtl/>
        </w:rPr>
        <w:t>על</w:t>
      </w:r>
      <w:r w:rsidRPr="00604EF9">
        <w:rPr>
          <w:rtl/>
        </w:rPr>
        <w:t xml:space="preserve"> </w:t>
      </w:r>
      <w:r w:rsidRPr="00604EF9">
        <w:rPr>
          <w:rFonts w:hint="eastAsia"/>
          <w:rtl/>
        </w:rPr>
        <w:t>בסיס</w:t>
      </w:r>
      <w:r w:rsidRPr="00604EF9">
        <w:rPr>
          <w:rtl/>
        </w:rPr>
        <w:t xml:space="preserve"> </w:t>
      </w:r>
      <w:r w:rsidRPr="00604EF9">
        <w:rPr>
          <w:rFonts w:hint="eastAsia"/>
          <w:rtl/>
        </w:rPr>
        <w:t>קביעות</w:t>
      </w:r>
      <w:r w:rsidRPr="00604EF9">
        <w:rPr>
          <w:rtl/>
        </w:rPr>
        <w:t xml:space="preserve"> </w:t>
      </w:r>
      <w:r w:rsidRPr="00604EF9">
        <w:rPr>
          <w:rFonts w:hint="eastAsia"/>
          <w:rtl/>
        </w:rPr>
        <w:t>עובדתיות</w:t>
      </w:r>
      <w:r w:rsidRPr="00604EF9">
        <w:rPr>
          <w:rtl/>
        </w:rPr>
        <w:t xml:space="preserve"> </w:t>
      </w:r>
      <w:r>
        <w:rPr>
          <w:rFonts w:hint="cs"/>
          <w:rtl/>
        </w:rPr>
        <w:t>ש</w:t>
      </w:r>
      <w:r w:rsidRPr="00604EF9">
        <w:rPr>
          <w:rFonts w:hint="eastAsia"/>
          <w:rtl/>
        </w:rPr>
        <w:t>לפיהן</w:t>
      </w:r>
      <w:r w:rsidRPr="00604EF9">
        <w:rPr>
          <w:rtl/>
        </w:rPr>
        <w:t xml:space="preserve"> </w:t>
      </w:r>
      <w:r w:rsidRPr="00604EF9">
        <w:rPr>
          <w:rFonts w:hint="eastAsia"/>
          <w:rtl/>
        </w:rPr>
        <w:t>לא</w:t>
      </w:r>
      <w:r w:rsidRPr="00604EF9">
        <w:rPr>
          <w:rtl/>
        </w:rPr>
        <w:t xml:space="preserve"> </w:t>
      </w:r>
      <w:r w:rsidRPr="00604EF9">
        <w:rPr>
          <w:rFonts w:hint="eastAsia"/>
          <w:rtl/>
        </w:rPr>
        <w:t>הוכח</w:t>
      </w:r>
      <w:r w:rsidRPr="00604EF9">
        <w:rPr>
          <w:rtl/>
        </w:rPr>
        <w:t xml:space="preserve"> </w:t>
      </w:r>
      <w:r w:rsidRPr="00604EF9">
        <w:rPr>
          <w:rFonts w:hint="eastAsia"/>
          <w:rtl/>
        </w:rPr>
        <w:t>שיתוף</w:t>
      </w:r>
      <w:r w:rsidRPr="00604EF9">
        <w:rPr>
          <w:rtl/>
        </w:rPr>
        <w:t xml:space="preserve"> </w:t>
      </w:r>
      <w:r w:rsidRPr="00604EF9">
        <w:rPr>
          <w:rFonts w:hint="cs"/>
          <w:rtl/>
        </w:rPr>
        <w:t>ספציפי בבית המגורים</w:t>
      </w:r>
      <w:r w:rsidRPr="00604EF9">
        <w:rPr>
          <w:rtl/>
        </w:rPr>
        <w:t>.</w:t>
      </w:r>
      <w:r w:rsidRPr="00604EF9">
        <w:rPr>
          <w:rFonts w:hint="cs"/>
          <w:rtl/>
        </w:rPr>
        <w:t xml:space="preserve"> השופט </w:t>
      </w:r>
      <w:r w:rsidRPr="007824C5">
        <w:rPr>
          <w:rFonts w:ascii="Century" w:hAnsi="Century" w:cs="Miriam" w:hint="cs"/>
          <w:b/>
          <w:spacing w:val="0"/>
          <w:sz w:val="22"/>
          <w:szCs w:val="24"/>
          <w:rtl/>
        </w:rPr>
        <w:t>מינץ</w:t>
      </w:r>
      <w:r w:rsidRPr="007824C5">
        <w:rPr>
          <w:rFonts w:hint="cs"/>
          <w:rtl/>
        </w:rPr>
        <w:t xml:space="preserve"> </w:t>
      </w:r>
      <w:r w:rsidRPr="00604EF9">
        <w:rPr>
          <w:rFonts w:hint="cs"/>
          <w:rtl/>
        </w:rPr>
        <w:t xml:space="preserve">ציין כי אין חולק על תוקפה של ההלכה </w:t>
      </w:r>
      <w:r>
        <w:rPr>
          <w:rFonts w:hint="cs"/>
          <w:rtl/>
        </w:rPr>
        <w:t>ש</w:t>
      </w:r>
      <w:r w:rsidRPr="00604EF9">
        <w:rPr>
          <w:rFonts w:hint="cs"/>
          <w:rtl/>
        </w:rPr>
        <w:t xml:space="preserve">לפיה </w:t>
      </w:r>
      <w:r w:rsidRPr="00604EF9">
        <w:rPr>
          <w:rFonts w:hint="eastAsia"/>
          <w:rtl/>
        </w:rPr>
        <w:t>אין</w:t>
      </w:r>
      <w:r w:rsidRPr="00604EF9">
        <w:rPr>
          <w:rtl/>
        </w:rPr>
        <w:t xml:space="preserve"> </w:t>
      </w:r>
      <w:r w:rsidRPr="00604EF9">
        <w:rPr>
          <w:rFonts w:hint="eastAsia"/>
          <w:rtl/>
        </w:rPr>
        <w:t>בכוחה</w:t>
      </w:r>
      <w:r w:rsidRPr="00604EF9">
        <w:rPr>
          <w:rtl/>
        </w:rPr>
        <w:t xml:space="preserve"> </w:t>
      </w:r>
      <w:r w:rsidRPr="00604EF9">
        <w:rPr>
          <w:rFonts w:hint="eastAsia"/>
          <w:rtl/>
        </w:rPr>
        <w:t>של</w:t>
      </w:r>
      <w:r w:rsidRPr="00604EF9">
        <w:rPr>
          <w:rtl/>
        </w:rPr>
        <w:t xml:space="preserve"> </w:t>
      </w:r>
      <w:r w:rsidRPr="00604EF9">
        <w:rPr>
          <w:rFonts w:hint="eastAsia"/>
          <w:rtl/>
        </w:rPr>
        <w:t>בגידה</w:t>
      </w:r>
      <w:r w:rsidRPr="00604EF9">
        <w:rPr>
          <w:rtl/>
        </w:rPr>
        <w:t xml:space="preserve"> </w:t>
      </w:r>
      <w:r w:rsidRPr="00604EF9">
        <w:rPr>
          <w:rFonts w:hint="eastAsia"/>
          <w:rtl/>
        </w:rPr>
        <w:t>של</w:t>
      </w:r>
      <w:r w:rsidRPr="00604EF9">
        <w:rPr>
          <w:rtl/>
        </w:rPr>
        <w:t xml:space="preserve"> </w:t>
      </w:r>
      <w:r w:rsidRPr="00604EF9">
        <w:rPr>
          <w:rFonts w:hint="eastAsia"/>
          <w:rtl/>
        </w:rPr>
        <w:t>אחד</w:t>
      </w:r>
      <w:r w:rsidRPr="00604EF9">
        <w:rPr>
          <w:rtl/>
        </w:rPr>
        <w:t xml:space="preserve"> </w:t>
      </w:r>
      <w:r w:rsidRPr="00604EF9">
        <w:rPr>
          <w:rFonts w:hint="eastAsia"/>
          <w:rtl/>
        </w:rPr>
        <w:t>מבני</w:t>
      </w:r>
      <w:r w:rsidRPr="00604EF9">
        <w:rPr>
          <w:rtl/>
        </w:rPr>
        <w:t xml:space="preserve"> </w:t>
      </w:r>
      <w:r w:rsidRPr="00604EF9">
        <w:rPr>
          <w:rFonts w:hint="eastAsia"/>
          <w:rtl/>
        </w:rPr>
        <w:t>הזוג</w:t>
      </w:r>
      <w:r w:rsidRPr="00604EF9">
        <w:rPr>
          <w:rtl/>
        </w:rPr>
        <w:t xml:space="preserve"> </w:t>
      </w:r>
      <w:r w:rsidRPr="00604EF9">
        <w:rPr>
          <w:rFonts w:hint="eastAsia"/>
          <w:rtl/>
        </w:rPr>
        <w:t>לבטל</w:t>
      </w:r>
      <w:r w:rsidRPr="00604EF9">
        <w:rPr>
          <w:rtl/>
        </w:rPr>
        <w:t xml:space="preserve"> </w:t>
      </w:r>
      <w:r w:rsidRPr="00604EF9">
        <w:rPr>
          <w:rFonts w:hint="eastAsia"/>
          <w:rtl/>
        </w:rPr>
        <w:t>שיתוף</w:t>
      </w:r>
      <w:r w:rsidRPr="00604EF9">
        <w:rPr>
          <w:rtl/>
        </w:rPr>
        <w:t xml:space="preserve"> </w:t>
      </w:r>
      <w:r w:rsidRPr="00604EF9">
        <w:rPr>
          <w:rFonts w:hint="eastAsia"/>
          <w:rtl/>
        </w:rPr>
        <w:t>שהתגבש</w:t>
      </w:r>
      <w:r w:rsidRPr="00604EF9">
        <w:rPr>
          <w:rtl/>
        </w:rPr>
        <w:t xml:space="preserve">, </w:t>
      </w:r>
      <w:r w:rsidRPr="00604EF9">
        <w:rPr>
          <w:rFonts w:hint="cs"/>
          <w:rtl/>
        </w:rPr>
        <w:t>ככל ש</w:t>
      </w:r>
      <w:r w:rsidRPr="00604EF9">
        <w:rPr>
          <w:rFonts w:hint="eastAsia"/>
          <w:rtl/>
        </w:rPr>
        <w:t>התגבש</w:t>
      </w:r>
      <w:r w:rsidRPr="00604EF9">
        <w:rPr>
          <w:rtl/>
        </w:rPr>
        <w:t xml:space="preserve"> </w:t>
      </w:r>
      <w:r w:rsidRPr="00604EF9">
        <w:rPr>
          <w:rFonts w:hint="eastAsia"/>
          <w:rtl/>
        </w:rPr>
        <w:t>לפני</w:t>
      </w:r>
      <w:r w:rsidRPr="00604EF9">
        <w:rPr>
          <w:rtl/>
        </w:rPr>
        <w:t xml:space="preserve"> </w:t>
      </w:r>
      <w:r w:rsidRPr="00604EF9">
        <w:rPr>
          <w:rFonts w:hint="eastAsia"/>
          <w:rtl/>
        </w:rPr>
        <w:t>הבגידה</w:t>
      </w:r>
      <w:r w:rsidRPr="00604EF9">
        <w:rPr>
          <w:rFonts w:hint="cs"/>
          <w:rtl/>
        </w:rPr>
        <w:t xml:space="preserve">. עם זאת, לגישת השופט </w:t>
      </w:r>
      <w:r w:rsidRPr="007824C5">
        <w:rPr>
          <w:rFonts w:ascii="Century" w:hAnsi="Century" w:cs="Miriam" w:hint="cs"/>
          <w:b/>
          <w:spacing w:val="0"/>
          <w:sz w:val="22"/>
          <w:szCs w:val="24"/>
          <w:rtl/>
        </w:rPr>
        <w:t>מינץ</w:t>
      </w:r>
      <w:r w:rsidRPr="00604EF9">
        <w:rPr>
          <w:rFonts w:hint="cs"/>
          <w:rtl/>
        </w:rPr>
        <w:t xml:space="preserve">, </w:t>
      </w:r>
      <w:r w:rsidRPr="00604EF9">
        <w:rPr>
          <w:rFonts w:hint="eastAsia"/>
          <w:rtl/>
        </w:rPr>
        <w:t>במקרה</w:t>
      </w:r>
      <w:r w:rsidRPr="00604EF9">
        <w:rPr>
          <w:rtl/>
        </w:rPr>
        <w:t xml:space="preserve"> </w:t>
      </w:r>
      <w:r w:rsidRPr="00604EF9">
        <w:rPr>
          <w:rFonts w:hint="cs"/>
          <w:rtl/>
        </w:rPr>
        <w:t>דנן</w:t>
      </w:r>
      <w:r w:rsidRPr="00604EF9">
        <w:rPr>
          <w:rtl/>
        </w:rPr>
        <w:t xml:space="preserve"> </w:t>
      </w:r>
      <w:r w:rsidRPr="00604EF9">
        <w:rPr>
          <w:rFonts w:hint="eastAsia"/>
          <w:rtl/>
        </w:rPr>
        <w:t>לא</w:t>
      </w:r>
      <w:r w:rsidRPr="00604EF9">
        <w:rPr>
          <w:rtl/>
        </w:rPr>
        <w:t xml:space="preserve"> </w:t>
      </w:r>
      <w:r w:rsidRPr="00604EF9">
        <w:rPr>
          <w:rFonts w:hint="eastAsia"/>
          <w:rtl/>
        </w:rPr>
        <w:t>חרג</w:t>
      </w:r>
      <w:r w:rsidRPr="00604EF9">
        <w:rPr>
          <w:rtl/>
        </w:rPr>
        <w:t xml:space="preserve"> </w:t>
      </w:r>
      <w:r w:rsidRPr="00604EF9">
        <w:rPr>
          <w:rFonts w:hint="eastAsia"/>
          <w:rtl/>
        </w:rPr>
        <w:t>בית</w:t>
      </w:r>
      <w:r w:rsidRPr="00604EF9">
        <w:rPr>
          <w:rtl/>
        </w:rPr>
        <w:t xml:space="preserve"> </w:t>
      </w:r>
      <w:r w:rsidRPr="00604EF9">
        <w:rPr>
          <w:rFonts w:hint="eastAsia"/>
          <w:rtl/>
        </w:rPr>
        <w:t>הדין</w:t>
      </w:r>
      <w:r w:rsidRPr="00604EF9">
        <w:rPr>
          <w:rtl/>
        </w:rPr>
        <w:t xml:space="preserve"> </w:t>
      </w:r>
      <w:r w:rsidRPr="00604EF9">
        <w:rPr>
          <w:rFonts w:hint="eastAsia"/>
          <w:rtl/>
        </w:rPr>
        <w:t>הרבני</w:t>
      </w:r>
      <w:r w:rsidRPr="00604EF9">
        <w:rPr>
          <w:rtl/>
        </w:rPr>
        <w:t xml:space="preserve"> </w:t>
      </w:r>
      <w:r w:rsidRPr="00604EF9">
        <w:rPr>
          <w:rFonts w:hint="eastAsia"/>
          <w:rtl/>
        </w:rPr>
        <w:t>הגדול</w:t>
      </w:r>
      <w:r w:rsidRPr="00604EF9">
        <w:rPr>
          <w:rtl/>
        </w:rPr>
        <w:t xml:space="preserve"> </w:t>
      </w:r>
      <w:r w:rsidRPr="00604EF9">
        <w:rPr>
          <w:rFonts w:hint="eastAsia"/>
          <w:rtl/>
        </w:rPr>
        <w:t>מהלכה</w:t>
      </w:r>
      <w:r w:rsidRPr="00604EF9">
        <w:rPr>
          <w:rtl/>
        </w:rPr>
        <w:t xml:space="preserve"> </w:t>
      </w:r>
      <w:r w:rsidRPr="00604EF9">
        <w:rPr>
          <w:rFonts w:hint="eastAsia"/>
          <w:rtl/>
        </w:rPr>
        <w:t>זו</w:t>
      </w:r>
      <w:r w:rsidRPr="00604EF9">
        <w:rPr>
          <w:rFonts w:hint="cs"/>
          <w:rtl/>
        </w:rPr>
        <w:t>,</w:t>
      </w:r>
      <w:r w:rsidRPr="00604EF9">
        <w:rPr>
          <w:rtl/>
        </w:rPr>
        <w:t xml:space="preserve"> </w:t>
      </w:r>
      <w:r w:rsidRPr="00604EF9">
        <w:rPr>
          <w:rFonts w:hint="eastAsia"/>
          <w:rtl/>
        </w:rPr>
        <w:t>שכן</w:t>
      </w:r>
      <w:r w:rsidRPr="00604EF9">
        <w:rPr>
          <w:rtl/>
        </w:rPr>
        <w:t xml:space="preserve"> </w:t>
      </w:r>
      <w:r w:rsidRPr="007824C5">
        <w:rPr>
          <w:rFonts w:ascii="Century" w:hAnsi="Century" w:hint="eastAsia"/>
          <w:sz w:val="22"/>
          <w:rtl/>
        </w:rPr>
        <w:t>התייחסות</w:t>
      </w:r>
      <w:r w:rsidRPr="007824C5">
        <w:rPr>
          <w:rFonts w:ascii="Century" w:hAnsi="Century" w:hint="cs"/>
          <w:sz w:val="22"/>
          <w:rtl/>
        </w:rPr>
        <w:t>ם</w:t>
      </w:r>
      <w:r w:rsidRPr="007824C5">
        <w:rPr>
          <w:rFonts w:hint="cs"/>
          <w:rtl/>
        </w:rPr>
        <w:t xml:space="preserve"> </w:t>
      </w:r>
      <w:r w:rsidRPr="00604EF9">
        <w:rPr>
          <w:rFonts w:hint="cs"/>
          <w:rtl/>
        </w:rPr>
        <w:t>של הדיינים</w:t>
      </w:r>
      <w:r w:rsidRPr="00604EF9">
        <w:rPr>
          <w:rtl/>
        </w:rPr>
        <w:t xml:space="preserve"> </w:t>
      </w:r>
      <w:r w:rsidRPr="00604EF9">
        <w:rPr>
          <w:rFonts w:hint="eastAsia"/>
          <w:rtl/>
        </w:rPr>
        <w:t>לבגידה</w:t>
      </w:r>
      <w:r w:rsidRPr="00604EF9">
        <w:rPr>
          <w:rtl/>
        </w:rPr>
        <w:t xml:space="preserve"> </w:t>
      </w:r>
      <w:r w:rsidRPr="00604EF9">
        <w:rPr>
          <w:rFonts w:hint="cs"/>
          <w:rtl/>
        </w:rPr>
        <w:t>הנטענת הייתה</w:t>
      </w:r>
      <w:r w:rsidRPr="00604EF9">
        <w:rPr>
          <w:rtl/>
        </w:rPr>
        <w:t xml:space="preserve"> </w:t>
      </w:r>
      <w:r w:rsidRPr="00604EF9">
        <w:rPr>
          <w:rFonts w:hint="eastAsia"/>
          <w:rtl/>
        </w:rPr>
        <w:t>למעלה</w:t>
      </w:r>
      <w:r w:rsidRPr="00604EF9">
        <w:rPr>
          <w:rtl/>
        </w:rPr>
        <w:t xml:space="preserve"> </w:t>
      </w:r>
      <w:r w:rsidRPr="00604EF9">
        <w:rPr>
          <w:rFonts w:hint="eastAsia"/>
          <w:rtl/>
        </w:rPr>
        <w:t>מן</w:t>
      </w:r>
      <w:r w:rsidRPr="00604EF9">
        <w:rPr>
          <w:rtl/>
        </w:rPr>
        <w:t xml:space="preserve"> </w:t>
      </w:r>
      <w:r w:rsidRPr="00604EF9">
        <w:rPr>
          <w:rFonts w:hint="eastAsia"/>
          <w:rtl/>
        </w:rPr>
        <w:t>הצורך</w:t>
      </w:r>
      <w:r w:rsidRPr="00604EF9">
        <w:rPr>
          <w:rtl/>
        </w:rPr>
        <w:t xml:space="preserve"> </w:t>
      </w:r>
      <w:r w:rsidRPr="00604EF9">
        <w:rPr>
          <w:rFonts w:hint="eastAsia"/>
          <w:rtl/>
        </w:rPr>
        <w:t>ולא</w:t>
      </w:r>
      <w:r w:rsidRPr="00604EF9">
        <w:rPr>
          <w:rtl/>
        </w:rPr>
        <w:t xml:space="preserve"> </w:t>
      </w:r>
      <w:r w:rsidRPr="00604EF9">
        <w:rPr>
          <w:rFonts w:hint="eastAsia"/>
          <w:rtl/>
        </w:rPr>
        <w:t>כחלק</w:t>
      </w:r>
      <w:r w:rsidRPr="00604EF9">
        <w:rPr>
          <w:rtl/>
        </w:rPr>
        <w:t xml:space="preserve"> </w:t>
      </w:r>
      <w:r w:rsidRPr="00604EF9">
        <w:rPr>
          <w:rFonts w:hint="cs"/>
          <w:rtl/>
        </w:rPr>
        <w:t xml:space="preserve">הכרחי </w:t>
      </w:r>
      <w:r w:rsidRPr="00604EF9">
        <w:rPr>
          <w:rFonts w:hint="eastAsia"/>
          <w:rtl/>
        </w:rPr>
        <w:t>מנימוקי</w:t>
      </w:r>
      <w:r w:rsidRPr="00604EF9">
        <w:rPr>
          <w:rtl/>
        </w:rPr>
        <w:t xml:space="preserve"> </w:t>
      </w:r>
      <w:r w:rsidRPr="00604EF9">
        <w:rPr>
          <w:rFonts w:hint="eastAsia"/>
          <w:rtl/>
        </w:rPr>
        <w:t>פסק</w:t>
      </w:r>
      <w:r w:rsidRPr="00604EF9">
        <w:rPr>
          <w:rtl/>
        </w:rPr>
        <w:t xml:space="preserve"> </w:t>
      </w:r>
      <w:r w:rsidRPr="00604EF9">
        <w:rPr>
          <w:rFonts w:hint="eastAsia"/>
          <w:rtl/>
        </w:rPr>
        <w:t>הדין</w:t>
      </w:r>
      <w:r w:rsidRPr="00604EF9">
        <w:rPr>
          <w:rtl/>
        </w:rPr>
        <w:t>.</w:t>
      </w:r>
      <w:r w:rsidRPr="00604EF9">
        <w:rPr>
          <w:rFonts w:hint="cs"/>
          <w:rtl/>
        </w:rPr>
        <w:t xml:space="preserve"> השופט </w:t>
      </w:r>
      <w:r w:rsidRPr="007824C5">
        <w:rPr>
          <w:rFonts w:ascii="Century" w:hAnsi="Century" w:cs="Miriam" w:hint="cs"/>
          <w:b/>
          <w:spacing w:val="0"/>
          <w:sz w:val="22"/>
          <w:szCs w:val="24"/>
          <w:rtl/>
        </w:rPr>
        <w:t>מינץ</w:t>
      </w:r>
      <w:r w:rsidRPr="007824C5">
        <w:rPr>
          <w:rFonts w:hint="cs"/>
          <w:rtl/>
        </w:rPr>
        <w:t xml:space="preserve"> </w:t>
      </w:r>
      <w:r w:rsidRPr="00604EF9">
        <w:rPr>
          <w:rFonts w:hint="cs"/>
          <w:rtl/>
        </w:rPr>
        <w:t xml:space="preserve">עמד על כך שהדיין </w:t>
      </w:r>
      <w:r w:rsidRPr="007824C5">
        <w:rPr>
          <w:rFonts w:ascii="Century" w:hAnsi="Century" w:cs="Miriam" w:hint="cs"/>
          <w:b/>
          <w:spacing w:val="0"/>
          <w:sz w:val="22"/>
          <w:szCs w:val="24"/>
          <w:rtl/>
        </w:rPr>
        <w:t>אלמליח</w:t>
      </w:r>
      <w:r w:rsidRPr="007824C5">
        <w:rPr>
          <w:rFonts w:hint="cs"/>
          <w:rtl/>
        </w:rPr>
        <w:t xml:space="preserve"> </w:t>
      </w:r>
      <w:r w:rsidRPr="00604EF9">
        <w:rPr>
          <w:rFonts w:hint="cs"/>
          <w:rtl/>
        </w:rPr>
        <w:t>כלל לא הזכיר בחוות דעתו את הבגידה הנטענת</w:t>
      </w:r>
      <w:r>
        <w:rPr>
          <w:rFonts w:hint="cs"/>
          <w:rtl/>
        </w:rPr>
        <w:t>;</w:t>
      </w:r>
      <w:r w:rsidRPr="00604EF9">
        <w:rPr>
          <w:rFonts w:hint="cs"/>
          <w:rtl/>
        </w:rPr>
        <w:t xml:space="preserve"> </w:t>
      </w:r>
      <w:r>
        <w:rPr>
          <w:rFonts w:hint="cs"/>
          <w:rtl/>
        </w:rPr>
        <w:t>על כך</w:t>
      </w:r>
      <w:r w:rsidRPr="00604EF9">
        <w:rPr>
          <w:rFonts w:hint="cs"/>
          <w:rtl/>
        </w:rPr>
        <w:t xml:space="preserve"> </w:t>
      </w:r>
      <w:r>
        <w:rPr>
          <w:rFonts w:hint="cs"/>
          <w:rtl/>
        </w:rPr>
        <w:t>ש</w:t>
      </w:r>
      <w:r w:rsidRPr="00604EF9">
        <w:rPr>
          <w:rFonts w:hint="cs"/>
          <w:rtl/>
        </w:rPr>
        <w:t xml:space="preserve">הדיין </w:t>
      </w:r>
      <w:r w:rsidRPr="007824C5">
        <w:rPr>
          <w:rFonts w:ascii="Century" w:hAnsi="Century" w:cs="Miriam" w:hint="cs"/>
          <w:b/>
          <w:spacing w:val="0"/>
          <w:sz w:val="22"/>
          <w:szCs w:val="24"/>
          <w:rtl/>
        </w:rPr>
        <w:t>עמוס</w:t>
      </w:r>
      <w:r w:rsidRPr="007824C5">
        <w:rPr>
          <w:rFonts w:hint="cs"/>
          <w:rtl/>
        </w:rPr>
        <w:t xml:space="preserve"> </w:t>
      </w:r>
      <w:r>
        <w:rPr>
          <w:rFonts w:hint="cs"/>
          <w:rtl/>
        </w:rPr>
        <w:t xml:space="preserve">ציין </w:t>
      </w:r>
      <w:r w:rsidRPr="00604EF9">
        <w:rPr>
          <w:rFonts w:hint="cs"/>
          <w:rtl/>
        </w:rPr>
        <w:t>שההתייחסות לבגידה הנטענת היא בנוסף ומעבר לנדרש</w:t>
      </w:r>
      <w:r>
        <w:rPr>
          <w:rFonts w:hint="cs"/>
          <w:rtl/>
        </w:rPr>
        <w:t>;</w:t>
      </w:r>
      <w:r w:rsidRPr="00604EF9">
        <w:rPr>
          <w:rFonts w:hint="cs"/>
          <w:rtl/>
        </w:rPr>
        <w:t xml:space="preserve"> ו</w:t>
      </w:r>
      <w:r>
        <w:rPr>
          <w:rFonts w:hint="cs"/>
          <w:rtl/>
        </w:rPr>
        <w:t>על כך ש</w:t>
      </w:r>
      <w:r w:rsidRPr="00604EF9">
        <w:rPr>
          <w:rFonts w:hint="cs"/>
          <w:rtl/>
        </w:rPr>
        <w:t xml:space="preserve">הדיון בפן ההלכתי נעשה בשולי הדברים. לפיכך, מצא השופט </w:t>
      </w:r>
      <w:r w:rsidRPr="007824C5">
        <w:rPr>
          <w:rFonts w:ascii="Century" w:hAnsi="Century" w:cs="Miriam" w:hint="cs"/>
          <w:b/>
          <w:spacing w:val="0"/>
          <w:sz w:val="22"/>
          <w:szCs w:val="24"/>
          <w:rtl/>
        </w:rPr>
        <w:t>מינץ</w:t>
      </w:r>
      <w:r w:rsidRPr="007824C5">
        <w:rPr>
          <w:rFonts w:hint="cs"/>
          <w:rtl/>
        </w:rPr>
        <w:t xml:space="preserve"> </w:t>
      </w:r>
      <w:r w:rsidRPr="00604EF9">
        <w:rPr>
          <w:rFonts w:hint="cs"/>
          <w:rtl/>
        </w:rPr>
        <w:t xml:space="preserve">כי לא ניתן לומר שמסקנת דעת הרוב </w:t>
      </w:r>
      <w:r>
        <w:rPr>
          <w:rFonts w:hint="cs"/>
          <w:rtl/>
        </w:rPr>
        <w:t xml:space="preserve">שיקללה </w:t>
      </w:r>
      <w:r w:rsidRPr="00604EF9">
        <w:rPr>
          <w:rFonts w:hint="cs"/>
          <w:rtl/>
        </w:rPr>
        <w:t xml:space="preserve">נסיבות שאינן רלוונטיות לעניין או </w:t>
      </w:r>
      <w:r>
        <w:rPr>
          <w:rFonts w:hint="cs"/>
          <w:rtl/>
        </w:rPr>
        <w:t>ש</w:t>
      </w:r>
      <w:r w:rsidRPr="00604EF9">
        <w:rPr>
          <w:rFonts w:hint="cs"/>
          <w:rtl/>
        </w:rPr>
        <w:t>בית הדין החיל את הדין הדתי על</w:t>
      </w:r>
      <w:r>
        <w:rPr>
          <w:rFonts w:hint="cs"/>
          <w:rtl/>
        </w:rPr>
        <w:t xml:space="preserve"> נסיבות</w:t>
      </w:r>
      <w:r w:rsidRPr="00604EF9">
        <w:rPr>
          <w:rFonts w:hint="cs"/>
          <w:rtl/>
        </w:rPr>
        <w:t xml:space="preserve"> המקרה. משמצא השופט </w:t>
      </w:r>
      <w:r w:rsidRPr="006946AA">
        <w:rPr>
          <w:rFonts w:ascii="Century" w:hAnsi="Century" w:cs="Miriam" w:hint="cs"/>
          <w:b/>
          <w:spacing w:val="0"/>
          <w:sz w:val="22"/>
          <w:szCs w:val="24"/>
          <w:rtl/>
        </w:rPr>
        <w:t>מינץ</w:t>
      </w:r>
      <w:r w:rsidRPr="006946AA">
        <w:rPr>
          <w:rFonts w:hint="cs"/>
          <w:rtl/>
        </w:rPr>
        <w:t xml:space="preserve"> </w:t>
      </w:r>
      <w:r w:rsidRPr="00604EF9">
        <w:rPr>
          <w:rFonts w:hint="cs"/>
          <w:rtl/>
        </w:rPr>
        <w:t xml:space="preserve">כי בית הדין לא חרג מסמכותו, ובהינתן היקף ההתערבות המצומצם של בית משפט זה </w:t>
      </w:r>
      <w:r>
        <w:rPr>
          <w:rFonts w:hint="cs"/>
          <w:rtl/>
        </w:rPr>
        <w:t>בהחלטות בתי הדין הרבניים</w:t>
      </w:r>
      <w:r w:rsidRPr="00604EF9">
        <w:rPr>
          <w:rFonts w:hint="cs"/>
          <w:rtl/>
        </w:rPr>
        <w:t xml:space="preserve">, </w:t>
      </w:r>
      <w:r>
        <w:rPr>
          <w:rFonts w:hint="cs"/>
          <w:rtl/>
        </w:rPr>
        <w:t>נ</w:t>
      </w:r>
      <w:r w:rsidRPr="00604EF9">
        <w:rPr>
          <w:rFonts w:hint="cs"/>
          <w:rtl/>
        </w:rPr>
        <w:t xml:space="preserve">קבע כי המקרה דנן </w:t>
      </w:r>
      <w:r>
        <w:rPr>
          <w:rFonts w:hint="cs"/>
          <w:rtl/>
        </w:rPr>
        <w:t xml:space="preserve">אינו בא בגדר </w:t>
      </w:r>
      <w:r w:rsidRPr="00604EF9">
        <w:rPr>
          <w:rFonts w:hint="cs"/>
          <w:rtl/>
        </w:rPr>
        <w:t xml:space="preserve">אותם </w:t>
      </w:r>
      <w:r>
        <w:rPr>
          <w:rFonts w:hint="cs"/>
          <w:rtl/>
        </w:rPr>
        <w:t>ה</w:t>
      </w:r>
      <w:r w:rsidRPr="00604EF9">
        <w:rPr>
          <w:rFonts w:hint="cs"/>
          <w:rtl/>
        </w:rPr>
        <w:t>מקרים</w:t>
      </w:r>
      <w:r>
        <w:rPr>
          <w:rFonts w:hint="cs"/>
          <w:rtl/>
        </w:rPr>
        <w:t xml:space="preserve"> החריגים</w:t>
      </w:r>
      <w:r w:rsidRPr="00604EF9">
        <w:rPr>
          <w:rFonts w:hint="cs"/>
          <w:rtl/>
        </w:rPr>
        <w:t xml:space="preserve"> המצדיקים התערבות. </w:t>
      </w:r>
    </w:p>
    <w:p w:rsidR="00FA3A86" w:rsidRPr="00A76C24" w:rsidRDefault="00FA3A86" w:rsidP="00FA3A86">
      <w:pPr>
        <w:pStyle w:val="Ruller4"/>
        <w:numPr>
          <w:ilvl w:val="0"/>
          <w:numId w:val="0"/>
        </w:numPr>
        <w:rPr>
          <w:rtl/>
        </w:rPr>
      </w:pPr>
    </w:p>
    <w:p w:rsidR="00FA3A86" w:rsidRPr="00604EF9" w:rsidRDefault="00FA3A86" w:rsidP="00FA3A86">
      <w:pPr>
        <w:pStyle w:val="Ruller4"/>
        <w:rPr>
          <w:rtl/>
        </w:rPr>
      </w:pPr>
      <w:r w:rsidRPr="00604EF9">
        <w:rPr>
          <w:rFonts w:hint="cs"/>
          <w:rtl/>
        </w:rPr>
        <w:t xml:space="preserve">השופט </w:t>
      </w:r>
      <w:r w:rsidRPr="00606F7E">
        <w:rPr>
          <w:rFonts w:ascii="Century" w:hAnsi="Century" w:cs="Miriam" w:hint="cs"/>
          <w:b/>
          <w:spacing w:val="0"/>
          <w:sz w:val="22"/>
          <w:szCs w:val="24"/>
          <w:rtl/>
        </w:rPr>
        <w:t>שטיין</w:t>
      </w:r>
      <w:r w:rsidRPr="00604EF9">
        <w:rPr>
          <w:rFonts w:hint="cs"/>
          <w:rtl/>
        </w:rPr>
        <w:t xml:space="preserve"> סבר אף הוא כי דין העתיר</w:t>
      </w:r>
      <w:r>
        <w:rPr>
          <w:rFonts w:hint="cs"/>
          <w:rtl/>
        </w:rPr>
        <w:t>ות</w:t>
      </w:r>
      <w:r w:rsidRPr="00604EF9">
        <w:rPr>
          <w:rFonts w:hint="cs"/>
          <w:rtl/>
        </w:rPr>
        <w:t xml:space="preserve"> להידחות משלא קמה עילה להתערבות בפסק הדין</w:t>
      </w:r>
      <w:r>
        <w:rPr>
          <w:rFonts w:hint="cs"/>
          <w:rtl/>
        </w:rPr>
        <w:t xml:space="preserve"> של בית הדין הרבני הגדול</w:t>
      </w:r>
      <w:r w:rsidRPr="00604EF9">
        <w:rPr>
          <w:rFonts w:hint="cs"/>
          <w:rtl/>
        </w:rPr>
        <w:t>.</w:t>
      </w:r>
      <w:r w:rsidRPr="00604EF9">
        <w:rPr>
          <w:rFonts w:hint="eastAsia"/>
          <w:rtl/>
        </w:rPr>
        <w:t xml:space="preserve"> השופט</w:t>
      </w:r>
      <w:r w:rsidRPr="00604EF9">
        <w:rPr>
          <w:rtl/>
        </w:rPr>
        <w:t xml:space="preserve"> </w:t>
      </w:r>
      <w:r w:rsidRPr="00606F7E">
        <w:rPr>
          <w:rFonts w:ascii="Century" w:hAnsi="Century" w:cs="Miriam" w:hint="eastAsia"/>
          <w:b/>
          <w:spacing w:val="0"/>
          <w:sz w:val="22"/>
          <w:szCs w:val="24"/>
          <w:rtl/>
        </w:rPr>
        <w:t>שטיין</w:t>
      </w:r>
      <w:r w:rsidRPr="00606F7E">
        <w:rPr>
          <w:rtl/>
        </w:rPr>
        <w:t xml:space="preserve"> </w:t>
      </w:r>
      <w:r w:rsidRPr="00604EF9">
        <w:rPr>
          <w:rFonts w:hint="eastAsia"/>
          <w:rtl/>
        </w:rPr>
        <w:t>הטעים</w:t>
      </w:r>
      <w:r w:rsidRPr="00604EF9">
        <w:rPr>
          <w:rtl/>
        </w:rPr>
        <w:t xml:space="preserve"> </w:t>
      </w:r>
      <w:r w:rsidRPr="00604EF9">
        <w:rPr>
          <w:rFonts w:hint="eastAsia"/>
          <w:rtl/>
        </w:rPr>
        <w:t>כי</w:t>
      </w:r>
      <w:r w:rsidRPr="00604EF9">
        <w:rPr>
          <w:rtl/>
        </w:rPr>
        <w:t xml:space="preserve"> </w:t>
      </w:r>
      <w:r w:rsidRPr="00604EF9">
        <w:rPr>
          <w:rFonts w:hint="eastAsia"/>
          <w:rtl/>
        </w:rPr>
        <w:t>בה</w:t>
      </w:r>
      <w:r>
        <w:rPr>
          <w:rFonts w:hint="cs"/>
          <w:rtl/>
        </w:rPr>
        <w:t>י</w:t>
      </w:r>
      <w:r>
        <w:rPr>
          <w:rFonts w:hint="eastAsia"/>
          <w:rtl/>
        </w:rPr>
        <w:t>עדר</w:t>
      </w:r>
      <w:r>
        <w:rPr>
          <w:rFonts w:hint="cs"/>
          <w:rtl/>
        </w:rPr>
        <w:t xml:space="preserve"> </w:t>
      </w:r>
      <w:r w:rsidRPr="00604EF9">
        <w:rPr>
          <w:rFonts w:hint="eastAsia"/>
          <w:rtl/>
        </w:rPr>
        <w:t>הסכם</w:t>
      </w:r>
      <w:r w:rsidRPr="00604EF9">
        <w:rPr>
          <w:rtl/>
        </w:rPr>
        <w:t xml:space="preserve"> </w:t>
      </w:r>
      <w:r w:rsidRPr="00604EF9">
        <w:rPr>
          <w:rFonts w:hint="eastAsia"/>
          <w:rtl/>
        </w:rPr>
        <w:t>מפורש</w:t>
      </w:r>
      <w:r w:rsidRPr="00604EF9">
        <w:rPr>
          <w:rtl/>
        </w:rPr>
        <w:t xml:space="preserve">, </w:t>
      </w:r>
      <w:r w:rsidRPr="00604EF9">
        <w:rPr>
          <w:rFonts w:hint="eastAsia"/>
          <w:rtl/>
        </w:rPr>
        <w:t>השאלה</w:t>
      </w:r>
      <w:r w:rsidRPr="00604EF9">
        <w:rPr>
          <w:rtl/>
        </w:rPr>
        <w:t xml:space="preserve"> </w:t>
      </w:r>
      <w:r w:rsidRPr="00604EF9">
        <w:rPr>
          <w:rFonts w:hint="eastAsia"/>
          <w:rtl/>
        </w:rPr>
        <w:t>אם</w:t>
      </w:r>
      <w:r w:rsidRPr="00604EF9">
        <w:rPr>
          <w:rtl/>
        </w:rPr>
        <w:t xml:space="preserve"> </w:t>
      </w:r>
      <w:r w:rsidRPr="00604EF9">
        <w:rPr>
          <w:rFonts w:hint="cs"/>
          <w:rtl/>
        </w:rPr>
        <w:t>נ</w:t>
      </w:r>
      <w:r w:rsidRPr="00604EF9">
        <w:rPr>
          <w:rFonts w:hint="eastAsia"/>
          <w:rtl/>
        </w:rPr>
        <w:t>תקיים</w:t>
      </w:r>
      <w:r w:rsidRPr="00604EF9">
        <w:rPr>
          <w:rtl/>
        </w:rPr>
        <w:t xml:space="preserve"> </w:t>
      </w:r>
      <w:r w:rsidRPr="00604EF9">
        <w:rPr>
          <w:rFonts w:hint="eastAsia"/>
          <w:rtl/>
        </w:rPr>
        <w:t>שיתוף</w:t>
      </w:r>
      <w:r w:rsidRPr="00604EF9">
        <w:rPr>
          <w:rtl/>
        </w:rPr>
        <w:t xml:space="preserve"> </w:t>
      </w:r>
      <w:r w:rsidRPr="00604EF9">
        <w:rPr>
          <w:rFonts w:hint="eastAsia"/>
          <w:rtl/>
        </w:rPr>
        <w:t>בנכס</w:t>
      </w:r>
      <w:r w:rsidRPr="00604EF9">
        <w:rPr>
          <w:rtl/>
        </w:rPr>
        <w:t xml:space="preserve"> </w:t>
      </w:r>
      <w:r w:rsidRPr="00604EF9">
        <w:rPr>
          <w:rFonts w:hint="eastAsia"/>
          <w:rtl/>
        </w:rPr>
        <w:t>היא</w:t>
      </w:r>
      <w:r w:rsidRPr="00604EF9">
        <w:rPr>
          <w:rtl/>
        </w:rPr>
        <w:t xml:space="preserve"> </w:t>
      </w:r>
      <w:r w:rsidRPr="00604EF9">
        <w:rPr>
          <w:rFonts w:hint="eastAsia"/>
          <w:rtl/>
        </w:rPr>
        <w:t>שאלה</w:t>
      </w:r>
      <w:r w:rsidRPr="00604EF9">
        <w:rPr>
          <w:rtl/>
        </w:rPr>
        <w:t xml:space="preserve"> </w:t>
      </w:r>
      <w:r w:rsidRPr="00604EF9">
        <w:rPr>
          <w:rFonts w:hint="eastAsia"/>
          <w:rtl/>
        </w:rPr>
        <w:t>מעורבת</w:t>
      </w:r>
      <w:r w:rsidRPr="00604EF9">
        <w:rPr>
          <w:rtl/>
        </w:rPr>
        <w:t xml:space="preserve"> </w:t>
      </w:r>
      <w:r w:rsidRPr="00604EF9">
        <w:rPr>
          <w:rFonts w:hint="eastAsia"/>
          <w:rtl/>
        </w:rPr>
        <w:t>של</w:t>
      </w:r>
      <w:r w:rsidRPr="00604EF9">
        <w:rPr>
          <w:rtl/>
        </w:rPr>
        <w:t xml:space="preserve"> </w:t>
      </w:r>
      <w:r w:rsidRPr="00604EF9">
        <w:rPr>
          <w:rFonts w:hint="eastAsia"/>
          <w:rtl/>
        </w:rPr>
        <w:t>דין</w:t>
      </w:r>
      <w:r w:rsidRPr="00604EF9">
        <w:rPr>
          <w:rtl/>
        </w:rPr>
        <w:t xml:space="preserve"> </w:t>
      </w:r>
      <w:r w:rsidRPr="00604EF9">
        <w:rPr>
          <w:rFonts w:hint="eastAsia"/>
          <w:rtl/>
        </w:rPr>
        <w:t>ושל</w:t>
      </w:r>
      <w:r w:rsidRPr="00604EF9">
        <w:rPr>
          <w:rtl/>
        </w:rPr>
        <w:t xml:space="preserve"> </w:t>
      </w:r>
      <w:r w:rsidRPr="00604EF9">
        <w:rPr>
          <w:rFonts w:hint="eastAsia"/>
          <w:rtl/>
        </w:rPr>
        <w:t>עובדה</w:t>
      </w:r>
      <w:r w:rsidRPr="00604EF9">
        <w:rPr>
          <w:rFonts w:hint="cs"/>
          <w:rtl/>
        </w:rPr>
        <w:t>,</w:t>
      </w:r>
      <w:r>
        <w:rPr>
          <w:rFonts w:hint="cs"/>
          <w:rtl/>
        </w:rPr>
        <w:t xml:space="preserve"> ועל מנת </w:t>
      </w:r>
      <w:r w:rsidRPr="00604EF9">
        <w:rPr>
          <w:rFonts w:hint="cs"/>
          <w:rtl/>
        </w:rPr>
        <w:t>לענות עליה יש לקבוע ממצאים עובדתיים בדבר קיומה או ה</w:t>
      </w:r>
      <w:r>
        <w:rPr>
          <w:rFonts w:hint="cs"/>
          <w:rtl/>
        </w:rPr>
        <w:t>י</w:t>
      </w:r>
      <w:r w:rsidRPr="00604EF9">
        <w:rPr>
          <w:rFonts w:hint="cs"/>
          <w:rtl/>
        </w:rPr>
        <w:t>עדרה של שות</w:t>
      </w:r>
      <w:r>
        <w:rPr>
          <w:rFonts w:hint="cs"/>
          <w:rtl/>
        </w:rPr>
        <w:t xml:space="preserve">פות </w:t>
      </w:r>
      <w:r w:rsidRPr="00604EF9">
        <w:rPr>
          <w:rFonts w:hint="cs"/>
          <w:rtl/>
        </w:rPr>
        <w:t xml:space="preserve">בין בני הזוג בנכס הספציפי שבו עסקינן. לגישתו של השופט </w:t>
      </w:r>
      <w:r w:rsidRPr="00606F7E">
        <w:rPr>
          <w:rFonts w:ascii="Century" w:hAnsi="Century" w:cs="Miriam" w:hint="cs"/>
          <w:b/>
          <w:spacing w:val="0"/>
          <w:sz w:val="22"/>
          <w:szCs w:val="24"/>
          <w:rtl/>
        </w:rPr>
        <w:t>שטיין</w:t>
      </w:r>
      <w:r>
        <w:rPr>
          <w:rFonts w:ascii="Century" w:hAnsi="Century" w:hint="cs"/>
          <w:sz w:val="22"/>
          <w:rtl/>
        </w:rPr>
        <w:t>,</w:t>
      </w:r>
      <w:r w:rsidRPr="00606F7E">
        <w:rPr>
          <w:rFonts w:hint="cs"/>
          <w:rtl/>
        </w:rPr>
        <w:t xml:space="preserve"> </w:t>
      </w:r>
      <w:r>
        <w:rPr>
          <w:rFonts w:hint="cs"/>
          <w:rtl/>
        </w:rPr>
        <w:t xml:space="preserve">העובדה </w:t>
      </w:r>
      <w:r w:rsidRPr="00604EF9">
        <w:rPr>
          <w:rFonts w:hint="eastAsia"/>
          <w:rtl/>
        </w:rPr>
        <w:t>שבית</w:t>
      </w:r>
      <w:r w:rsidRPr="00604EF9">
        <w:rPr>
          <w:rtl/>
        </w:rPr>
        <w:t xml:space="preserve"> </w:t>
      </w:r>
      <w:r w:rsidRPr="00604EF9">
        <w:rPr>
          <w:rFonts w:hint="eastAsia"/>
          <w:rtl/>
        </w:rPr>
        <w:t>הדין</w:t>
      </w:r>
      <w:r w:rsidRPr="00604EF9">
        <w:rPr>
          <w:rtl/>
        </w:rPr>
        <w:t xml:space="preserve"> </w:t>
      </w:r>
      <w:r w:rsidRPr="00604EF9">
        <w:rPr>
          <w:rFonts w:hint="eastAsia"/>
          <w:rtl/>
        </w:rPr>
        <w:t>הרבני</w:t>
      </w:r>
      <w:r w:rsidRPr="00604EF9">
        <w:rPr>
          <w:rtl/>
        </w:rPr>
        <w:t xml:space="preserve"> </w:t>
      </w:r>
      <w:r w:rsidRPr="00604EF9">
        <w:rPr>
          <w:rFonts w:hint="eastAsia"/>
          <w:rtl/>
        </w:rPr>
        <w:t>הגדול</w:t>
      </w:r>
      <w:r w:rsidRPr="00604EF9">
        <w:rPr>
          <w:rtl/>
        </w:rPr>
        <w:t xml:space="preserve"> </w:t>
      </w:r>
      <w:r>
        <w:rPr>
          <w:rFonts w:hint="cs"/>
          <w:rtl/>
        </w:rPr>
        <w:t xml:space="preserve">כלל </w:t>
      </w:r>
      <w:r w:rsidRPr="00604EF9">
        <w:rPr>
          <w:rFonts w:hint="eastAsia"/>
          <w:rtl/>
        </w:rPr>
        <w:t>את</w:t>
      </w:r>
      <w:r w:rsidRPr="00604EF9">
        <w:rPr>
          <w:rtl/>
        </w:rPr>
        <w:t xml:space="preserve"> </w:t>
      </w:r>
      <w:r>
        <w:rPr>
          <w:rFonts w:hint="cs"/>
          <w:rtl/>
        </w:rPr>
        <w:t xml:space="preserve">בגידתה הנטענת של המבקשת </w:t>
      </w:r>
      <w:r w:rsidRPr="00604EF9">
        <w:rPr>
          <w:rFonts w:hint="eastAsia"/>
          <w:rtl/>
        </w:rPr>
        <w:t>במניין</w:t>
      </w:r>
      <w:r w:rsidRPr="00604EF9">
        <w:rPr>
          <w:rtl/>
        </w:rPr>
        <w:t xml:space="preserve"> </w:t>
      </w:r>
      <w:r w:rsidRPr="00604EF9">
        <w:rPr>
          <w:rFonts w:hint="eastAsia"/>
          <w:rtl/>
        </w:rPr>
        <w:t>שיקולי</w:t>
      </w:r>
      <w:r w:rsidRPr="00604EF9">
        <w:rPr>
          <w:rFonts w:hint="cs"/>
          <w:rtl/>
        </w:rPr>
        <w:t>ו</w:t>
      </w:r>
      <w:r>
        <w:rPr>
          <w:rFonts w:hint="cs"/>
          <w:rtl/>
        </w:rPr>
        <w:t xml:space="preserve"> ו</w:t>
      </w:r>
      <w:r w:rsidRPr="00604EF9">
        <w:rPr>
          <w:rFonts w:hint="cs"/>
          <w:rtl/>
        </w:rPr>
        <w:t>כחלק ממכלול העובדות הרלוונטיות להוכחת קיומה של שותפות מכללא</w:t>
      </w:r>
      <w:r>
        <w:rPr>
          <w:rFonts w:hint="cs"/>
          <w:rtl/>
        </w:rPr>
        <w:t>, אינה בגדר "</w:t>
      </w:r>
      <w:r>
        <w:rPr>
          <w:rFonts w:hint="cs"/>
          <w:color w:val="000000"/>
          <w:sz w:val="28"/>
          <w:rtl/>
        </w:rPr>
        <w:t>טעות גלויה ומוכחת על פני הפסק</w:t>
      </w:r>
      <w:r>
        <w:rPr>
          <w:rFonts w:hint="cs"/>
          <w:rtl/>
        </w:rPr>
        <w:t>" שהיה בה כדי להקים הצדקה להתערבות בית המשפט</w:t>
      </w:r>
      <w:r w:rsidRPr="00604EF9">
        <w:rPr>
          <w:rtl/>
        </w:rPr>
        <w:t>.</w:t>
      </w:r>
      <w:r w:rsidRPr="00604EF9">
        <w:rPr>
          <w:rFonts w:hint="cs"/>
          <w:rtl/>
        </w:rPr>
        <w:t xml:space="preserve"> השופט </w:t>
      </w:r>
      <w:r w:rsidRPr="00606F7E">
        <w:rPr>
          <w:rFonts w:ascii="Century" w:hAnsi="Century" w:cs="Miriam" w:hint="cs"/>
          <w:b/>
          <w:spacing w:val="0"/>
          <w:sz w:val="22"/>
          <w:szCs w:val="24"/>
          <w:rtl/>
        </w:rPr>
        <w:t>שטיין</w:t>
      </w:r>
      <w:r w:rsidRPr="00606F7E">
        <w:rPr>
          <w:rFonts w:hint="cs"/>
          <w:rtl/>
        </w:rPr>
        <w:t xml:space="preserve"> </w:t>
      </w:r>
      <w:r w:rsidRPr="00604EF9">
        <w:rPr>
          <w:rFonts w:hint="cs"/>
          <w:rtl/>
        </w:rPr>
        <w:t>הוסיף וציין כי</w:t>
      </w:r>
      <w:r w:rsidRPr="00604EF9">
        <w:rPr>
          <w:rtl/>
        </w:rPr>
        <w:t xml:space="preserve"> </w:t>
      </w:r>
      <w:r w:rsidRPr="00604EF9">
        <w:rPr>
          <w:rFonts w:hint="cs"/>
          <w:rtl/>
        </w:rPr>
        <w:t xml:space="preserve">נוכח הראיות בתיק ניתן היה להגיע למסקנה אחרת, </w:t>
      </w:r>
      <w:r>
        <w:rPr>
          <w:rFonts w:hint="cs"/>
          <w:rtl/>
        </w:rPr>
        <w:t xml:space="preserve">אך </w:t>
      </w:r>
      <w:r w:rsidRPr="00604EF9">
        <w:rPr>
          <w:rFonts w:hint="cs"/>
          <w:rtl/>
        </w:rPr>
        <w:t xml:space="preserve">הסמכות </w:t>
      </w:r>
      <w:r w:rsidRPr="00604EF9">
        <w:rPr>
          <w:rFonts w:hint="cs"/>
          <w:rtl/>
        </w:rPr>
        <w:lastRenderedPageBreak/>
        <w:t>לקבוע ממצאים עובדתיים</w:t>
      </w:r>
      <w:r>
        <w:rPr>
          <w:rFonts w:hint="cs"/>
          <w:rtl/>
        </w:rPr>
        <w:t xml:space="preserve"> במקרה דנן</w:t>
      </w:r>
      <w:r w:rsidRPr="00604EF9">
        <w:rPr>
          <w:rFonts w:hint="cs"/>
          <w:rtl/>
        </w:rPr>
        <w:t xml:space="preserve"> נתונה לבית הדין האזורי כפוסק ראשון, ולבית הדין הרבני הגדול כפוסק אחרון</w:t>
      </w:r>
      <w:r w:rsidRPr="00604EF9">
        <w:rPr>
          <w:rtl/>
        </w:rPr>
        <w:t xml:space="preserve">. </w:t>
      </w:r>
      <w:r w:rsidRPr="00604EF9">
        <w:rPr>
          <w:rFonts w:hint="cs"/>
          <w:rtl/>
        </w:rPr>
        <w:t>סמכותו של בית משפט זה מסתכמת</w:t>
      </w:r>
      <w:r>
        <w:rPr>
          <w:rFonts w:hint="cs"/>
          <w:rtl/>
        </w:rPr>
        <w:t xml:space="preserve">, לעמדת השופט </w:t>
      </w:r>
      <w:r w:rsidRPr="00606F7E">
        <w:rPr>
          <w:rFonts w:ascii="Century" w:hAnsi="Century" w:cs="Miriam" w:hint="cs"/>
          <w:b/>
          <w:spacing w:val="0"/>
          <w:sz w:val="22"/>
          <w:szCs w:val="24"/>
          <w:rtl/>
        </w:rPr>
        <w:t>שטיין</w:t>
      </w:r>
      <w:r>
        <w:rPr>
          <w:rFonts w:hint="cs"/>
          <w:rtl/>
        </w:rPr>
        <w:t>,</w:t>
      </w:r>
      <w:r w:rsidRPr="00604EF9">
        <w:rPr>
          <w:rFonts w:hint="cs"/>
          <w:rtl/>
        </w:rPr>
        <w:t xml:space="preserve"> בבדיקה אם נפרצו גבולותיה של הסמכות האמורה</w:t>
      </w:r>
      <w:r>
        <w:rPr>
          <w:rFonts w:hint="cs"/>
          <w:rtl/>
        </w:rPr>
        <w:t xml:space="preserve"> </w:t>
      </w:r>
      <w:r>
        <w:rPr>
          <w:rtl/>
        </w:rPr>
        <w:t>–</w:t>
      </w:r>
      <w:r>
        <w:rPr>
          <w:rFonts w:hint="cs"/>
          <w:rtl/>
        </w:rPr>
        <w:t xml:space="preserve"> ו</w:t>
      </w:r>
      <w:r w:rsidRPr="00604EF9">
        <w:rPr>
          <w:rFonts w:hint="cs"/>
          <w:rtl/>
        </w:rPr>
        <w:t xml:space="preserve">השופט </w:t>
      </w:r>
      <w:r w:rsidRPr="00606F7E">
        <w:rPr>
          <w:rFonts w:ascii="Century" w:hAnsi="Century" w:cs="Miriam" w:hint="cs"/>
          <w:b/>
          <w:spacing w:val="0"/>
          <w:sz w:val="22"/>
          <w:szCs w:val="24"/>
          <w:rtl/>
        </w:rPr>
        <w:t>שטיין</w:t>
      </w:r>
      <w:r w:rsidRPr="00604EF9">
        <w:rPr>
          <w:rFonts w:hint="cs"/>
          <w:rtl/>
        </w:rPr>
        <w:t xml:space="preserve"> </w:t>
      </w:r>
      <w:r>
        <w:rPr>
          <w:rFonts w:hint="cs"/>
          <w:rtl/>
        </w:rPr>
        <w:t xml:space="preserve">סבר כי </w:t>
      </w:r>
      <w:r w:rsidRPr="00604EF9">
        <w:rPr>
          <w:rFonts w:hint="cs"/>
          <w:rtl/>
        </w:rPr>
        <w:t xml:space="preserve">בית הדין הרבני </w:t>
      </w:r>
      <w:r>
        <w:rPr>
          <w:rFonts w:hint="cs"/>
          <w:rtl/>
        </w:rPr>
        <w:t xml:space="preserve">הגדול לא </w:t>
      </w:r>
      <w:r w:rsidRPr="00604EF9">
        <w:rPr>
          <w:rFonts w:hint="cs"/>
          <w:rtl/>
        </w:rPr>
        <w:t xml:space="preserve">חרג מסמכותו או טעה טעות </w:t>
      </w:r>
      <w:r>
        <w:rPr>
          <w:rFonts w:hint="cs"/>
          <w:rtl/>
        </w:rPr>
        <w:t>ש</w:t>
      </w:r>
      <w:r w:rsidRPr="00604EF9">
        <w:rPr>
          <w:rFonts w:hint="cs"/>
          <w:rtl/>
        </w:rPr>
        <w:t>בדין ש</w:t>
      </w:r>
      <w:r>
        <w:rPr>
          <w:rFonts w:hint="cs"/>
          <w:rtl/>
        </w:rPr>
        <w:t>הינה</w:t>
      </w:r>
      <w:r w:rsidRPr="00604EF9">
        <w:rPr>
          <w:rFonts w:hint="cs"/>
          <w:rtl/>
        </w:rPr>
        <w:t xml:space="preserve"> גלויה ומוכחת על פני הפסק. </w:t>
      </w:r>
    </w:p>
    <w:p w:rsidR="00FA3A86" w:rsidRPr="00604EF9" w:rsidRDefault="00FA3A86" w:rsidP="00FA3A86">
      <w:pPr>
        <w:pStyle w:val="Ruller41"/>
        <w:rPr>
          <w:rFonts w:ascii="Garamond" w:hAnsi="Garamond"/>
          <w:sz w:val="24"/>
          <w:rtl/>
        </w:rPr>
      </w:pPr>
    </w:p>
    <w:p w:rsidR="00FA3A86" w:rsidRPr="00604EF9" w:rsidRDefault="00FA3A86" w:rsidP="00FA3A86">
      <w:pPr>
        <w:pStyle w:val="Ruller4"/>
        <w:rPr>
          <w:rtl/>
        </w:rPr>
      </w:pPr>
      <w:r>
        <w:rPr>
          <w:rFonts w:hint="cs"/>
          <w:rtl/>
        </w:rPr>
        <w:t xml:space="preserve">לגופם של דברים, </w:t>
      </w:r>
      <w:r w:rsidRPr="00604EF9">
        <w:rPr>
          <w:rFonts w:hint="cs"/>
          <w:rtl/>
        </w:rPr>
        <w:t xml:space="preserve">השופט </w:t>
      </w:r>
      <w:r w:rsidRPr="00324C68">
        <w:rPr>
          <w:rFonts w:ascii="Century" w:hAnsi="Century" w:cs="Miriam" w:hint="cs"/>
          <w:b/>
          <w:spacing w:val="0"/>
          <w:szCs w:val="24"/>
          <w:rtl/>
        </w:rPr>
        <w:t>שטיין</w:t>
      </w:r>
      <w:r w:rsidRPr="00324C68">
        <w:rPr>
          <w:rFonts w:hint="cs"/>
          <w:rtl/>
        </w:rPr>
        <w:t xml:space="preserve"> </w:t>
      </w:r>
      <w:r>
        <w:rPr>
          <w:rFonts w:hint="cs"/>
          <w:rtl/>
        </w:rPr>
        <w:t xml:space="preserve">הוסיף וציין </w:t>
      </w:r>
      <w:r w:rsidRPr="00604EF9">
        <w:rPr>
          <w:rFonts w:hint="cs"/>
          <w:rtl/>
        </w:rPr>
        <w:t xml:space="preserve">כי </w:t>
      </w:r>
      <w:r>
        <w:rPr>
          <w:rFonts w:hint="cs"/>
          <w:rtl/>
        </w:rPr>
        <w:t>ה</w:t>
      </w:r>
      <w:r w:rsidRPr="00604EF9">
        <w:rPr>
          <w:rFonts w:hint="eastAsia"/>
          <w:rtl/>
        </w:rPr>
        <w:t>שינוי</w:t>
      </w:r>
      <w:r w:rsidRPr="00604EF9">
        <w:rPr>
          <w:rtl/>
        </w:rPr>
        <w:t xml:space="preserve"> </w:t>
      </w:r>
      <w:r w:rsidRPr="00604EF9">
        <w:rPr>
          <w:rFonts w:hint="cs"/>
          <w:rtl/>
        </w:rPr>
        <w:t>בדיני הרכוש הזוגי</w:t>
      </w:r>
      <w:r w:rsidRPr="00604EF9">
        <w:rPr>
          <w:rtl/>
        </w:rPr>
        <w:t xml:space="preserve"> </w:t>
      </w:r>
      <w:r w:rsidRPr="00604EF9">
        <w:rPr>
          <w:rFonts w:hint="eastAsia"/>
          <w:rtl/>
        </w:rPr>
        <w:t>שהביא</w:t>
      </w:r>
      <w:r w:rsidRPr="00604EF9">
        <w:rPr>
          <w:rtl/>
        </w:rPr>
        <w:t xml:space="preserve"> </w:t>
      </w:r>
      <w:r w:rsidRPr="00604EF9">
        <w:rPr>
          <w:rFonts w:hint="eastAsia"/>
          <w:rtl/>
        </w:rPr>
        <w:t>עמו</w:t>
      </w:r>
      <w:r w:rsidRPr="00604EF9">
        <w:rPr>
          <w:rtl/>
        </w:rPr>
        <w:t xml:space="preserve"> </w:t>
      </w:r>
      <w:r w:rsidRPr="00604EF9">
        <w:rPr>
          <w:rFonts w:hint="eastAsia"/>
          <w:rtl/>
        </w:rPr>
        <w:t>חוק</w:t>
      </w:r>
      <w:r w:rsidRPr="00604EF9">
        <w:rPr>
          <w:rtl/>
        </w:rPr>
        <w:t xml:space="preserve"> </w:t>
      </w:r>
      <w:r w:rsidRPr="00604EF9">
        <w:rPr>
          <w:rFonts w:hint="eastAsia"/>
          <w:rtl/>
        </w:rPr>
        <w:t>יחסי</w:t>
      </w:r>
      <w:r w:rsidRPr="00604EF9">
        <w:rPr>
          <w:rtl/>
        </w:rPr>
        <w:t xml:space="preserve"> </w:t>
      </w:r>
      <w:r w:rsidRPr="00604EF9">
        <w:rPr>
          <w:rFonts w:hint="eastAsia"/>
          <w:rtl/>
        </w:rPr>
        <w:t>ממון</w:t>
      </w:r>
      <w:r>
        <w:rPr>
          <w:rFonts w:hint="cs"/>
          <w:rtl/>
        </w:rPr>
        <w:t xml:space="preserve"> מבטא</w:t>
      </w:r>
      <w:r w:rsidRPr="00604EF9">
        <w:rPr>
          <w:rtl/>
        </w:rPr>
        <w:t xml:space="preserve"> </w:t>
      </w:r>
      <w:r w:rsidRPr="00604EF9">
        <w:rPr>
          <w:rFonts w:hint="eastAsia"/>
          <w:rtl/>
        </w:rPr>
        <w:t>מעבר</w:t>
      </w:r>
      <w:r w:rsidRPr="00604EF9">
        <w:rPr>
          <w:rFonts w:hint="cs"/>
          <w:rtl/>
        </w:rPr>
        <w:t xml:space="preserve"> </w:t>
      </w:r>
      <w:r>
        <w:rPr>
          <w:rFonts w:hint="cs"/>
          <w:rtl/>
        </w:rPr>
        <w:t xml:space="preserve">קונספטואלי של </w:t>
      </w:r>
      <w:r w:rsidRPr="00604EF9">
        <w:rPr>
          <w:rFonts w:hint="cs"/>
          <w:rtl/>
        </w:rPr>
        <w:t>דיני הרכוש הזוגי</w:t>
      </w:r>
      <w:r w:rsidRPr="00604EF9">
        <w:rPr>
          <w:rtl/>
        </w:rPr>
        <w:t xml:space="preserve"> </w:t>
      </w:r>
      <w:r w:rsidRPr="00604EF9">
        <w:rPr>
          <w:rFonts w:hint="eastAsia"/>
          <w:rtl/>
        </w:rPr>
        <w:t>ממשטר</w:t>
      </w:r>
      <w:r w:rsidRPr="00604EF9">
        <w:rPr>
          <w:rtl/>
        </w:rPr>
        <w:t xml:space="preserve"> </w:t>
      </w:r>
      <w:r w:rsidRPr="00604EF9">
        <w:rPr>
          <w:rFonts w:hint="eastAsia"/>
          <w:rtl/>
        </w:rPr>
        <w:t>של</w:t>
      </w:r>
      <w:r w:rsidRPr="00604EF9">
        <w:rPr>
          <w:rtl/>
        </w:rPr>
        <w:t xml:space="preserve"> </w:t>
      </w:r>
      <w:r w:rsidRPr="00604EF9">
        <w:rPr>
          <w:rFonts w:hint="eastAsia"/>
          <w:rtl/>
        </w:rPr>
        <w:t>מעמד</w:t>
      </w:r>
      <w:r w:rsidRPr="00604EF9">
        <w:rPr>
          <w:rtl/>
        </w:rPr>
        <w:t xml:space="preserve"> </w:t>
      </w:r>
      <w:r w:rsidRPr="00604EF9">
        <w:rPr>
          <w:rFonts w:hint="eastAsia"/>
          <w:rtl/>
        </w:rPr>
        <w:t>למשטר</w:t>
      </w:r>
      <w:r w:rsidRPr="00604EF9">
        <w:rPr>
          <w:rtl/>
        </w:rPr>
        <w:t xml:space="preserve"> </w:t>
      </w:r>
      <w:r w:rsidRPr="00604EF9">
        <w:rPr>
          <w:rFonts w:hint="eastAsia"/>
          <w:rtl/>
        </w:rPr>
        <w:t>של</w:t>
      </w:r>
      <w:r w:rsidRPr="00604EF9">
        <w:rPr>
          <w:rtl/>
        </w:rPr>
        <w:t xml:space="preserve"> </w:t>
      </w:r>
      <w:r w:rsidRPr="00604EF9">
        <w:rPr>
          <w:rFonts w:hint="eastAsia"/>
          <w:rtl/>
        </w:rPr>
        <w:t>חוזה</w:t>
      </w:r>
      <w:r>
        <w:rPr>
          <w:rFonts w:hint="cs"/>
          <w:rtl/>
        </w:rPr>
        <w:t xml:space="preserve">. משטר חוזי מאפשר לבני </w:t>
      </w:r>
      <w:r w:rsidRPr="00604EF9">
        <w:rPr>
          <w:rFonts w:hint="cs"/>
          <w:rtl/>
        </w:rPr>
        <w:t xml:space="preserve">זוג לפעול כיחידה אוטונומית ולקבוע בעצמם את </w:t>
      </w:r>
      <w:r>
        <w:rPr>
          <w:rFonts w:hint="cs"/>
          <w:rtl/>
        </w:rPr>
        <w:t>התוצאות</w:t>
      </w:r>
      <w:r w:rsidRPr="00604EF9">
        <w:rPr>
          <w:rFonts w:hint="cs"/>
          <w:rtl/>
        </w:rPr>
        <w:t xml:space="preserve"> הממוניות של נישואין וגירושין</w:t>
      </w:r>
      <w:r>
        <w:rPr>
          <w:rFonts w:hint="cs"/>
          <w:rtl/>
        </w:rPr>
        <w:t xml:space="preserve">. זאת </w:t>
      </w:r>
      <w:r w:rsidRPr="00604EF9">
        <w:rPr>
          <w:rFonts w:hint="cs"/>
          <w:rtl/>
        </w:rPr>
        <w:t xml:space="preserve">בכפוף להגנות הקבועות </w:t>
      </w:r>
      <w:r>
        <w:rPr>
          <w:rFonts w:hint="cs"/>
          <w:rtl/>
        </w:rPr>
        <w:t>בחוק יחסי ממון ובדיני החוזים מפני ניצול לרעה</w:t>
      </w:r>
      <w:r w:rsidRPr="00604EF9">
        <w:rPr>
          <w:rFonts w:hint="cs"/>
          <w:rtl/>
        </w:rPr>
        <w:t xml:space="preserve">. בהקשר זה ציין השופט </w:t>
      </w:r>
      <w:r w:rsidRPr="00AB2B38">
        <w:rPr>
          <w:rFonts w:ascii="Century" w:hAnsi="Century" w:cs="Miriam" w:hint="cs"/>
          <w:b/>
          <w:spacing w:val="0"/>
          <w:szCs w:val="24"/>
          <w:rtl/>
        </w:rPr>
        <w:t>שטיין</w:t>
      </w:r>
      <w:r w:rsidRPr="00604EF9">
        <w:rPr>
          <w:rFonts w:hint="cs"/>
          <w:rtl/>
        </w:rPr>
        <w:t>:</w:t>
      </w:r>
    </w:p>
    <w:p w:rsidR="00FA3A86" w:rsidRPr="00604EF9" w:rsidRDefault="00FA3A86" w:rsidP="00FA3A86">
      <w:pPr>
        <w:pStyle w:val="Ruller41"/>
        <w:rPr>
          <w:rFonts w:ascii="Garamond" w:hAnsi="Garamond"/>
          <w:sz w:val="24"/>
          <w:rtl/>
        </w:rPr>
      </w:pPr>
    </w:p>
    <w:p w:rsidR="00FA3A86" w:rsidRPr="00604EF9" w:rsidRDefault="00FA3A86" w:rsidP="00FA3A86">
      <w:pPr>
        <w:pStyle w:val="Ruller5"/>
        <w:rPr>
          <w:rtl/>
        </w:rPr>
      </w:pPr>
      <w:r w:rsidRPr="00604EF9">
        <w:rPr>
          <w:rFonts w:hint="cs"/>
          <w:rtl/>
        </w:rPr>
        <w:t>"</w:t>
      </w:r>
      <w:r w:rsidRPr="00604EF9">
        <w:rPr>
          <w:rFonts w:hint="eastAsia"/>
          <w:rtl/>
        </w:rPr>
        <w:t>הסכמות</w:t>
      </w:r>
      <w:r w:rsidRPr="00604EF9">
        <w:rPr>
          <w:rtl/>
        </w:rPr>
        <w:t xml:space="preserve"> </w:t>
      </w:r>
      <w:r w:rsidRPr="00604EF9">
        <w:rPr>
          <w:rFonts w:hint="eastAsia"/>
          <w:rtl/>
        </w:rPr>
        <w:t>בענייני</w:t>
      </w:r>
      <w:r w:rsidRPr="00604EF9">
        <w:rPr>
          <w:rtl/>
        </w:rPr>
        <w:t xml:space="preserve"> </w:t>
      </w:r>
      <w:r w:rsidRPr="00604EF9">
        <w:rPr>
          <w:rFonts w:hint="eastAsia"/>
          <w:rtl/>
        </w:rPr>
        <w:t>רכוש</w:t>
      </w:r>
      <w:r w:rsidRPr="00604EF9">
        <w:rPr>
          <w:rtl/>
        </w:rPr>
        <w:t xml:space="preserve"> </w:t>
      </w:r>
      <w:r w:rsidRPr="00604EF9">
        <w:rPr>
          <w:rFonts w:hint="eastAsia"/>
          <w:rtl/>
        </w:rPr>
        <w:t>אשר</w:t>
      </w:r>
      <w:r w:rsidRPr="00604EF9">
        <w:rPr>
          <w:rtl/>
        </w:rPr>
        <w:t xml:space="preserve"> </w:t>
      </w:r>
      <w:r w:rsidRPr="00604EF9">
        <w:rPr>
          <w:rFonts w:hint="eastAsia"/>
          <w:rtl/>
        </w:rPr>
        <w:t>מתגבשות</w:t>
      </w:r>
      <w:r w:rsidRPr="00604EF9">
        <w:rPr>
          <w:rtl/>
        </w:rPr>
        <w:t xml:space="preserve"> </w:t>
      </w:r>
      <w:r w:rsidRPr="00604EF9">
        <w:rPr>
          <w:rFonts w:hint="eastAsia"/>
          <w:rtl/>
        </w:rPr>
        <w:t>במערכת</w:t>
      </w:r>
      <w:r w:rsidRPr="00604EF9">
        <w:rPr>
          <w:rtl/>
        </w:rPr>
        <w:t xml:space="preserve"> </w:t>
      </w:r>
      <w:r w:rsidRPr="00604EF9">
        <w:rPr>
          <w:rFonts w:hint="eastAsia"/>
          <w:rtl/>
        </w:rPr>
        <w:t>יחסים</w:t>
      </w:r>
      <w:r w:rsidRPr="00604EF9">
        <w:rPr>
          <w:rtl/>
        </w:rPr>
        <w:t xml:space="preserve"> </w:t>
      </w:r>
      <w:r w:rsidRPr="00604EF9">
        <w:rPr>
          <w:rFonts w:hint="eastAsia"/>
          <w:rtl/>
        </w:rPr>
        <w:t>זוגית</w:t>
      </w:r>
      <w:r w:rsidRPr="00604EF9">
        <w:rPr>
          <w:rtl/>
        </w:rPr>
        <w:t xml:space="preserve"> </w:t>
      </w:r>
      <w:r w:rsidRPr="00604EF9">
        <w:rPr>
          <w:rFonts w:hint="eastAsia"/>
          <w:rtl/>
        </w:rPr>
        <w:t>אחת</w:t>
      </w:r>
      <w:r w:rsidRPr="00604EF9">
        <w:rPr>
          <w:rtl/>
        </w:rPr>
        <w:t xml:space="preserve"> </w:t>
      </w:r>
      <w:r w:rsidRPr="00604EF9">
        <w:rPr>
          <w:rFonts w:hint="eastAsia"/>
          <w:rtl/>
        </w:rPr>
        <w:t>אינן</w:t>
      </w:r>
      <w:r w:rsidRPr="00604EF9">
        <w:rPr>
          <w:rtl/>
        </w:rPr>
        <w:t xml:space="preserve"> </w:t>
      </w:r>
      <w:r w:rsidRPr="00604EF9">
        <w:rPr>
          <w:rFonts w:hint="eastAsia"/>
          <w:rtl/>
        </w:rPr>
        <w:t>דומות</w:t>
      </w:r>
      <w:r w:rsidRPr="00604EF9">
        <w:rPr>
          <w:rtl/>
        </w:rPr>
        <w:t xml:space="preserve"> – </w:t>
      </w:r>
      <w:r w:rsidRPr="00604EF9">
        <w:rPr>
          <w:rFonts w:hint="eastAsia"/>
          <w:rtl/>
        </w:rPr>
        <w:t>וממילא</w:t>
      </w:r>
      <w:r w:rsidRPr="00604EF9">
        <w:rPr>
          <w:rtl/>
        </w:rPr>
        <w:t xml:space="preserve"> </w:t>
      </w:r>
      <w:r w:rsidRPr="00604EF9">
        <w:rPr>
          <w:rFonts w:hint="eastAsia"/>
          <w:rtl/>
        </w:rPr>
        <w:t>לא</w:t>
      </w:r>
      <w:r w:rsidRPr="00604EF9">
        <w:rPr>
          <w:rtl/>
        </w:rPr>
        <w:t xml:space="preserve"> </w:t>
      </w:r>
      <w:r w:rsidRPr="00604EF9">
        <w:rPr>
          <w:rFonts w:hint="eastAsia"/>
          <w:rtl/>
        </w:rPr>
        <w:t>צריכות</w:t>
      </w:r>
      <w:r w:rsidRPr="00604EF9">
        <w:rPr>
          <w:rtl/>
        </w:rPr>
        <w:t xml:space="preserve"> </w:t>
      </w:r>
      <w:r w:rsidRPr="00604EF9">
        <w:rPr>
          <w:rFonts w:hint="eastAsia"/>
          <w:rtl/>
        </w:rPr>
        <w:t>להיות</w:t>
      </w:r>
      <w:r w:rsidRPr="00604EF9">
        <w:rPr>
          <w:rtl/>
        </w:rPr>
        <w:t xml:space="preserve"> </w:t>
      </w:r>
      <w:r w:rsidRPr="00604EF9">
        <w:rPr>
          <w:rFonts w:hint="eastAsia"/>
          <w:rtl/>
        </w:rPr>
        <w:t>דומות</w:t>
      </w:r>
      <w:r w:rsidRPr="00604EF9">
        <w:rPr>
          <w:rtl/>
        </w:rPr>
        <w:t xml:space="preserve"> – </w:t>
      </w:r>
      <w:r w:rsidRPr="00604EF9">
        <w:rPr>
          <w:rFonts w:hint="eastAsia"/>
          <w:rtl/>
        </w:rPr>
        <w:t>להסכמות</w:t>
      </w:r>
      <w:r w:rsidRPr="00604EF9">
        <w:rPr>
          <w:rtl/>
        </w:rPr>
        <w:t xml:space="preserve"> </w:t>
      </w:r>
      <w:r w:rsidRPr="00604EF9">
        <w:rPr>
          <w:rFonts w:hint="eastAsia"/>
          <w:rtl/>
        </w:rPr>
        <w:t>אשר</w:t>
      </w:r>
      <w:r w:rsidRPr="00604EF9">
        <w:rPr>
          <w:rtl/>
        </w:rPr>
        <w:t xml:space="preserve"> </w:t>
      </w:r>
      <w:r w:rsidRPr="00604EF9">
        <w:rPr>
          <w:rFonts w:hint="eastAsia"/>
          <w:rtl/>
        </w:rPr>
        <w:t>מתגבשות</w:t>
      </w:r>
      <w:r w:rsidRPr="00604EF9">
        <w:rPr>
          <w:rtl/>
        </w:rPr>
        <w:t xml:space="preserve"> </w:t>
      </w:r>
      <w:r w:rsidRPr="00604EF9">
        <w:rPr>
          <w:rFonts w:hint="eastAsia"/>
          <w:rtl/>
        </w:rPr>
        <w:t>במערכת</w:t>
      </w:r>
      <w:r w:rsidRPr="00604EF9">
        <w:rPr>
          <w:rtl/>
        </w:rPr>
        <w:t xml:space="preserve"> </w:t>
      </w:r>
      <w:r w:rsidRPr="00604EF9">
        <w:rPr>
          <w:rFonts w:hint="eastAsia"/>
          <w:rtl/>
        </w:rPr>
        <w:t>זוגית</w:t>
      </w:r>
      <w:r w:rsidRPr="00604EF9">
        <w:rPr>
          <w:rtl/>
        </w:rPr>
        <w:t xml:space="preserve"> </w:t>
      </w:r>
      <w:r w:rsidRPr="00604EF9">
        <w:rPr>
          <w:rFonts w:hint="eastAsia"/>
          <w:rtl/>
        </w:rPr>
        <w:t>אחרת</w:t>
      </w:r>
      <w:r w:rsidRPr="00604EF9">
        <w:rPr>
          <w:rtl/>
        </w:rPr>
        <w:t xml:space="preserve">. </w:t>
      </w:r>
      <w:r w:rsidRPr="00604EF9">
        <w:rPr>
          <w:rFonts w:hint="eastAsia"/>
          <w:rtl/>
        </w:rPr>
        <w:t>בני</w:t>
      </w:r>
      <w:r w:rsidRPr="00604EF9">
        <w:rPr>
          <w:rtl/>
        </w:rPr>
        <w:t xml:space="preserve"> </w:t>
      </w:r>
      <w:r w:rsidRPr="00604EF9">
        <w:rPr>
          <w:rFonts w:hint="eastAsia"/>
          <w:rtl/>
        </w:rPr>
        <w:t>זוג</w:t>
      </w:r>
      <w:r w:rsidRPr="00604EF9">
        <w:rPr>
          <w:rtl/>
        </w:rPr>
        <w:t xml:space="preserve"> </w:t>
      </w:r>
      <w:r w:rsidRPr="00604EF9">
        <w:rPr>
          <w:rFonts w:hint="eastAsia"/>
          <w:rtl/>
        </w:rPr>
        <w:t>רשאים</w:t>
      </w:r>
      <w:r w:rsidRPr="00604EF9">
        <w:rPr>
          <w:rtl/>
        </w:rPr>
        <w:t xml:space="preserve"> </w:t>
      </w:r>
      <w:r w:rsidRPr="00604EF9">
        <w:rPr>
          <w:rFonts w:hint="eastAsia"/>
          <w:rtl/>
        </w:rPr>
        <w:t>לחיות</w:t>
      </w:r>
      <w:r w:rsidRPr="00604EF9">
        <w:rPr>
          <w:rtl/>
        </w:rPr>
        <w:t xml:space="preserve"> </w:t>
      </w:r>
      <w:r w:rsidRPr="00604EF9">
        <w:rPr>
          <w:rFonts w:hint="eastAsia"/>
          <w:rtl/>
        </w:rPr>
        <w:t>את</w:t>
      </w:r>
      <w:r w:rsidRPr="00604EF9">
        <w:rPr>
          <w:rtl/>
        </w:rPr>
        <w:t xml:space="preserve"> </w:t>
      </w:r>
      <w:r w:rsidRPr="00604EF9">
        <w:rPr>
          <w:rFonts w:hint="eastAsia"/>
          <w:rtl/>
        </w:rPr>
        <w:t>חייהם</w:t>
      </w:r>
      <w:r w:rsidRPr="00604EF9">
        <w:rPr>
          <w:rtl/>
        </w:rPr>
        <w:t xml:space="preserve"> </w:t>
      </w:r>
      <w:r w:rsidRPr="00604EF9">
        <w:rPr>
          <w:rFonts w:hint="eastAsia"/>
          <w:rtl/>
        </w:rPr>
        <w:t>כזוג</w:t>
      </w:r>
      <w:r w:rsidRPr="00604EF9">
        <w:rPr>
          <w:rtl/>
        </w:rPr>
        <w:t xml:space="preserve"> </w:t>
      </w:r>
      <w:r w:rsidRPr="00604EF9">
        <w:rPr>
          <w:rFonts w:hint="eastAsia"/>
          <w:rtl/>
        </w:rPr>
        <w:t>במתכונת</w:t>
      </w:r>
      <w:r w:rsidRPr="00604EF9">
        <w:rPr>
          <w:rtl/>
        </w:rPr>
        <w:t xml:space="preserve"> </w:t>
      </w:r>
      <w:r w:rsidRPr="00604EF9">
        <w:rPr>
          <w:rFonts w:hint="eastAsia"/>
          <w:rtl/>
        </w:rPr>
        <w:t>דתית</w:t>
      </w:r>
      <w:r w:rsidRPr="00604EF9">
        <w:rPr>
          <w:rtl/>
        </w:rPr>
        <w:t xml:space="preserve">, </w:t>
      </w:r>
      <w:r w:rsidRPr="00604EF9">
        <w:rPr>
          <w:rFonts w:hint="eastAsia"/>
          <w:rtl/>
        </w:rPr>
        <w:t>חילונית</w:t>
      </w:r>
      <w:r w:rsidRPr="00604EF9">
        <w:rPr>
          <w:rtl/>
        </w:rPr>
        <w:t xml:space="preserve">, </w:t>
      </w:r>
      <w:r w:rsidRPr="00604EF9">
        <w:rPr>
          <w:rFonts w:hint="eastAsia"/>
          <w:rtl/>
        </w:rPr>
        <w:t>פטריארכלית</w:t>
      </w:r>
      <w:r w:rsidRPr="00604EF9">
        <w:rPr>
          <w:rtl/>
        </w:rPr>
        <w:t xml:space="preserve">, </w:t>
      </w:r>
      <w:r w:rsidRPr="00604EF9">
        <w:rPr>
          <w:rFonts w:hint="eastAsia"/>
          <w:rtl/>
        </w:rPr>
        <w:t>פמיניסטית</w:t>
      </w:r>
      <w:r w:rsidRPr="00604EF9">
        <w:rPr>
          <w:rtl/>
        </w:rPr>
        <w:t xml:space="preserve"> </w:t>
      </w:r>
      <w:r w:rsidRPr="00604EF9">
        <w:rPr>
          <w:rFonts w:hint="eastAsia"/>
          <w:rtl/>
        </w:rPr>
        <w:t>או</w:t>
      </w:r>
      <w:r w:rsidRPr="00604EF9">
        <w:rPr>
          <w:rtl/>
        </w:rPr>
        <w:t xml:space="preserve"> </w:t>
      </w:r>
      <w:r w:rsidRPr="00604EF9">
        <w:rPr>
          <w:rFonts w:hint="eastAsia"/>
          <w:rtl/>
        </w:rPr>
        <w:t>במתכונת</w:t>
      </w:r>
      <w:r w:rsidRPr="00604EF9">
        <w:rPr>
          <w:rtl/>
        </w:rPr>
        <w:t xml:space="preserve"> </w:t>
      </w:r>
      <w:r w:rsidRPr="00604EF9">
        <w:rPr>
          <w:rFonts w:hint="eastAsia"/>
          <w:rtl/>
        </w:rPr>
        <w:t>אחרת</w:t>
      </w:r>
      <w:r w:rsidRPr="00604EF9">
        <w:rPr>
          <w:rtl/>
        </w:rPr>
        <w:t xml:space="preserve"> </w:t>
      </w:r>
      <w:proofErr w:type="spellStart"/>
      <w:r w:rsidRPr="00604EF9">
        <w:rPr>
          <w:rFonts w:hint="eastAsia"/>
          <w:rtl/>
        </w:rPr>
        <w:t>שמתכללת</w:t>
      </w:r>
      <w:proofErr w:type="spellEnd"/>
      <w:r w:rsidRPr="00604EF9">
        <w:rPr>
          <w:rtl/>
        </w:rPr>
        <w:t xml:space="preserve"> </w:t>
      </w:r>
      <w:r w:rsidRPr="00604EF9">
        <w:rPr>
          <w:rFonts w:hint="eastAsia"/>
          <w:rtl/>
        </w:rPr>
        <w:t>בתוכה</w:t>
      </w:r>
      <w:r w:rsidRPr="00604EF9">
        <w:rPr>
          <w:rtl/>
        </w:rPr>
        <w:t xml:space="preserve"> </w:t>
      </w:r>
      <w:r w:rsidRPr="00604EF9">
        <w:rPr>
          <w:rFonts w:hint="eastAsia"/>
          <w:rtl/>
        </w:rPr>
        <w:t>ערכים</w:t>
      </w:r>
      <w:r w:rsidRPr="00604EF9">
        <w:rPr>
          <w:rtl/>
        </w:rPr>
        <w:t xml:space="preserve"> </w:t>
      </w:r>
      <w:r w:rsidRPr="00604EF9">
        <w:rPr>
          <w:rFonts w:hint="eastAsia"/>
          <w:rtl/>
        </w:rPr>
        <w:t>והשקפות</w:t>
      </w:r>
      <w:r w:rsidRPr="00604EF9">
        <w:rPr>
          <w:rtl/>
        </w:rPr>
        <w:t xml:space="preserve"> </w:t>
      </w:r>
      <w:r w:rsidRPr="00604EF9">
        <w:rPr>
          <w:rFonts w:hint="eastAsia"/>
          <w:rtl/>
        </w:rPr>
        <w:t>עולם</w:t>
      </w:r>
      <w:r w:rsidRPr="00604EF9">
        <w:rPr>
          <w:rtl/>
        </w:rPr>
        <w:t xml:space="preserve"> </w:t>
      </w:r>
      <w:r w:rsidRPr="00604EF9">
        <w:rPr>
          <w:rFonts w:hint="eastAsia"/>
          <w:rtl/>
        </w:rPr>
        <w:t>מזה</w:t>
      </w:r>
      <w:r w:rsidRPr="00604EF9">
        <w:rPr>
          <w:rtl/>
        </w:rPr>
        <w:t xml:space="preserve"> </w:t>
      </w:r>
      <w:r w:rsidRPr="00604EF9">
        <w:rPr>
          <w:rFonts w:hint="eastAsia"/>
          <w:rtl/>
        </w:rPr>
        <w:t>ומזה</w:t>
      </w:r>
      <w:r w:rsidRPr="00604EF9">
        <w:rPr>
          <w:rtl/>
        </w:rPr>
        <w:t xml:space="preserve">. </w:t>
      </w:r>
      <w:r w:rsidRPr="00604EF9">
        <w:rPr>
          <w:rFonts w:hint="eastAsia"/>
          <w:rtl/>
        </w:rPr>
        <w:t>כמו</w:t>
      </w:r>
      <w:r w:rsidRPr="00604EF9">
        <w:rPr>
          <w:rtl/>
        </w:rPr>
        <w:t>-</w:t>
      </w:r>
      <w:r w:rsidRPr="00604EF9">
        <w:rPr>
          <w:rFonts w:hint="eastAsia"/>
          <w:rtl/>
        </w:rPr>
        <w:t>כן</w:t>
      </w:r>
      <w:r w:rsidRPr="00604EF9">
        <w:rPr>
          <w:rtl/>
        </w:rPr>
        <w:t xml:space="preserve"> </w:t>
      </w:r>
      <w:r w:rsidRPr="00604EF9">
        <w:rPr>
          <w:rFonts w:hint="eastAsia"/>
          <w:rtl/>
        </w:rPr>
        <w:t>רשאים</w:t>
      </w:r>
      <w:r w:rsidRPr="00604EF9">
        <w:rPr>
          <w:rtl/>
        </w:rPr>
        <w:t xml:space="preserve"> </w:t>
      </w:r>
      <w:r w:rsidRPr="00604EF9">
        <w:rPr>
          <w:rFonts w:hint="eastAsia"/>
          <w:rtl/>
        </w:rPr>
        <w:t>הם</w:t>
      </w:r>
      <w:r w:rsidRPr="00604EF9">
        <w:rPr>
          <w:rtl/>
        </w:rPr>
        <w:t xml:space="preserve"> </w:t>
      </w:r>
      <w:r w:rsidRPr="00604EF9">
        <w:rPr>
          <w:rFonts w:hint="eastAsia"/>
          <w:rtl/>
        </w:rPr>
        <w:t>לאמץ</w:t>
      </w:r>
      <w:r w:rsidRPr="00604EF9">
        <w:rPr>
          <w:rtl/>
        </w:rPr>
        <w:t xml:space="preserve"> </w:t>
      </w:r>
      <w:r w:rsidRPr="00604EF9">
        <w:rPr>
          <w:rFonts w:hint="eastAsia"/>
          <w:rtl/>
        </w:rPr>
        <w:t>לעצמם</w:t>
      </w:r>
      <w:r w:rsidRPr="00604EF9">
        <w:rPr>
          <w:rtl/>
        </w:rPr>
        <w:t xml:space="preserve"> </w:t>
      </w:r>
      <w:r w:rsidRPr="00604EF9">
        <w:rPr>
          <w:rFonts w:hint="eastAsia"/>
          <w:rtl/>
        </w:rPr>
        <w:t>דפוס</w:t>
      </w:r>
      <w:r w:rsidRPr="00604EF9">
        <w:rPr>
          <w:rtl/>
        </w:rPr>
        <w:t xml:space="preserve"> </w:t>
      </w:r>
      <w:r w:rsidRPr="00604EF9">
        <w:rPr>
          <w:rFonts w:hint="eastAsia"/>
          <w:rtl/>
        </w:rPr>
        <w:t>של</w:t>
      </w:r>
      <w:r w:rsidRPr="00604EF9">
        <w:rPr>
          <w:rtl/>
        </w:rPr>
        <w:t xml:space="preserve"> </w:t>
      </w:r>
      <w:r w:rsidRPr="00604EF9">
        <w:rPr>
          <w:rFonts w:hint="eastAsia"/>
          <w:rtl/>
        </w:rPr>
        <w:t>חיים</w:t>
      </w:r>
      <w:r w:rsidRPr="00604EF9">
        <w:rPr>
          <w:rtl/>
        </w:rPr>
        <w:t xml:space="preserve"> </w:t>
      </w:r>
      <w:r w:rsidRPr="00604EF9">
        <w:rPr>
          <w:rFonts w:hint="eastAsia"/>
          <w:rtl/>
        </w:rPr>
        <w:t>אינטימיים</w:t>
      </w:r>
      <w:r w:rsidRPr="00604EF9">
        <w:rPr>
          <w:rtl/>
        </w:rPr>
        <w:t xml:space="preserve"> </w:t>
      </w:r>
      <w:r w:rsidRPr="00604EF9">
        <w:rPr>
          <w:rFonts w:hint="eastAsia"/>
          <w:rtl/>
        </w:rPr>
        <w:t>לפי</w:t>
      </w:r>
      <w:r w:rsidRPr="00604EF9">
        <w:rPr>
          <w:rtl/>
        </w:rPr>
        <w:t xml:space="preserve"> </w:t>
      </w:r>
      <w:r w:rsidRPr="00604EF9">
        <w:rPr>
          <w:rFonts w:hint="eastAsia"/>
          <w:rtl/>
        </w:rPr>
        <w:t>בחירתם</w:t>
      </w:r>
      <w:r w:rsidRPr="00604EF9">
        <w:rPr>
          <w:rtl/>
        </w:rPr>
        <w:t xml:space="preserve">, </w:t>
      </w:r>
      <w:r w:rsidRPr="00604EF9">
        <w:rPr>
          <w:rFonts w:hint="eastAsia"/>
          <w:rtl/>
        </w:rPr>
        <w:t>אשר</w:t>
      </w:r>
      <w:r w:rsidRPr="00604EF9">
        <w:rPr>
          <w:rtl/>
        </w:rPr>
        <w:t xml:space="preserve"> </w:t>
      </w:r>
      <w:r w:rsidRPr="00604EF9">
        <w:rPr>
          <w:rFonts w:hint="eastAsia"/>
          <w:rtl/>
        </w:rPr>
        <w:t>יכלול</w:t>
      </w:r>
      <w:r w:rsidRPr="00604EF9">
        <w:rPr>
          <w:rtl/>
        </w:rPr>
        <w:t xml:space="preserve"> </w:t>
      </w:r>
      <w:r w:rsidRPr="00604EF9">
        <w:rPr>
          <w:rFonts w:hint="eastAsia"/>
          <w:rtl/>
        </w:rPr>
        <w:t>ושלא</w:t>
      </w:r>
      <w:r w:rsidRPr="00604EF9">
        <w:rPr>
          <w:rtl/>
        </w:rPr>
        <w:t xml:space="preserve"> </w:t>
      </w:r>
      <w:r w:rsidRPr="00604EF9">
        <w:rPr>
          <w:rFonts w:hint="eastAsia"/>
          <w:rtl/>
        </w:rPr>
        <w:t>יכלול</w:t>
      </w:r>
      <w:r w:rsidRPr="00604EF9">
        <w:rPr>
          <w:rtl/>
        </w:rPr>
        <w:t xml:space="preserve"> </w:t>
      </w:r>
      <w:r w:rsidRPr="00604EF9">
        <w:rPr>
          <w:rFonts w:hint="eastAsia"/>
          <w:rtl/>
        </w:rPr>
        <w:t>חופש</w:t>
      </w:r>
      <w:r w:rsidRPr="00604EF9">
        <w:rPr>
          <w:rtl/>
        </w:rPr>
        <w:t xml:space="preserve"> </w:t>
      </w:r>
      <w:r w:rsidRPr="00604EF9">
        <w:rPr>
          <w:rFonts w:hint="eastAsia"/>
          <w:rtl/>
        </w:rPr>
        <w:t>מיני</w:t>
      </w:r>
      <w:r w:rsidRPr="00604EF9">
        <w:rPr>
          <w:rtl/>
        </w:rPr>
        <w:t xml:space="preserve">. </w:t>
      </w:r>
      <w:r w:rsidRPr="00604EF9">
        <w:rPr>
          <w:rFonts w:hint="eastAsia"/>
          <w:rtl/>
        </w:rPr>
        <w:t>כל</w:t>
      </w:r>
      <w:r w:rsidRPr="00604EF9">
        <w:rPr>
          <w:rtl/>
        </w:rPr>
        <w:t xml:space="preserve"> </w:t>
      </w:r>
      <w:r w:rsidRPr="00604EF9">
        <w:rPr>
          <w:rFonts w:hint="eastAsia"/>
          <w:rtl/>
        </w:rPr>
        <w:t>אלה</w:t>
      </w:r>
      <w:r w:rsidRPr="00604EF9">
        <w:rPr>
          <w:rtl/>
        </w:rPr>
        <w:t xml:space="preserve"> </w:t>
      </w:r>
      <w:r w:rsidRPr="00604EF9">
        <w:rPr>
          <w:rFonts w:hint="eastAsia"/>
          <w:rtl/>
        </w:rPr>
        <w:t>הם</w:t>
      </w:r>
      <w:r w:rsidRPr="00604EF9">
        <w:rPr>
          <w:rtl/>
        </w:rPr>
        <w:t xml:space="preserve"> </w:t>
      </w:r>
      <w:r w:rsidRPr="00604EF9">
        <w:rPr>
          <w:rFonts w:hint="eastAsia"/>
          <w:rtl/>
        </w:rPr>
        <w:t>עניינם</w:t>
      </w:r>
      <w:r w:rsidRPr="00604EF9">
        <w:rPr>
          <w:rtl/>
        </w:rPr>
        <w:t xml:space="preserve"> </w:t>
      </w:r>
      <w:r w:rsidRPr="00604EF9">
        <w:rPr>
          <w:rFonts w:hint="eastAsia"/>
          <w:rtl/>
        </w:rPr>
        <w:t>הפרטי</w:t>
      </w:r>
      <w:r w:rsidRPr="00604EF9">
        <w:rPr>
          <w:rtl/>
        </w:rPr>
        <w:t xml:space="preserve">, </w:t>
      </w:r>
      <w:r w:rsidRPr="00604EF9">
        <w:rPr>
          <w:rFonts w:hint="eastAsia"/>
          <w:rtl/>
        </w:rPr>
        <w:t>ולא</w:t>
      </w:r>
      <w:r w:rsidRPr="00604EF9">
        <w:rPr>
          <w:rtl/>
        </w:rPr>
        <w:t xml:space="preserve"> </w:t>
      </w:r>
      <w:r w:rsidRPr="00604EF9">
        <w:rPr>
          <w:rFonts w:hint="eastAsia"/>
          <w:rtl/>
        </w:rPr>
        <w:t>ענייננו</w:t>
      </w:r>
      <w:r w:rsidRPr="00604EF9">
        <w:rPr>
          <w:rtl/>
        </w:rPr>
        <w:t xml:space="preserve">. </w:t>
      </w:r>
      <w:r w:rsidRPr="00604EF9">
        <w:rPr>
          <w:rFonts w:hint="eastAsia"/>
          <w:rtl/>
        </w:rPr>
        <w:t>אוטונומיה</w:t>
      </w:r>
      <w:r w:rsidRPr="00604EF9">
        <w:rPr>
          <w:rtl/>
        </w:rPr>
        <w:t xml:space="preserve"> </w:t>
      </w:r>
      <w:r w:rsidRPr="00604EF9">
        <w:rPr>
          <w:rFonts w:hint="eastAsia"/>
          <w:rtl/>
        </w:rPr>
        <w:t>של</w:t>
      </w:r>
      <w:r w:rsidRPr="00604EF9">
        <w:rPr>
          <w:rtl/>
        </w:rPr>
        <w:t xml:space="preserve"> </w:t>
      </w:r>
      <w:r w:rsidRPr="00604EF9">
        <w:rPr>
          <w:rFonts w:hint="eastAsia"/>
          <w:rtl/>
        </w:rPr>
        <w:t>המערכת</w:t>
      </w:r>
      <w:r w:rsidRPr="00604EF9">
        <w:rPr>
          <w:rtl/>
        </w:rPr>
        <w:t xml:space="preserve"> </w:t>
      </w:r>
      <w:r w:rsidRPr="00604EF9">
        <w:rPr>
          <w:rFonts w:hint="eastAsia"/>
          <w:rtl/>
        </w:rPr>
        <w:t>הזוגית</w:t>
      </w:r>
      <w:r w:rsidRPr="00604EF9">
        <w:rPr>
          <w:rtl/>
        </w:rPr>
        <w:t xml:space="preserve"> </w:t>
      </w:r>
      <w:r w:rsidRPr="00604EF9">
        <w:rPr>
          <w:rFonts w:hint="eastAsia"/>
          <w:rtl/>
        </w:rPr>
        <w:t>מחייבת</w:t>
      </w:r>
      <w:r w:rsidRPr="00604EF9">
        <w:rPr>
          <w:rtl/>
        </w:rPr>
        <w:t xml:space="preserve"> </w:t>
      </w:r>
      <w:r w:rsidRPr="00604EF9">
        <w:rPr>
          <w:rFonts w:hint="eastAsia"/>
          <w:rtl/>
        </w:rPr>
        <w:t>אותנו</w:t>
      </w:r>
      <w:r w:rsidRPr="00604EF9">
        <w:rPr>
          <w:rtl/>
        </w:rPr>
        <w:t xml:space="preserve"> </w:t>
      </w:r>
      <w:r w:rsidRPr="00604EF9">
        <w:rPr>
          <w:rFonts w:hint="eastAsia"/>
          <w:rtl/>
        </w:rPr>
        <w:t>לתת</w:t>
      </w:r>
      <w:r w:rsidRPr="00604EF9">
        <w:rPr>
          <w:rtl/>
        </w:rPr>
        <w:t xml:space="preserve"> </w:t>
      </w:r>
      <w:r w:rsidRPr="00604EF9">
        <w:rPr>
          <w:rFonts w:hint="eastAsia"/>
          <w:rtl/>
        </w:rPr>
        <w:t>יחס</w:t>
      </w:r>
      <w:r w:rsidRPr="00604EF9">
        <w:rPr>
          <w:rtl/>
        </w:rPr>
        <w:t xml:space="preserve"> </w:t>
      </w:r>
      <w:r w:rsidRPr="00604EF9">
        <w:rPr>
          <w:rFonts w:hint="eastAsia"/>
          <w:rtl/>
        </w:rPr>
        <w:t>ניטרלי</w:t>
      </w:r>
      <w:r w:rsidRPr="00604EF9">
        <w:rPr>
          <w:rtl/>
        </w:rPr>
        <w:t xml:space="preserve"> </w:t>
      </w:r>
      <w:r w:rsidRPr="00604EF9">
        <w:rPr>
          <w:rFonts w:hint="eastAsia"/>
          <w:rtl/>
        </w:rPr>
        <w:t>ושוויוני</w:t>
      </w:r>
      <w:r w:rsidRPr="00604EF9">
        <w:rPr>
          <w:rtl/>
        </w:rPr>
        <w:t xml:space="preserve"> </w:t>
      </w:r>
      <w:r w:rsidRPr="00604EF9">
        <w:rPr>
          <w:rFonts w:hint="eastAsia"/>
          <w:rtl/>
        </w:rPr>
        <w:t>לכל</w:t>
      </w:r>
      <w:r w:rsidRPr="00604EF9">
        <w:rPr>
          <w:rtl/>
        </w:rPr>
        <w:t xml:space="preserve"> </w:t>
      </w:r>
      <w:r w:rsidRPr="00604EF9">
        <w:rPr>
          <w:rFonts w:hint="eastAsia"/>
          <w:rtl/>
        </w:rPr>
        <w:t>דפוסי</w:t>
      </w:r>
      <w:r w:rsidRPr="00604EF9">
        <w:rPr>
          <w:rtl/>
        </w:rPr>
        <w:t xml:space="preserve"> </w:t>
      </w:r>
      <w:r w:rsidRPr="00604EF9">
        <w:rPr>
          <w:rFonts w:hint="eastAsia"/>
          <w:rtl/>
        </w:rPr>
        <w:t>החיים</w:t>
      </w:r>
      <w:r w:rsidRPr="00604EF9">
        <w:rPr>
          <w:rtl/>
        </w:rPr>
        <w:t xml:space="preserve"> </w:t>
      </w:r>
      <w:r w:rsidRPr="00604EF9">
        <w:rPr>
          <w:rFonts w:hint="eastAsia"/>
          <w:rtl/>
        </w:rPr>
        <w:t>הזוגיים</w:t>
      </w:r>
      <w:r w:rsidRPr="00604EF9">
        <w:rPr>
          <w:rtl/>
        </w:rPr>
        <w:t xml:space="preserve"> </w:t>
      </w:r>
      <w:r w:rsidRPr="00604EF9">
        <w:rPr>
          <w:rFonts w:hint="eastAsia"/>
          <w:rtl/>
        </w:rPr>
        <w:t>ולכל</w:t>
      </w:r>
      <w:r w:rsidRPr="00604EF9">
        <w:rPr>
          <w:rtl/>
        </w:rPr>
        <w:t xml:space="preserve"> </w:t>
      </w:r>
      <w:r w:rsidRPr="00604EF9">
        <w:rPr>
          <w:rFonts w:hint="eastAsia"/>
          <w:rtl/>
        </w:rPr>
        <w:t>הסדרי</w:t>
      </w:r>
      <w:r w:rsidRPr="00604EF9">
        <w:rPr>
          <w:rtl/>
        </w:rPr>
        <w:t xml:space="preserve"> </w:t>
      </w:r>
      <w:r w:rsidRPr="00604EF9">
        <w:rPr>
          <w:rFonts w:hint="eastAsia"/>
          <w:rtl/>
        </w:rPr>
        <w:t>רכוש</w:t>
      </w:r>
      <w:r w:rsidRPr="00604EF9">
        <w:rPr>
          <w:rtl/>
        </w:rPr>
        <w:t xml:space="preserve">, </w:t>
      </w:r>
      <w:r w:rsidRPr="00604EF9">
        <w:rPr>
          <w:rFonts w:hint="eastAsia"/>
          <w:rtl/>
        </w:rPr>
        <w:t>כל</w:t>
      </w:r>
      <w:r w:rsidRPr="00604EF9">
        <w:rPr>
          <w:rtl/>
        </w:rPr>
        <w:t xml:space="preserve"> </w:t>
      </w:r>
      <w:r w:rsidRPr="00604EF9">
        <w:rPr>
          <w:rFonts w:hint="eastAsia"/>
          <w:rtl/>
        </w:rPr>
        <w:t>אימת</w:t>
      </w:r>
      <w:r w:rsidRPr="00604EF9">
        <w:rPr>
          <w:rtl/>
        </w:rPr>
        <w:t xml:space="preserve"> </w:t>
      </w:r>
      <w:r w:rsidRPr="00604EF9">
        <w:rPr>
          <w:rFonts w:hint="eastAsia"/>
          <w:rtl/>
        </w:rPr>
        <w:t>שאין</w:t>
      </w:r>
      <w:r w:rsidRPr="00604EF9">
        <w:rPr>
          <w:rtl/>
        </w:rPr>
        <w:t xml:space="preserve"> </w:t>
      </w:r>
      <w:r w:rsidRPr="00604EF9">
        <w:rPr>
          <w:rFonts w:hint="eastAsia"/>
          <w:rtl/>
        </w:rPr>
        <w:t>מדובר</w:t>
      </w:r>
      <w:r w:rsidRPr="00604EF9">
        <w:rPr>
          <w:rtl/>
        </w:rPr>
        <w:t xml:space="preserve"> </w:t>
      </w:r>
      <w:r w:rsidRPr="00604EF9">
        <w:rPr>
          <w:rFonts w:hint="eastAsia"/>
          <w:rtl/>
        </w:rPr>
        <w:t>בניצול</w:t>
      </w:r>
      <w:r w:rsidRPr="00604EF9">
        <w:rPr>
          <w:rtl/>
        </w:rPr>
        <w:t xml:space="preserve"> </w:t>
      </w:r>
      <w:r w:rsidRPr="00604EF9">
        <w:rPr>
          <w:rFonts w:hint="eastAsia"/>
          <w:rtl/>
        </w:rPr>
        <w:t>לרעה</w:t>
      </w:r>
      <w:r w:rsidRPr="00604EF9">
        <w:rPr>
          <w:rtl/>
        </w:rPr>
        <w:t xml:space="preserve"> </w:t>
      </w:r>
      <w:r w:rsidRPr="00604EF9">
        <w:rPr>
          <w:rFonts w:hint="eastAsia"/>
          <w:rtl/>
        </w:rPr>
        <w:t>האסור</w:t>
      </w:r>
      <w:r w:rsidRPr="00604EF9">
        <w:rPr>
          <w:rtl/>
        </w:rPr>
        <w:t xml:space="preserve"> </w:t>
      </w:r>
      <w:r w:rsidRPr="00604EF9">
        <w:rPr>
          <w:rFonts w:hint="eastAsia"/>
          <w:rtl/>
        </w:rPr>
        <w:t>על</w:t>
      </w:r>
      <w:r w:rsidRPr="00604EF9">
        <w:rPr>
          <w:rtl/>
        </w:rPr>
        <w:t>-</w:t>
      </w:r>
      <w:r w:rsidRPr="00604EF9">
        <w:rPr>
          <w:rFonts w:hint="eastAsia"/>
          <w:rtl/>
        </w:rPr>
        <w:t>פי</w:t>
      </w:r>
      <w:r w:rsidRPr="00604EF9">
        <w:rPr>
          <w:rtl/>
        </w:rPr>
        <w:t xml:space="preserve"> </w:t>
      </w:r>
      <w:r w:rsidRPr="00604EF9">
        <w:rPr>
          <w:rFonts w:hint="eastAsia"/>
          <w:rtl/>
        </w:rPr>
        <w:t>הדין</w:t>
      </w:r>
      <w:r w:rsidRPr="00604EF9">
        <w:rPr>
          <w:rFonts w:hint="cs"/>
          <w:rtl/>
        </w:rPr>
        <w:t>" (פסקה 7 לחוות דעתו).</w:t>
      </w:r>
    </w:p>
    <w:p w:rsidR="00FA3A86" w:rsidRPr="00604EF9" w:rsidRDefault="00FA3A86" w:rsidP="00FA3A86">
      <w:pPr>
        <w:pStyle w:val="Ruller4"/>
        <w:numPr>
          <w:ilvl w:val="0"/>
          <w:numId w:val="0"/>
        </w:numPr>
        <w:rPr>
          <w:rtl/>
        </w:rPr>
      </w:pPr>
    </w:p>
    <w:p w:rsidR="00FA3A86" w:rsidRPr="00604EF9" w:rsidRDefault="00FA3A86" w:rsidP="00FA3A86">
      <w:pPr>
        <w:pStyle w:val="Ruller4"/>
        <w:numPr>
          <w:ilvl w:val="0"/>
          <w:numId w:val="0"/>
        </w:numPr>
        <w:rPr>
          <w:rtl/>
        </w:rPr>
      </w:pPr>
      <w:r>
        <w:rPr>
          <w:rtl/>
        </w:rPr>
        <w:tab/>
      </w:r>
      <w:r w:rsidRPr="00604EF9">
        <w:rPr>
          <w:rFonts w:hint="cs"/>
          <w:rtl/>
        </w:rPr>
        <w:t xml:space="preserve">השופט </w:t>
      </w:r>
      <w:r w:rsidRPr="003968D3">
        <w:rPr>
          <w:rFonts w:ascii="Century" w:hAnsi="Century" w:cs="Miriam" w:hint="cs"/>
          <w:b/>
          <w:spacing w:val="0"/>
          <w:sz w:val="22"/>
          <w:szCs w:val="24"/>
          <w:rtl/>
        </w:rPr>
        <w:t>שטיין</w:t>
      </w:r>
      <w:r w:rsidRPr="003968D3">
        <w:rPr>
          <w:rFonts w:hint="cs"/>
          <w:rtl/>
        </w:rPr>
        <w:t xml:space="preserve"> </w:t>
      </w:r>
      <w:r>
        <w:rPr>
          <w:rFonts w:hint="cs"/>
          <w:rtl/>
        </w:rPr>
        <w:t>הסכים</w:t>
      </w:r>
      <w:r w:rsidRPr="00604EF9">
        <w:rPr>
          <w:rFonts w:hint="cs"/>
          <w:rtl/>
        </w:rPr>
        <w:t xml:space="preserve"> עם השופט </w:t>
      </w:r>
      <w:r w:rsidRPr="00604EF9">
        <w:rPr>
          <w:rFonts w:ascii="Century" w:hAnsi="Century" w:cs="Miriam" w:hint="cs"/>
          <w:b/>
          <w:sz w:val="22"/>
          <w:szCs w:val="24"/>
          <w:rtl/>
        </w:rPr>
        <w:t>עמית</w:t>
      </w:r>
      <w:r w:rsidRPr="00604EF9">
        <w:rPr>
          <w:rFonts w:hint="cs"/>
          <w:rtl/>
        </w:rPr>
        <w:t xml:space="preserve"> שהדין האזרחי אינו מתיר שלילת רכוש מבן זוג אשר </w:t>
      </w:r>
      <w:r>
        <w:rPr>
          <w:rFonts w:hint="cs"/>
          <w:rtl/>
        </w:rPr>
        <w:t>"ב</w:t>
      </w:r>
      <w:r w:rsidRPr="00604EF9">
        <w:rPr>
          <w:rFonts w:hint="cs"/>
          <w:rtl/>
        </w:rPr>
        <w:t xml:space="preserve">גד" </w:t>
      </w:r>
      <w:r>
        <w:rPr>
          <w:rFonts w:hint="cs"/>
          <w:rtl/>
        </w:rPr>
        <w:t xml:space="preserve">במשנהו; ואולם, לגישתו, השאלה שהוצבה לפתחו של בית המשפט בענייננו נסובה על "נתינה ולא על לקיחה", קרי </w:t>
      </w:r>
      <w:r w:rsidRPr="00604EF9">
        <w:rPr>
          <w:rFonts w:hint="cs"/>
          <w:rtl/>
        </w:rPr>
        <w:t xml:space="preserve">אם התנהלות הזוג במהלך נישואיהם מלמדת </w:t>
      </w:r>
      <w:r>
        <w:rPr>
          <w:rFonts w:hint="cs"/>
          <w:rtl/>
        </w:rPr>
        <w:t xml:space="preserve">שהמשיב </w:t>
      </w:r>
      <w:r w:rsidRPr="00604EF9">
        <w:rPr>
          <w:rFonts w:hint="cs"/>
          <w:rtl/>
        </w:rPr>
        <w:t xml:space="preserve">הסכים לשתף את </w:t>
      </w:r>
      <w:r>
        <w:rPr>
          <w:rFonts w:hint="cs"/>
          <w:rtl/>
        </w:rPr>
        <w:t>המבקשת</w:t>
      </w:r>
      <w:r w:rsidRPr="00604EF9">
        <w:rPr>
          <w:rFonts w:hint="cs"/>
          <w:rtl/>
        </w:rPr>
        <w:t xml:space="preserve">, ללא תנאי, בזכויות בבית המגורים. </w:t>
      </w:r>
      <w:r>
        <w:rPr>
          <w:rFonts w:hint="cs"/>
          <w:rtl/>
        </w:rPr>
        <w:t xml:space="preserve">לשיטת השופט </w:t>
      </w:r>
      <w:r w:rsidRPr="00BE1F23">
        <w:rPr>
          <w:rFonts w:ascii="Century" w:hAnsi="Century" w:cs="Miriam" w:hint="cs"/>
          <w:b/>
          <w:spacing w:val="0"/>
          <w:sz w:val="22"/>
          <w:szCs w:val="24"/>
          <w:rtl/>
        </w:rPr>
        <w:t>שטיין</w:t>
      </w:r>
      <w:r>
        <w:rPr>
          <w:rFonts w:hint="cs"/>
          <w:rtl/>
        </w:rPr>
        <w:t xml:space="preserve"> אין מדובר בשלילת רכוש מבן הזוג מחמת </w:t>
      </w:r>
      <w:r w:rsidRPr="00604EF9">
        <w:rPr>
          <w:rFonts w:hint="cs"/>
          <w:rtl/>
        </w:rPr>
        <w:t>בגידה</w:t>
      </w:r>
      <w:r>
        <w:rPr>
          <w:rFonts w:hint="cs"/>
          <w:rtl/>
        </w:rPr>
        <w:t xml:space="preserve"> אלא </w:t>
      </w:r>
      <w:r w:rsidRPr="00604EF9">
        <w:rPr>
          <w:rFonts w:hint="cs"/>
          <w:rtl/>
        </w:rPr>
        <w:t>ב</w:t>
      </w:r>
      <w:r>
        <w:rPr>
          <w:rFonts w:hint="cs"/>
          <w:rtl/>
        </w:rPr>
        <w:t xml:space="preserve">שאלת </w:t>
      </w:r>
      <w:r w:rsidRPr="00604EF9">
        <w:rPr>
          <w:rFonts w:hint="cs"/>
          <w:rtl/>
        </w:rPr>
        <w:t>קיומה של הקניית זכות</w:t>
      </w:r>
      <w:r>
        <w:rPr>
          <w:rFonts w:hint="cs"/>
          <w:rtl/>
        </w:rPr>
        <w:t>, אשר לא הוקנתה למבקשת</w:t>
      </w:r>
      <w:r w:rsidRPr="00604EF9">
        <w:rPr>
          <w:rFonts w:hint="cs"/>
          <w:rtl/>
        </w:rPr>
        <w:t xml:space="preserve"> אך בשל נישואיה למשיב</w:t>
      </w:r>
      <w:r>
        <w:rPr>
          <w:rFonts w:hint="cs"/>
          <w:rtl/>
        </w:rPr>
        <w:t>.</w:t>
      </w:r>
      <w:r w:rsidRPr="00604EF9">
        <w:rPr>
          <w:rFonts w:hint="cs"/>
          <w:rtl/>
        </w:rPr>
        <w:t xml:space="preserve"> </w:t>
      </w:r>
      <w:r>
        <w:rPr>
          <w:rFonts w:hint="cs"/>
          <w:rtl/>
        </w:rPr>
        <w:t>בהקשר זה</w:t>
      </w:r>
      <w:r w:rsidRPr="00604EF9">
        <w:rPr>
          <w:rFonts w:hint="cs"/>
          <w:rtl/>
        </w:rPr>
        <w:t xml:space="preserve"> </w:t>
      </w:r>
      <w:r>
        <w:rPr>
          <w:rFonts w:hint="cs"/>
          <w:rtl/>
        </w:rPr>
        <w:t xml:space="preserve">ציין השופט </w:t>
      </w:r>
      <w:r w:rsidRPr="00A51889">
        <w:rPr>
          <w:rFonts w:ascii="Century" w:hAnsi="Century" w:cs="Miriam" w:hint="cs"/>
          <w:b/>
          <w:spacing w:val="0"/>
          <w:sz w:val="22"/>
          <w:szCs w:val="24"/>
          <w:rtl/>
        </w:rPr>
        <w:t>שטיין</w:t>
      </w:r>
      <w:r>
        <w:rPr>
          <w:rFonts w:hint="cs"/>
          <w:rtl/>
        </w:rPr>
        <w:t xml:space="preserve"> כי קיימת </w:t>
      </w:r>
      <w:r w:rsidRPr="00604EF9">
        <w:rPr>
          <w:rFonts w:hint="cs"/>
          <w:rtl/>
        </w:rPr>
        <w:t xml:space="preserve">חשיבות מכרעת לכוונתו של בן הזוג שהוא בעל הנכס, ושומה על בית המשפט לשמור על יחס ניטרלי </w:t>
      </w:r>
      <w:r>
        <w:rPr>
          <w:rFonts w:hint="cs"/>
          <w:rtl/>
        </w:rPr>
        <w:t>כלפי</w:t>
      </w:r>
      <w:r w:rsidRPr="00604EF9">
        <w:rPr>
          <w:rFonts w:hint="cs"/>
          <w:rtl/>
        </w:rPr>
        <w:t xml:space="preserve"> הדפוסים השונים של חיי נישואין וזוגיות כפי שהם באים לידי ביטוי במערכות יחסים ספציפיות ולאכוף כוונות אלה</w:t>
      </w:r>
      <w:r>
        <w:rPr>
          <w:rFonts w:hint="cs"/>
          <w:rtl/>
        </w:rPr>
        <w:t xml:space="preserve"> של בני הזוג</w:t>
      </w:r>
      <w:r w:rsidRPr="00604EF9">
        <w:rPr>
          <w:rFonts w:hint="cs"/>
          <w:rtl/>
        </w:rPr>
        <w:t xml:space="preserve">. השופט </w:t>
      </w:r>
      <w:r w:rsidRPr="00B34525">
        <w:rPr>
          <w:rFonts w:ascii="Century" w:hAnsi="Century" w:cs="Miriam" w:hint="cs"/>
          <w:b/>
          <w:spacing w:val="0"/>
          <w:sz w:val="22"/>
          <w:szCs w:val="24"/>
          <w:rtl/>
        </w:rPr>
        <w:t>שטיין</w:t>
      </w:r>
      <w:r w:rsidRPr="00B34525">
        <w:rPr>
          <w:rFonts w:hint="cs"/>
          <w:rtl/>
        </w:rPr>
        <w:t xml:space="preserve"> </w:t>
      </w:r>
      <w:r w:rsidRPr="00604EF9">
        <w:rPr>
          <w:rFonts w:hint="cs"/>
          <w:rtl/>
        </w:rPr>
        <w:t xml:space="preserve">הוסיף וציין כי הסכם מכללא בין בני זוג, הנגזר מדפוס החיים </w:t>
      </w:r>
      <w:r>
        <w:rPr>
          <w:rFonts w:hint="cs"/>
          <w:rtl/>
        </w:rPr>
        <w:t>ש</w:t>
      </w:r>
      <w:r w:rsidRPr="00604EF9">
        <w:rPr>
          <w:rFonts w:hint="cs"/>
          <w:rtl/>
        </w:rPr>
        <w:t>בו בחרו, יכול גם לקבוע כי הענקת שותפות שוות-זכויות בנכס לבן הזוג תתבטל במקרה של "בגידה</w:t>
      </w:r>
      <w:r>
        <w:rPr>
          <w:rFonts w:hint="cs"/>
          <w:rtl/>
        </w:rPr>
        <w:t xml:space="preserve">" </w:t>
      </w:r>
      <w:r>
        <w:rPr>
          <w:rtl/>
        </w:rPr>
        <w:t>–</w:t>
      </w:r>
      <w:r w:rsidRPr="00604EF9">
        <w:rPr>
          <w:rFonts w:hint="cs"/>
          <w:rtl/>
        </w:rPr>
        <w:t xml:space="preserve"> </w:t>
      </w:r>
      <w:r>
        <w:rPr>
          <w:rFonts w:hint="cs"/>
          <w:rtl/>
        </w:rPr>
        <w:t>ו</w:t>
      </w:r>
      <w:r w:rsidRPr="00604EF9">
        <w:rPr>
          <w:rFonts w:hint="cs"/>
          <w:rtl/>
        </w:rPr>
        <w:t>בכך</w:t>
      </w:r>
      <w:r>
        <w:rPr>
          <w:rFonts w:hint="cs"/>
          <w:rtl/>
        </w:rPr>
        <w:t>, לשיטתו,</w:t>
      </w:r>
      <w:r w:rsidRPr="00604EF9">
        <w:rPr>
          <w:rFonts w:hint="cs"/>
          <w:rtl/>
        </w:rPr>
        <w:t xml:space="preserve"> </w:t>
      </w:r>
      <w:r>
        <w:rPr>
          <w:rFonts w:hint="cs"/>
          <w:rtl/>
        </w:rPr>
        <w:t>אין ענישה של</w:t>
      </w:r>
      <w:r w:rsidRPr="00604EF9">
        <w:rPr>
          <w:rFonts w:hint="cs"/>
          <w:rtl/>
        </w:rPr>
        <w:t xml:space="preserve"> בן </w:t>
      </w:r>
      <w:r>
        <w:rPr>
          <w:rFonts w:hint="cs"/>
          <w:rtl/>
        </w:rPr>
        <w:t>ה</w:t>
      </w:r>
      <w:r w:rsidRPr="00604EF9">
        <w:rPr>
          <w:rFonts w:hint="cs"/>
          <w:rtl/>
        </w:rPr>
        <w:t xml:space="preserve">זוג אלא </w:t>
      </w:r>
      <w:r>
        <w:rPr>
          <w:rFonts w:hint="cs"/>
          <w:rtl/>
        </w:rPr>
        <w:t>קביעת</w:t>
      </w:r>
      <w:r w:rsidRPr="00604EF9">
        <w:rPr>
          <w:rFonts w:hint="cs"/>
          <w:rtl/>
        </w:rPr>
        <w:t xml:space="preserve"> עובדה. </w:t>
      </w:r>
    </w:p>
    <w:p w:rsidR="00FA3A86" w:rsidRPr="00604EF9" w:rsidRDefault="00FA3A86" w:rsidP="00FA3A86">
      <w:pPr>
        <w:pStyle w:val="Ruller41"/>
        <w:rPr>
          <w:rtl/>
        </w:rPr>
      </w:pPr>
    </w:p>
    <w:p w:rsidR="00FA3A86" w:rsidRPr="00604EF9" w:rsidRDefault="00FA3A86" w:rsidP="00FA3A86">
      <w:pPr>
        <w:pStyle w:val="1"/>
        <w:rPr>
          <w:rtl/>
        </w:rPr>
      </w:pPr>
      <w:r w:rsidRPr="00B34525">
        <w:rPr>
          <w:rFonts w:hint="cs"/>
          <w:rtl/>
        </w:rPr>
        <w:t>הדיון הנוסף</w:t>
      </w:r>
    </w:p>
    <w:p w:rsidR="00FA3A86" w:rsidRPr="00604EF9" w:rsidRDefault="00FA3A86" w:rsidP="00FA3A86">
      <w:pPr>
        <w:pStyle w:val="Ruller41"/>
        <w:rPr>
          <w:rtl/>
        </w:rPr>
      </w:pPr>
    </w:p>
    <w:p w:rsidR="00FA3A86" w:rsidRDefault="00FA3A86" w:rsidP="00FA3A86">
      <w:pPr>
        <w:pStyle w:val="Ruller4"/>
        <w:rPr>
          <w:rtl/>
        </w:rPr>
      </w:pPr>
      <w:r w:rsidRPr="00604EF9">
        <w:rPr>
          <w:rFonts w:hint="eastAsia"/>
          <w:rtl/>
        </w:rPr>
        <w:t>על</w:t>
      </w:r>
      <w:r w:rsidRPr="00604EF9">
        <w:rPr>
          <w:rtl/>
        </w:rPr>
        <w:t xml:space="preserve"> </w:t>
      </w:r>
      <w:r w:rsidRPr="00604EF9">
        <w:rPr>
          <w:rFonts w:hint="eastAsia"/>
          <w:rtl/>
        </w:rPr>
        <w:t>פסק</w:t>
      </w:r>
      <w:r w:rsidRPr="00604EF9">
        <w:rPr>
          <w:rtl/>
        </w:rPr>
        <w:t xml:space="preserve"> </w:t>
      </w:r>
      <w:r w:rsidRPr="00604EF9">
        <w:rPr>
          <w:rFonts w:hint="eastAsia"/>
          <w:rtl/>
        </w:rPr>
        <w:t>דינו</w:t>
      </w:r>
      <w:r w:rsidRPr="00604EF9">
        <w:rPr>
          <w:rtl/>
        </w:rPr>
        <w:t xml:space="preserve"> </w:t>
      </w:r>
      <w:r w:rsidRPr="00604EF9">
        <w:rPr>
          <w:rFonts w:hint="eastAsia"/>
          <w:rtl/>
        </w:rPr>
        <w:t>של</w:t>
      </w:r>
      <w:r w:rsidRPr="00604EF9">
        <w:rPr>
          <w:rtl/>
        </w:rPr>
        <w:t xml:space="preserve"> </w:t>
      </w:r>
      <w:r w:rsidRPr="00604EF9">
        <w:rPr>
          <w:rFonts w:hint="eastAsia"/>
          <w:rtl/>
        </w:rPr>
        <w:t>בית</w:t>
      </w:r>
      <w:r w:rsidRPr="00604EF9">
        <w:rPr>
          <w:rtl/>
        </w:rPr>
        <w:t xml:space="preserve"> </w:t>
      </w:r>
      <w:r w:rsidRPr="00604EF9">
        <w:rPr>
          <w:rFonts w:hint="eastAsia"/>
          <w:rtl/>
        </w:rPr>
        <w:t>המשפט</w:t>
      </w:r>
      <w:r w:rsidRPr="00604EF9">
        <w:rPr>
          <w:rtl/>
        </w:rPr>
        <w:t xml:space="preserve"> </w:t>
      </w:r>
      <w:r w:rsidRPr="00604EF9">
        <w:rPr>
          <w:rFonts w:hint="eastAsia"/>
          <w:rtl/>
        </w:rPr>
        <w:t>העליון</w:t>
      </w:r>
      <w:r w:rsidRPr="00604EF9">
        <w:rPr>
          <w:rtl/>
        </w:rPr>
        <w:t xml:space="preserve"> </w:t>
      </w:r>
      <w:r w:rsidRPr="00604EF9">
        <w:rPr>
          <w:rFonts w:hint="eastAsia"/>
          <w:rtl/>
        </w:rPr>
        <w:t>הגישה</w:t>
      </w:r>
      <w:r w:rsidRPr="00604EF9">
        <w:rPr>
          <w:rtl/>
        </w:rPr>
        <w:t xml:space="preserve"> </w:t>
      </w:r>
      <w:r w:rsidRPr="00604EF9">
        <w:rPr>
          <w:rFonts w:hint="eastAsia"/>
          <w:rtl/>
        </w:rPr>
        <w:t>ה</w:t>
      </w:r>
      <w:r w:rsidRPr="00604EF9">
        <w:rPr>
          <w:rFonts w:hint="cs"/>
          <w:rtl/>
        </w:rPr>
        <w:t>מבקשת</w:t>
      </w:r>
      <w:r w:rsidRPr="00604EF9">
        <w:rPr>
          <w:rtl/>
        </w:rPr>
        <w:t xml:space="preserve"> </w:t>
      </w:r>
      <w:r w:rsidRPr="00604EF9">
        <w:rPr>
          <w:rFonts w:hint="eastAsia"/>
          <w:rtl/>
        </w:rPr>
        <w:t>בקשה</w:t>
      </w:r>
      <w:r w:rsidRPr="00604EF9">
        <w:rPr>
          <w:rtl/>
        </w:rPr>
        <w:t xml:space="preserve"> </w:t>
      </w:r>
      <w:r>
        <w:rPr>
          <w:rFonts w:hint="eastAsia"/>
          <w:rtl/>
        </w:rPr>
        <w:t>לקי</w:t>
      </w:r>
      <w:r>
        <w:rPr>
          <w:rFonts w:hint="cs"/>
          <w:rtl/>
        </w:rPr>
        <w:t>ים</w:t>
      </w:r>
      <w:r w:rsidRPr="00604EF9">
        <w:rPr>
          <w:rtl/>
        </w:rPr>
        <w:t xml:space="preserve"> </w:t>
      </w:r>
      <w:r w:rsidRPr="00604EF9">
        <w:rPr>
          <w:rFonts w:hint="eastAsia"/>
          <w:rtl/>
        </w:rPr>
        <w:t>דיון</w:t>
      </w:r>
      <w:r w:rsidRPr="00604EF9">
        <w:rPr>
          <w:rtl/>
        </w:rPr>
        <w:t xml:space="preserve"> </w:t>
      </w:r>
      <w:r w:rsidRPr="00604EF9">
        <w:rPr>
          <w:rFonts w:hint="eastAsia"/>
          <w:rtl/>
        </w:rPr>
        <w:t>נוסף</w:t>
      </w:r>
      <w:r w:rsidRPr="00604EF9">
        <w:rPr>
          <w:rFonts w:hint="cs"/>
          <w:rtl/>
        </w:rPr>
        <w:t>. ביום 14.3.2019 הודיע המשיב 4, היועץ המשפטי לממשלה</w:t>
      </w:r>
      <w:r>
        <w:rPr>
          <w:rFonts w:hint="cs"/>
          <w:rtl/>
        </w:rPr>
        <w:t>,</w:t>
      </w:r>
      <w:r w:rsidRPr="00604EF9">
        <w:rPr>
          <w:rFonts w:hint="cs"/>
          <w:rtl/>
        </w:rPr>
        <w:t xml:space="preserve"> על התייצבותו בהליך מכוח הסמכות המוקנית לו בסעיף 1 לפקודת סדרי הדין (התייצבות היועץ המשפטי לממשלה) [נוסח חדש]. </w:t>
      </w:r>
      <w:r>
        <w:rPr>
          <w:rFonts w:hint="cs"/>
          <w:rtl/>
        </w:rPr>
        <w:t xml:space="preserve">הדיון הנוסף </w:t>
      </w:r>
      <w:r w:rsidRPr="00604EF9">
        <w:rPr>
          <w:rFonts w:hint="cs"/>
          <w:rtl/>
        </w:rPr>
        <w:t>התקיים</w:t>
      </w:r>
      <w:r>
        <w:rPr>
          <w:rFonts w:hint="cs"/>
          <w:rtl/>
        </w:rPr>
        <w:t>, כאמור,</w:t>
      </w:r>
      <w:r w:rsidRPr="00604EF9">
        <w:rPr>
          <w:rFonts w:hint="cs"/>
          <w:rtl/>
        </w:rPr>
        <w:t xml:space="preserve"> </w:t>
      </w:r>
      <w:r w:rsidRPr="00740F46">
        <w:rPr>
          <w:rFonts w:hint="cs"/>
          <w:rtl/>
        </w:rPr>
        <w:t xml:space="preserve">ביום </w:t>
      </w:r>
      <w:r>
        <w:rPr>
          <w:rFonts w:hint="cs"/>
          <w:rtl/>
        </w:rPr>
        <w:t>4.8.2020</w:t>
      </w:r>
      <w:r w:rsidRPr="00604EF9">
        <w:rPr>
          <w:rFonts w:hint="cs"/>
          <w:rtl/>
        </w:rPr>
        <w:t xml:space="preserve"> בפני הרכב מורחב של תשעה שופטים.</w:t>
      </w:r>
    </w:p>
    <w:p w:rsidR="00FA3A86" w:rsidRDefault="00FA3A86" w:rsidP="00FA3A86">
      <w:pPr>
        <w:pStyle w:val="Ruller41"/>
        <w:rPr>
          <w:rtl/>
        </w:rPr>
      </w:pPr>
    </w:p>
    <w:p w:rsidR="00FA3A86" w:rsidRPr="00604EF9" w:rsidRDefault="00FA3A86" w:rsidP="00FA3A86">
      <w:pPr>
        <w:pStyle w:val="Ruller4"/>
        <w:rPr>
          <w:rtl/>
        </w:rPr>
      </w:pPr>
      <w:r w:rsidRPr="00604EF9">
        <w:rPr>
          <w:rFonts w:hint="cs"/>
          <w:rtl/>
        </w:rPr>
        <w:t>במסגרת ההליך הוגש</w:t>
      </w:r>
      <w:r>
        <w:rPr>
          <w:rFonts w:hint="cs"/>
          <w:rtl/>
        </w:rPr>
        <w:t>ו מספר</w:t>
      </w:r>
      <w:r w:rsidRPr="00604EF9">
        <w:rPr>
          <w:rFonts w:hint="cs"/>
          <w:rtl/>
        </w:rPr>
        <w:t xml:space="preserve"> בקשות </w:t>
      </w:r>
      <w:r>
        <w:rPr>
          <w:rFonts w:hint="cs"/>
          <w:rtl/>
        </w:rPr>
        <w:t>מטעם גורמים שונים להצטרף להליך כידיד בית משפט</w:t>
      </w:r>
      <w:r w:rsidRPr="00604EF9">
        <w:rPr>
          <w:rFonts w:hint="cs"/>
          <w:rtl/>
        </w:rPr>
        <w:t xml:space="preserve">. ביום 6.12.2018 הגישה </w:t>
      </w:r>
      <w:r>
        <w:rPr>
          <w:rFonts w:hint="cs"/>
          <w:rtl/>
        </w:rPr>
        <w:t xml:space="preserve">ח"כ </w:t>
      </w:r>
      <w:r w:rsidRPr="00604EF9">
        <w:rPr>
          <w:rFonts w:hint="cs"/>
          <w:rtl/>
        </w:rPr>
        <w:t xml:space="preserve">(דאז) רויטל סויד </w:t>
      </w:r>
      <w:r>
        <w:rPr>
          <w:rFonts w:ascii="Century" w:hAnsi="Century" w:hint="cs"/>
          <w:sz w:val="22"/>
          <w:rtl/>
        </w:rPr>
        <w:t>בקשת הצטרפות</w:t>
      </w:r>
      <w:r w:rsidRPr="00604EF9">
        <w:rPr>
          <w:rFonts w:hint="cs"/>
          <w:rtl/>
        </w:rPr>
        <w:t xml:space="preserve">; </w:t>
      </w:r>
      <w:r w:rsidRPr="00604EF9">
        <w:rPr>
          <w:rFonts w:ascii="Century" w:hAnsi="Century" w:hint="cs"/>
          <w:sz w:val="20"/>
          <w:rtl/>
        </w:rPr>
        <w:t>ביום 5.2.2019 הוגשה בקשת הצטרפות על ידי מרכז קונקורד לחקר קליטת המשפט הבינלאומי בישראל, נעמת תנועת נשים עובדות ומתנדבות, מבוי סתום, מרכז צדק נשים ו</w:t>
      </w:r>
      <w:r>
        <w:rPr>
          <w:rFonts w:ascii="Century" w:hAnsi="Century" w:hint="cs"/>
          <w:sz w:val="20"/>
          <w:rtl/>
        </w:rPr>
        <w:t>"</w:t>
      </w:r>
      <w:r w:rsidRPr="00604EF9">
        <w:rPr>
          <w:rFonts w:ascii="Century" w:hAnsi="Century" w:hint="cs"/>
          <w:sz w:val="20"/>
          <w:rtl/>
        </w:rPr>
        <w:t>קולך</w:t>
      </w:r>
      <w:r>
        <w:rPr>
          <w:rFonts w:ascii="Century" w:hAnsi="Century" w:hint="cs"/>
          <w:sz w:val="20"/>
          <w:rtl/>
        </w:rPr>
        <w:t>"</w:t>
      </w:r>
      <w:r w:rsidRPr="00604EF9">
        <w:rPr>
          <w:rFonts w:ascii="Century" w:hAnsi="Century" w:hint="cs"/>
          <w:sz w:val="20"/>
          <w:rtl/>
        </w:rPr>
        <w:t xml:space="preserve"> </w:t>
      </w:r>
      <w:r w:rsidRPr="00604EF9">
        <w:rPr>
          <w:rFonts w:ascii="Century" w:hAnsi="Century"/>
          <w:sz w:val="20"/>
          <w:rtl/>
        </w:rPr>
        <w:t>–</w:t>
      </w:r>
      <w:r w:rsidRPr="00604EF9">
        <w:rPr>
          <w:rFonts w:ascii="Century" w:hAnsi="Century" w:hint="cs"/>
          <w:sz w:val="20"/>
          <w:rtl/>
        </w:rPr>
        <w:t xml:space="preserve"> פורום נשים דתיות; וביום 17.2.2019 הגישה גם שדולת הנשים בישראל בקשת הצטרפות. </w:t>
      </w:r>
      <w:r>
        <w:rPr>
          <w:rFonts w:ascii="Century" w:hAnsi="Century" w:hint="cs"/>
          <w:sz w:val="20"/>
          <w:rtl/>
        </w:rPr>
        <w:t xml:space="preserve">כל אלו </w:t>
      </w:r>
      <w:r w:rsidRPr="00604EF9">
        <w:rPr>
          <w:rFonts w:ascii="Century" w:hAnsi="Century" w:hint="cs"/>
          <w:sz w:val="20"/>
          <w:rtl/>
        </w:rPr>
        <w:t>הצטרפו לטיעוני המבקשת ועמדו על החשיבות הציבורית הגדולה</w:t>
      </w:r>
      <w:r>
        <w:rPr>
          <w:rFonts w:ascii="Century" w:hAnsi="Century" w:hint="cs"/>
          <w:sz w:val="20"/>
          <w:rtl/>
        </w:rPr>
        <w:t xml:space="preserve"> שטמונה</w:t>
      </w:r>
      <w:r w:rsidRPr="00604EF9">
        <w:rPr>
          <w:rFonts w:ascii="Century" w:hAnsi="Century" w:hint="cs"/>
          <w:sz w:val="20"/>
          <w:rtl/>
        </w:rPr>
        <w:t>, לשיטתן, בליבון ה</w:t>
      </w:r>
      <w:r>
        <w:rPr>
          <w:rFonts w:ascii="Century" w:hAnsi="Century" w:hint="cs"/>
          <w:sz w:val="20"/>
          <w:rtl/>
        </w:rPr>
        <w:t>דין</w:t>
      </w:r>
      <w:r w:rsidRPr="00604EF9">
        <w:rPr>
          <w:rFonts w:ascii="Century" w:hAnsi="Century" w:hint="cs"/>
          <w:sz w:val="20"/>
          <w:rtl/>
        </w:rPr>
        <w:t xml:space="preserve"> ביחס להלכת השיתוף הספציפי.</w:t>
      </w:r>
      <w:r w:rsidRPr="00604EF9">
        <w:rPr>
          <w:rFonts w:hint="cs"/>
          <w:rtl/>
        </w:rPr>
        <w:t xml:space="preserve"> </w:t>
      </w:r>
      <w:r>
        <w:rPr>
          <w:rFonts w:hint="cs"/>
          <w:rtl/>
        </w:rPr>
        <w:t>מנגד הוגשה</w:t>
      </w:r>
      <w:r w:rsidRPr="00604EF9">
        <w:rPr>
          <w:rFonts w:hint="cs"/>
          <w:rtl/>
        </w:rPr>
        <w:t xml:space="preserve">, </w:t>
      </w:r>
      <w:r w:rsidRPr="00604EF9">
        <w:rPr>
          <w:rFonts w:ascii="Century" w:hAnsi="Century" w:hint="eastAsia"/>
          <w:sz w:val="20"/>
          <w:rtl/>
        </w:rPr>
        <w:t>ביום</w:t>
      </w:r>
      <w:r w:rsidRPr="00604EF9">
        <w:rPr>
          <w:rFonts w:ascii="Century" w:hAnsi="Century"/>
          <w:sz w:val="20"/>
          <w:rtl/>
        </w:rPr>
        <w:t xml:space="preserve"> 6.7.2020</w:t>
      </w:r>
      <w:r>
        <w:rPr>
          <w:rFonts w:ascii="Century" w:hAnsi="Century" w:hint="cs"/>
          <w:sz w:val="20"/>
          <w:rtl/>
        </w:rPr>
        <w:t>,</w:t>
      </w:r>
      <w:r w:rsidRPr="00604EF9">
        <w:rPr>
          <w:rFonts w:ascii="Century" w:hAnsi="Century"/>
          <w:sz w:val="20"/>
          <w:rtl/>
        </w:rPr>
        <w:t xml:space="preserve"> </w:t>
      </w:r>
      <w:r w:rsidRPr="00604EF9">
        <w:rPr>
          <w:rFonts w:ascii="Century" w:hAnsi="Century" w:hint="cs"/>
          <w:b/>
          <w:sz w:val="20"/>
          <w:rtl/>
        </w:rPr>
        <w:t>בקשת הצטרפות מטעם</w:t>
      </w:r>
      <w:r w:rsidRPr="00604EF9">
        <w:rPr>
          <w:rFonts w:ascii="Century" w:hAnsi="Century"/>
          <w:b/>
          <w:sz w:val="20"/>
          <w:rtl/>
        </w:rPr>
        <w:t xml:space="preserve"> </w:t>
      </w:r>
      <w:r w:rsidRPr="00604EF9">
        <w:rPr>
          <w:rFonts w:ascii="Century" w:hAnsi="Century" w:hint="eastAsia"/>
          <w:b/>
          <w:sz w:val="20"/>
          <w:rtl/>
        </w:rPr>
        <w:t>תנועת</w:t>
      </w:r>
      <w:r w:rsidRPr="00604EF9">
        <w:rPr>
          <w:rFonts w:ascii="Century" w:hAnsi="Century"/>
          <w:b/>
          <w:sz w:val="20"/>
          <w:rtl/>
        </w:rPr>
        <w:t xml:space="preserve"> "</w:t>
      </w:r>
      <w:r w:rsidRPr="00604EF9">
        <w:rPr>
          <w:rFonts w:ascii="Century" w:hAnsi="Century" w:hint="eastAsia"/>
          <w:b/>
          <w:sz w:val="20"/>
          <w:rtl/>
        </w:rPr>
        <w:t>בוחרים</w:t>
      </w:r>
      <w:r w:rsidRPr="00604EF9">
        <w:rPr>
          <w:rFonts w:ascii="Century" w:hAnsi="Century"/>
          <w:b/>
          <w:sz w:val="20"/>
          <w:rtl/>
        </w:rPr>
        <w:t xml:space="preserve"> </w:t>
      </w:r>
      <w:r w:rsidRPr="00604EF9">
        <w:rPr>
          <w:rFonts w:ascii="Century" w:hAnsi="Century" w:hint="eastAsia"/>
          <w:b/>
          <w:sz w:val="20"/>
          <w:rtl/>
        </w:rPr>
        <w:t>במשפחה</w:t>
      </w:r>
      <w:r w:rsidRPr="00604EF9">
        <w:rPr>
          <w:rFonts w:ascii="Century" w:hAnsi="Century"/>
          <w:b/>
          <w:sz w:val="20"/>
          <w:rtl/>
        </w:rPr>
        <w:t>"</w:t>
      </w:r>
      <w:r>
        <w:rPr>
          <w:rFonts w:hint="cs"/>
          <w:rtl/>
        </w:rPr>
        <w:t>,</w:t>
      </w:r>
      <w:r w:rsidRPr="00604EF9">
        <w:rPr>
          <w:rFonts w:hint="cs"/>
          <w:rtl/>
        </w:rPr>
        <w:t xml:space="preserve"> ו</w:t>
      </w:r>
      <w:r w:rsidRPr="00604EF9">
        <w:rPr>
          <w:rFonts w:ascii="Century" w:hAnsi="Century" w:hint="eastAsia"/>
          <w:sz w:val="20"/>
          <w:rtl/>
        </w:rPr>
        <w:t>ביום</w:t>
      </w:r>
      <w:r w:rsidRPr="00604EF9">
        <w:rPr>
          <w:rFonts w:ascii="Century" w:hAnsi="Century"/>
          <w:sz w:val="20"/>
          <w:rtl/>
        </w:rPr>
        <w:t xml:space="preserve"> 26.7.2020 </w:t>
      </w:r>
      <w:r w:rsidRPr="00604EF9">
        <w:rPr>
          <w:rFonts w:ascii="Century" w:hAnsi="Century" w:hint="eastAsia"/>
          <w:sz w:val="20"/>
          <w:rtl/>
        </w:rPr>
        <w:t>הוגשה</w:t>
      </w:r>
      <w:r w:rsidRPr="00604EF9">
        <w:rPr>
          <w:rFonts w:ascii="Century" w:hAnsi="Century"/>
          <w:sz w:val="20"/>
          <w:rtl/>
        </w:rPr>
        <w:t xml:space="preserve"> </w:t>
      </w:r>
      <w:r w:rsidRPr="00007314">
        <w:rPr>
          <w:rFonts w:ascii="Century" w:hAnsi="Century" w:hint="eastAsia"/>
          <w:sz w:val="20"/>
          <w:rtl/>
        </w:rPr>
        <w:t>בקשת</w:t>
      </w:r>
      <w:r w:rsidRPr="00007314">
        <w:rPr>
          <w:rFonts w:ascii="Century" w:hAnsi="Century"/>
          <w:sz w:val="20"/>
          <w:rtl/>
        </w:rPr>
        <w:t xml:space="preserve"> </w:t>
      </w:r>
      <w:r w:rsidRPr="00007314">
        <w:rPr>
          <w:rFonts w:ascii="Century" w:hAnsi="Century" w:hint="cs"/>
          <w:sz w:val="20"/>
          <w:rtl/>
        </w:rPr>
        <w:t>הצטרפות</w:t>
      </w:r>
      <w:r w:rsidRPr="00313834">
        <w:rPr>
          <w:rFonts w:ascii="Century" w:hAnsi="Century" w:hint="cs"/>
          <w:sz w:val="20"/>
          <w:rtl/>
        </w:rPr>
        <w:t xml:space="preserve"> </w:t>
      </w:r>
      <w:r>
        <w:rPr>
          <w:rFonts w:ascii="Century" w:hAnsi="Century" w:hint="cs"/>
          <w:sz w:val="20"/>
          <w:rtl/>
        </w:rPr>
        <w:t xml:space="preserve">דומה </w:t>
      </w:r>
      <w:r w:rsidRPr="00604EF9">
        <w:rPr>
          <w:rFonts w:ascii="Century" w:hAnsi="Century" w:hint="cs"/>
          <w:sz w:val="20"/>
          <w:rtl/>
        </w:rPr>
        <w:t xml:space="preserve">מטעם </w:t>
      </w:r>
      <w:r w:rsidRPr="00604EF9">
        <w:rPr>
          <w:rFonts w:ascii="Century" w:hAnsi="Century" w:hint="eastAsia"/>
          <w:sz w:val="20"/>
          <w:rtl/>
        </w:rPr>
        <w:t>תנועת</w:t>
      </w:r>
      <w:r w:rsidRPr="00604EF9">
        <w:rPr>
          <w:rFonts w:ascii="Century" w:hAnsi="Century"/>
          <w:sz w:val="20"/>
          <w:rtl/>
        </w:rPr>
        <w:t xml:space="preserve"> "</w:t>
      </w:r>
      <w:r>
        <w:rPr>
          <w:rFonts w:ascii="Century" w:hAnsi="Century" w:hint="cs"/>
          <w:sz w:val="20"/>
          <w:rtl/>
        </w:rPr>
        <w:t>תורת המדינה</w:t>
      </w:r>
      <w:r w:rsidRPr="00604EF9">
        <w:rPr>
          <w:rFonts w:ascii="Century" w:hAnsi="Century"/>
          <w:sz w:val="20"/>
          <w:rtl/>
        </w:rPr>
        <w:t>"</w:t>
      </w:r>
      <w:r w:rsidRPr="00604EF9">
        <w:rPr>
          <w:rFonts w:hint="cs"/>
          <w:rtl/>
        </w:rPr>
        <w:t>. מ</w:t>
      </w:r>
      <w:r>
        <w:rPr>
          <w:rFonts w:hint="cs"/>
          <w:rtl/>
        </w:rPr>
        <w:t>ְ</w:t>
      </w:r>
      <w:r w:rsidRPr="00604EF9">
        <w:rPr>
          <w:rFonts w:hint="cs"/>
          <w:rtl/>
        </w:rPr>
        <w:t>ב</w:t>
      </w:r>
      <w:r>
        <w:rPr>
          <w:rFonts w:hint="cs"/>
          <w:rtl/>
        </w:rPr>
        <w:t>ַ</w:t>
      </w:r>
      <w:r w:rsidRPr="00604EF9">
        <w:rPr>
          <w:rFonts w:hint="cs"/>
          <w:rtl/>
        </w:rPr>
        <w:t>ק</w:t>
      </w:r>
      <w:r>
        <w:rPr>
          <w:rFonts w:hint="cs"/>
          <w:rtl/>
        </w:rPr>
        <w:t>ְ</w:t>
      </w:r>
      <w:r w:rsidRPr="00604EF9">
        <w:rPr>
          <w:rFonts w:hint="cs"/>
          <w:rtl/>
        </w:rPr>
        <w:t>שות אלו הצטרפו לעמדת המשיב וכן לעמדת היועץ לשיפוט הרבני, ו</w:t>
      </w:r>
      <w:r>
        <w:rPr>
          <w:rFonts w:hint="cs"/>
          <w:rtl/>
        </w:rPr>
        <w:t xml:space="preserve">הוסיפו כי לגישתן </w:t>
      </w:r>
      <w:r w:rsidRPr="00604EF9">
        <w:rPr>
          <w:rFonts w:hint="cs"/>
          <w:rtl/>
        </w:rPr>
        <w:t>יש מקום לצמצם את היקפה של הלכת השיתוף הספציפי ולקבוע כי שיקולי אשמה מינית הם</w:t>
      </w:r>
      <w:r>
        <w:rPr>
          <w:rFonts w:hint="cs"/>
          <w:rtl/>
        </w:rPr>
        <w:t xml:space="preserve"> שיקולים רלוונטיים לעניי</w:t>
      </w:r>
      <w:r>
        <w:rPr>
          <w:rFonts w:hint="eastAsia"/>
          <w:rtl/>
        </w:rPr>
        <w:t>ן</w:t>
      </w:r>
      <w:r>
        <w:rPr>
          <w:rFonts w:hint="cs"/>
          <w:rtl/>
        </w:rPr>
        <w:t xml:space="preserve"> הוכחת השיתוף שמתגבש מכוח ההלכה</w:t>
      </w:r>
      <w:r w:rsidRPr="00604EF9">
        <w:rPr>
          <w:rFonts w:hint="cs"/>
          <w:rtl/>
        </w:rPr>
        <w:t>.</w:t>
      </w:r>
    </w:p>
    <w:p w:rsidR="00FA3A86" w:rsidRPr="00604EF9" w:rsidRDefault="00FA3A86" w:rsidP="00FA3A86">
      <w:pPr>
        <w:pStyle w:val="Ruller41"/>
        <w:rPr>
          <w:rtl/>
        </w:rPr>
      </w:pPr>
    </w:p>
    <w:p w:rsidR="00FA3A86" w:rsidRPr="00604EF9" w:rsidRDefault="00FA3A86" w:rsidP="00FA3A86">
      <w:pPr>
        <w:pStyle w:val="Ruller41"/>
        <w:rPr>
          <w:rtl/>
        </w:rPr>
      </w:pPr>
      <w:r w:rsidRPr="00604EF9">
        <w:rPr>
          <w:rtl/>
        </w:rPr>
        <w:tab/>
      </w:r>
      <w:r w:rsidRPr="00604EF9">
        <w:rPr>
          <w:rFonts w:hint="cs"/>
          <w:rtl/>
        </w:rPr>
        <w:t>בקשות</w:t>
      </w:r>
      <w:r>
        <w:rPr>
          <w:rFonts w:hint="cs"/>
          <w:rtl/>
        </w:rPr>
        <w:t xml:space="preserve"> ההצטרפות נדחו כולן (ראו החלטות מיום 9.12.2018, 8.7.2020, 29.7.2020, וכן החלטה שניתנה במהלך הדיון שהתקיים ביום 4.8.2020), אך טיעוניהן</w:t>
      </w:r>
      <w:r w:rsidRPr="00604EF9">
        <w:rPr>
          <w:rFonts w:hint="cs"/>
          <w:rtl/>
        </w:rPr>
        <w:t xml:space="preserve"> </w:t>
      </w:r>
      <w:r>
        <w:rPr>
          <w:rFonts w:hint="cs"/>
          <w:rtl/>
        </w:rPr>
        <w:t xml:space="preserve">הכתובים </w:t>
      </w:r>
      <w:r w:rsidRPr="00604EF9">
        <w:rPr>
          <w:rFonts w:hint="cs"/>
          <w:rtl/>
        </w:rPr>
        <w:t xml:space="preserve">של כלל </w:t>
      </w:r>
      <w:r>
        <w:rPr>
          <w:rFonts w:hint="cs"/>
          <w:rtl/>
        </w:rPr>
        <w:t xml:space="preserve">המבקשות </w:t>
      </w:r>
      <w:r w:rsidRPr="00604EF9">
        <w:rPr>
          <w:rFonts w:hint="cs"/>
          <w:rtl/>
        </w:rPr>
        <w:t xml:space="preserve">להצטרף הובאו לעיון המותב. </w:t>
      </w:r>
    </w:p>
    <w:p w:rsidR="00FA3A86" w:rsidRPr="00604EF9" w:rsidRDefault="00FA3A86" w:rsidP="00FA3A86">
      <w:pPr>
        <w:pStyle w:val="Ruller41"/>
        <w:rPr>
          <w:rFonts w:ascii="Garamond" w:hAnsi="Garamond"/>
          <w:sz w:val="24"/>
          <w:rtl/>
        </w:rPr>
      </w:pPr>
    </w:p>
    <w:p w:rsidR="00FA3A86" w:rsidRPr="00A5681B" w:rsidRDefault="00FA3A86" w:rsidP="00FA3A86">
      <w:pPr>
        <w:pStyle w:val="1"/>
        <w:rPr>
          <w:rtl/>
        </w:rPr>
      </w:pPr>
      <w:r w:rsidRPr="00A5681B">
        <w:rPr>
          <w:rFonts w:hint="cs"/>
          <w:rtl/>
        </w:rPr>
        <w:t>תמצית טענות הצדדים</w:t>
      </w:r>
    </w:p>
    <w:p w:rsidR="00FA3A86" w:rsidRPr="00604EF9" w:rsidRDefault="00FA3A86" w:rsidP="00FA3A86">
      <w:pPr>
        <w:tabs>
          <w:tab w:val="left" w:pos="800"/>
        </w:tabs>
        <w:jc w:val="both"/>
        <w:rPr>
          <w:rFonts w:cs="Miriam"/>
          <w:b/>
          <w:sz w:val="22"/>
          <w:rtl/>
        </w:rPr>
      </w:pPr>
    </w:p>
    <w:p w:rsidR="00FA3A86" w:rsidRPr="00604EF9" w:rsidRDefault="00FA3A86" w:rsidP="00FA3A86">
      <w:pPr>
        <w:pStyle w:val="Ruller4"/>
        <w:rPr>
          <w:rtl/>
        </w:rPr>
      </w:pPr>
      <w:r w:rsidRPr="00604EF9">
        <w:rPr>
          <w:rFonts w:hint="eastAsia"/>
          <w:rtl/>
        </w:rPr>
        <w:t>המבקשת</w:t>
      </w:r>
      <w:r w:rsidRPr="00604EF9">
        <w:rPr>
          <w:rtl/>
        </w:rPr>
        <w:t xml:space="preserve"> </w:t>
      </w:r>
      <w:r w:rsidRPr="00604EF9">
        <w:rPr>
          <w:rFonts w:hint="eastAsia"/>
          <w:rtl/>
        </w:rPr>
        <w:t>טוענת</w:t>
      </w:r>
      <w:r w:rsidRPr="00604EF9">
        <w:rPr>
          <w:rtl/>
        </w:rPr>
        <w:t xml:space="preserve"> </w:t>
      </w:r>
      <w:r w:rsidRPr="00604EF9">
        <w:rPr>
          <w:rFonts w:hint="eastAsia"/>
          <w:rtl/>
        </w:rPr>
        <w:t>כי</w:t>
      </w:r>
      <w:r w:rsidRPr="00604EF9">
        <w:rPr>
          <w:rtl/>
        </w:rPr>
        <w:t xml:space="preserve"> </w:t>
      </w:r>
      <w:r>
        <w:rPr>
          <w:rFonts w:hint="cs"/>
          <w:rtl/>
        </w:rPr>
        <w:t xml:space="preserve">דעת הרוב </w:t>
      </w:r>
      <w:r w:rsidRPr="00604EF9">
        <w:rPr>
          <w:rFonts w:hint="cs"/>
          <w:rtl/>
        </w:rPr>
        <w:t>ב</w:t>
      </w:r>
      <w:r w:rsidRPr="00604EF9">
        <w:rPr>
          <w:rFonts w:hint="eastAsia"/>
          <w:rtl/>
        </w:rPr>
        <w:t>פסק</w:t>
      </w:r>
      <w:r w:rsidRPr="00604EF9">
        <w:rPr>
          <w:rtl/>
        </w:rPr>
        <w:t xml:space="preserve"> </w:t>
      </w:r>
      <w:r w:rsidRPr="00604EF9">
        <w:rPr>
          <w:rFonts w:hint="eastAsia"/>
          <w:rtl/>
        </w:rPr>
        <w:t>הדין</w:t>
      </w:r>
      <w:r w:rsidRPr="00604EF9">
        <w:rPr>
          <w:rtl/>
        </w:rPr>
        <w:t xml:space="preserve"> </w:t>
      </w:r>
      <w:r w:rsidRPr="00604EF9">
        <w:rPr>
          <w:rFonts w:hint="eastAsia"/>
          <w:rtl/>
        </w:rPr>
        <w:t>נושא</w:t>
      </w:r>
      <w:r w:rsidRPr="00604EF9">
        <w:rPr>
          <w:rtl/>
        </w:rPr>
        <w:t xml:space="preserve"> </w:t>
      </w:r>
      <w:r w:rsidRPr="00604EF9">
        <w:rPr>
          <w:rFonts w:hint="eastAsia"/>
          <w:rtl/>
        </w:rPr>
        <w:t>הדיון</w:t>
      </w:r>
      <w:r w:rsidRPr="00604EF9">
        <w:rPr>
          <w:rtl/>
        </w:rPr>
        <w:t xml:space="preserve"> </w:t>
      </w:r>
      <w:r w:rsidRPr="00604EF9">
        <w:rPr>
          <w:rFonts w:hint="eastAsia"/>
          <w:rtl/>
        </w:rPr>
        <w:t>הנוסף</w:t>
      </w:r>
      <w:r w:rsidRPr="00604EF9">
        <w:rPr>
          <w:rtl/>
        </w:rPr>
        <w:t xml:space="preserve"> </w:t>
      </w:r>
      <w:r>
        <w:rPr>
          <w:rFonts w:hint="cs"/>
          <w:rtl/>
        </w:rPr>
        <w:t>צמצמה את עילות ההתערבות של בית המשפט הגבוה לצדק בהחלטות בתי הדין הרבניים, ואף שינתה</w:t>
      </w:r>
      <w:r w:rsidRPr="00604EF9">
        <w:rPr>
          <w:rFonts w:hint="cs"/>
          <w:rtl/>
        </w:rPr>
        <w:t xml:space="preserve"> מושכלות יסוד בדבר המשקל שיש ליתן לאי-נאמנות מינית במסגר</w:t>
      </w:r>
      <w:r>
        <w:rPr>
          <w:rFonts w:hint="cs"/>
          <w:rtl/>
        </w:rPr>
        <w:t xml:space="preserve">ת חלוקת הרכוש הזוגי בעת גירושין; בדבר </w:t>
      </w:r>
      <w:r w:rsidRPr="00604EF9">
        <w:rPr>
          <w:rFonts w:hint="cs"/>
          <w:rtl/>
        </w:rPr>
        <w:t xml:space="preserve">מועד התגבשותו של השיתוף </w:t>
      </w:r>
      <w:r>
        <w:rPr>
          <w:rFonts w:hint="cs"/>
          <w:rtl/>
        </w:rPr>
        <w:t xml:space="preserve">שנוצר </w:t>
      </w:r>
      <w:r w:rsidRPr="00604EF9">
        <w:rPr>
          <w:rFonts w:hint="cs"/>
          <w:rtl/>
        </w:rPr>
        <w:t>בהתאם להלכת השיתוף הספציפי</w:t>
      </w:r>
      <w:r>
        <w:rPr>
          <w:rFonts w:hint="cs"/>
          <w:rtl/>
        </w:rPr>
        <w:t xml:space="preserve">; ובדבר הבסיס הנורמטיבי שעליו מושתתת הלכה זו. לטענתה, </w:t>
      </w:r>
      <w:r w:rsidRPr="00604EF9">
        <w:rPr>
          <w:rFonts w:hint="cs"/>
          <w:rtl/>
        </w:rPr>
        <w:t xml:space="preserve">הלכת השיתוף הספציפי </w:t>
      </w:r>
      <w:r>
        <w:rPr>
          <w:rFonts w:hint="cs"/>
          <w:rtl/>
        </w:rPr>
        <w:t xml:space="preserve">מבוססת על תפישה נורמטיבית שעניינה שוויון והדדיות בקשרי נישואין. </w:t>
      </w:r>
      <w:r>
        <w:rPr>
          <w:rFonts w:hint="cs"/>
          <w:rtl/>
        </w:rPr>
        <w:lastRenderedPageBreak/>
        <w:t>תפישה זו, כך המבקשת, משליכה על ה</w:t>
      </w:r>
      <w:r w:rsidRPr="00604EF9">
        <w:rPr>
          <w:rFonts w:hint="cs"/>
          <w:rtl/>
        </w:rPr>
        <w:t>רף הראייתי הנדרש להוכחת התגבשות השיתוף</w:t>
      </w:r>
      <w:r>
        <w:rPr>
          <w:rFonts w:hint="cs"/>
          <w:rtl/>
        </w:rPr>
        <w:t xml:space="preserve"> בנכס ספציפי </w:t>
      </w:r>
      <w:r>
        <w:rPr>
          <w:rtl/>
        </w:rPr>
        <w:t>–</w:t>
      </w:r>
      <w:r>
        <w:rPr>
          <w:rFonts w:hint="cs"/>
          <w:rtl/>
        </w:rPr>
        <w:t xml:space="preserve"> ובהתאם לה נקבע בעבר בפסיקה כי ניתן להסתפק ברף ראייתי מקל להוכחת קיומו של שיתוף בנכס ספציפי, במיוחד בכל הנוגע לבית המגורים. עוד מציינת המבקשת כי הקביעות שבפסק הדין עומדות בניגוד לפסיקתו של בית משפט זה ולפיה </w:t>
      </w:r>
      <w:r w:rsidRPr="00604EF9">
        <w:rPr>
          <w:rFonts w:hint="cs"/>
          <w:rtl/>
        </w:rPr>
        <w:t>השיתוף הספציפי</w:t>
      </w:r>
      <w:r>
        <w:rPr>
          <w:rFonts w:hint="cs"/>
          <w:rtl/>
        </w:rPr>
        <w:t xml:space="preserve"> מתגבש</w:t>
      </w:r>
      <w:r w:rsidRPr="00604EF9">
        <w:rPr>
          <w:rFonts w:hint="cs"/>
          <w:rtl/>
        </w:rPr>
        <w:t xml:space="preserve"> </w:t>
      </w:r>
      <w:r>
        <w:rPr>
          <w:rFonts w:hint="cs"/>
          <w:rtl/>
        </w:rPr>
        <w:t xml:space="preserve">בעת התקיימותם של </w:t>
      </w:r>
      <w:r w:rsidRPr="00604EF9">
        <w:rPr>
          <w:rFonts w:hint="cs"/>
          <w:rtl/>
        </w:rPr>
        <w:t xml:space="preserve">התנאים הנדרשים לכך, ולא </w:t>
      </w:r>
      <w:r>
        <w:rPr>
          <w:rFonts w:hint="cs"/>
          <w:rtl/>
        </w:rPr>
        <w:t>ב</w:t>
      </w:r>
      <w:r w:rsidRPr="00604EF9">
        <w:rPr>
          <w:rFonts w:hint="cs"/>
          <w:rtl/>
        </w:rPr>
        <w:t>מועד סיום הקשר הזוגי</w:t>
      </w:r>
      <w:r>
        <w:rPr>
          <w:rFonts w:hint="cs"/>
          <w:rtl/>
        </w:rPr>
        <w:t xml:space="preserve">; וכן בניגוד להלכה המושרשת לפיה אין מענישים בגין אי-נאמנות מינית באמצעות שלילת זכויות </w:t>
      </w:r>
      <w:proofErr w:type="spellStart"/>
      <w:r>
        <w:rPr>
          <w:rFonts w:hint="cs"/>
          <w:rtl/>
        </w:rPr>
        <w:t>רכושיות</w:t>
      </w:r>
      <w:proofErr w:type="spellEnd"/>
      <w:r>
        <w:rPr>
          <w:rFonts w:hint="cs"/>
          <w:rtl/>
        </w:rPr>
        <w:t xml:space="preserve"> למפרע</w:t>
      </w:r>
      <w:r w:rsidRPr="00604EF9">
        <w:rPr>
          <w:rFonts w:hint="cs"/>
          <w:rtl/>
        </w:rPr>
        <w:t xml:space="preserve">. </w:t>
      </w:r>
    </w:p>
    <w:p w:rsidR="00FA3A86" w:rsidRPr="00604EF9" w:rsidRDefault="00FA3A86" w:rsidP="00FA3A86">
      <w:pPr>
        <w:pStyle w:val="Ruller41"/>
        <w:rPr>
          <w:rtl/>
        </w:rPr>
      </w:pPr>
      <w:r w:rsidRPr="00604EF9">
        <w:rPr>
          <w:rFonts w:hint="cs"/>
          <w:rtl/>
        </w:rPr>
        <w:t xml:space="preserve"> </w:t>
      </w:r>
    </w:p>
    <w:p w:rsidR="00FA3A86" w:rsidRPr="00604EF9" w:rsidRDefault="00FA3A86" w:rsidP="00FA3A86">
      <w:pPr>
        <w:pStyle w:val="Ruller4"/>
        <w:rPr>
          <w:rtl/>
        </w:rPr>
      </w:pPr>
      <w:r w:rsidRPr="00604EF9">
        <w:rPr>
          <w:rFonts w:hint="cs"/>
          <w:rtl/>
        </w:rPr>
        <w:t xml:space="preserve">המשיב, מצדו, טוען כי בפסק הדין נושא </w:t>
      </w:r>
      <w:r>
        <w:rPr>
          <w:rFonts w:hint="cs"/>
          <w:rtl/>
        </w:rPr>
        <w:t xml:space="preserve">הדיון הנוסף </w:t>
      </w:r>
      <w:r w:rsidRPr="00604EF9">
        <w:rPr>
          <w:rFonts w:hint="cs"/>
          <w:rtl/>
        </w:rPr>
        <w:t xml:space="preserve">יישמו שופטי הרוב את ההלכה הנוהגת בעניין </w:t>
      </w:r>
      <w:r w:rsidRPr="00604EF9">
        <w:rPr>
          <w:rFonts w:hint="eastAsia"/>
          <w:shd w:val="clear" w:color="auto" w:fill="FFFFFF"/>
          <w:rtl/>
        </w:rPr>
        <w:t>היקף</w:t>
      </w:r>
      <w:r w:rsidRPr="00604EF9">
        <w:rPr>
          <w:shd w:val="clear" w:color="auto" w:fill="FFFFFF"/>
          <w:rtl/>
        </w:rPr>
        <w:t xml:space="preserve"> </w:t>
      </w:r>
      <w:r w:rsidRPr="00604EF9">
        <w:rPr>
          <w:rFonts w:hint="eastAsia"/>
          <w:shd w:val="clear" w:color="auto" w:fill="FFFFFF"/>
          <w:rtl/>
        </w:rPr>
        <w:t>ההתערבות</w:t>
      </w:r>
      <w:r w:rsidRPr="00604EF9">
        <w:rPr>
          <w:shd w:val="clear" w:color="auto" w:fill="FFFFFF"/>
          <w:rtl/>
        </w:rPr>
        <w:t xml:space="preserve"> </w:t>
      </w:r>
      <w:r w:rsidRPr="00604EF9">
        <w:rPr>
          <w:rFonts w:hint="eastAsia"/>
          <w:shd w:val="clear" w:color="auto" w:fill="FFFFFF"/>
          <w:rtl/>
        </w:rPr>
        <w:t>המצומצם</w:t>
      </w:r>
      <w:r w:rsidRPr="00604EF9">
        <w:rPr>
          <w:shd w:val="clear" w:color="auto" w:fill="FFFFFF"/>
          <w:rtl/>
        </w:rPr>
        <w:t xml:space="preserve"> </w:t>
      </w:r>
      <w:r w:rsidRPr="00604EF9">
        <w:rPr>
          <w:rFonts w:hint="cs"/>
          <w:shd w:val="clear" w:color="auto" w:fill="FFFFFF"/>
          <w:rtl/>
        </w:rPr>
        <w:t xml:space="preserve">של בית המשפט </w:t>
      </w:r>
      <w:r>
        <w:rPr>
          <w:rFonts w:hint="cs"/>
          <w:shd w:val="clear" w:color="auto" w:fill="FFFFFF"/>
          <w:rtl/>
        </w:rPr>
        <w:t>הגבוה לצדק</w:t>
      </w:r>
      <w:r w:rsidRPr="00604EF9">
        <w:rPr>
          <w:rFonts w:hint="cs"/>
          <w:shd w:val="clear" w:color="auto" w:fill="FFFFFF"/>
          <w:rtl/>
        </w:rPr>
        <w:t xml:space="preserve"> </w:t>
      </w:r>
      <w:r>
        <w:rPr>
          <w:rFonts w:hint="cs"/>
          <w:shd w:val="clear" w:color="auto" w:fill="FFFFFF"/>
          <w:rtl/>
        </w:rPr>
        <w:t>ב</w:t>
      </w:r>
      <w:r w:rsidRPr="00604EF9">
        <w:rPr>
          <w:rFonts w:hint="eastAsia"/>
          <w:shd w:val="clear" w:color="auto" w:fill="FFFFFF"/>
          <w:rtl/>
        </w:rPr>
        <w:t>החלטות</w:t>
      </w:r>
      <w:r w:rsidRPr="00604EF9">
        <w:rPr>
          <w:shd w:val="clear" w:color="auto" w:fill="FFFFFF"/>
          <w:rtl/>
        </w:rPr>
        <w:t xml:space="preserve"> </w:t>
      </w:r>
      <w:r w:rsidRPr="00604EF9">
        <w:rPr>
          <w:rFonts w:hint="eastAsia"/>
          <w:shd w:val="clear" w:color="auto" w:fill="FFFFFF"/>
          <w:rtl/>
        </w:rPr>
        <w:t>בתי</w:t>
      </w:r>
      <w:r w:rsidRPr="00604EF9">
        <w:rPr>
          <w:shd w:val="clear" w:color="auto" w:fill="FFFFFF"/>
          <w:rtl/>
        </w:rPr>
        <w:t xml:space="preserve"> </w:t>
      </w:r>
      <w:r w:rsidRPr="00604EF9">
        <w:rPr>
          <w:rFonts w:hint="eastAsia"/>
          <w:shd w:val="clear" w:color="auto" w:fill="FFFFFF"/>
          <w:rtl/>
        </w:rPr>
        <w:t>הדין</w:t>
      </w:r>
      <w:r w:rsidRPr="00604EF9">
        <w:rPr>
          <w:shd w:val="clear" w:color="auto" w:fill="FFFFFF"/>
          <w:rtl/>
        </w:rPr>
        <w:t xml:space="preserve"> </w:t>
      </w:r>
      <w:r w:rsidRPr="00604EF9">
        <w:rPr>
          <w:rFonts w:hint="eastAsia"/>
          <w:shd w:val="clear" w:color="auto" w:fill="FFFFFF"/>
          <w:rtl/>
        </w:rPr>
        <w:t>הרבניים</w:t>
      </w:r>
      <w:r w:rsidRPr="00604EF9">
        <w:rPr>
          <w:shd w:val="clear" w:color="auto" w:fill="FFFFFF"/>
          <w:rtl/>
        </w:rPr>
        <w:t xml:space="preserve">. </w:t>
      </w:r>
      <w:r w:rsidRPr="00604EF9">
        <w:rPr>
          <w:rFonts w:hint="cs"/>
          <w:rtl/>
        </w:rPr>
        <w:t xml:space="preserve">המשיב מדגיש כי הוא </w:t>
      </w:r>
      <w:r>
        <w:rPr>
          <w:rFonts w:hint="cs"/>
          <w:rtl/>
        </w:rPr>
        <w:t>ו</w:t>
      </w:r>
      <w:r w:rsidRPr="00604EF9">
        <w:rPr>
          <w:rFonts w:hint="cs"/>
          <w:rtl/>
        </w:rPr>
        <w:t xml:space="preserve">כלל הדיינים והשופטים שדנו </w:t>
      </w:r>
      <w:r>
        <w:rPr>
          <w:rFonts w:hint="cs"/>
          <w:rtl/>
        </w:rPr>
        <w:t>בעניינו</w:t>
      </w:r>
      <w:r w:rsidRPr="00604EF9">
        <w:rPr>
          <w:rFonts w:hint="cs"/>
          <w:rtl/>
        </w:rPr>
        <w:t xml:space="preserve"> אינם חולקים על תוקפה של הלכת השיתוף הספציפי</w:t>
      </w:r>
      <w:r>
        <w:rPr>
          <w:rFonts w:hint="cs"/>
          <w:rtl/>
        </w:rPr>
        <w:t xml:space="preserve"> ו</w:t>
      </w:r>
      <w:r w:rsidRPr="00604EF9">
        <w:rPr>
          <w:rFonts w:hint="cs"/>
          <w:rtl/>
        </w:rPr>
        <w:t>על הכלל לפיו אין נענשים על אי-נאמנות מינית למפרע על ידי נטילת הזכויות ברכוש המשותף. עם זאת, המשיב מטעים כי בעקבות חקיקתו של חוק יחסי ממון הוגבה באופן משמעותי רף ההוכחה הנדרש להוכחת שיתוף בנכס ספציפי</w:t>
      </w:r>
      <w:r>
        <w:rPr>
          <w:rFonts w:hint="cs"/>
          <w:rtl/>
        </w:rPr>
        <w:t>, ולשיטתו,</w:t>
      </w:r>
      <w:r w:rsidRPr="00604EF9">
        <w:rPr>
          <w:rFonts w:hint="cs"/>
          <w:rtl/>
        </w:rPr>
        <w:t xml:space="preserve"> </w:t>
      </w:r>
      <w:r>
        <w:rPr>
          <w:rFonts w:hint="cs"/>
          <w:rtl/>
        </w:rPr>
        <w:t xml:space="preserve">לשם עמידה בנטל זה </w:t>
      </w:r>
      <w:r w:rsidRPr="00604EF9">
        <w:rPr>
          <w:rFonts w:hint="cs"/>
          <w:rtl/>
        </w:rPr>
        <w:t xml:space="preserve">נדרש הטוען לשיתוף להוכיח כי ביצע השקעות כספיות לא מבוטלות בנכס, או להצביע על הבטחות או מצגים אקטיביים מצד בן הזוג הרשום כלפי </w:t>
      </w:r>
      <w:r>
        <w:rPr>
          <w:rFonts w:hint="cs"/>
          <w:rtl/>
        </w:rPr>
        <w:t>משנה</w:t>
      </w:r>
      <w:r w:rsidRPr="00604EF9">
        <w:rPr>
          <w:rFonts w:hint="cs"/>
          <w:rtl/>
        </w:rPr>
        <w:t xml:space="preserve">ו. המשיב </w:t>
      </w:r>
      <w:r>
        <w:rPr>
          <w:rFonts w:hint="cs"/>
          <w:rtl/>
        </w:rPr>
        <w:t xml:space="preserve">סבור כי שופטי הרוב </w:t>
      </w:r>
      <w:r w:rsidRPr="00604EF9">
        <w:rPr>
          <w:rFonts w:hint="cs"/>
          <w:rtl/>
        </w:rPr>
        <w:t>בחנו את אופן יישום ההלכה על ידי בית הדין הרבני</w:t>
      </w:r>
      <w:r>
        <w:rPr>
          <w:rFonts w:hint="cs"/>
          <w:rtl/>
        </w:rPr>
        <w:t xml:space="preserve"> הגדול</w:t>
      </w:r>
      <w:r w:rsidRPr="00604EF9">
        <w:rPr>
          <w:rFonts w:hint="cs"/>
          <w:rtl/>
        </w:rPr>
        <w:t xml:space="preserve"> לאור המבחנים שנקבעו בפסיקה</w:t>
      </w:r>
      <w:r>
        <w:rPr>
          <w:rFonts w:hint="cs"/>
          <w:rtl/>
        </w:rPr>
        <w:t>,</w:t>
      </w:r>
      <w:r w:rsidRPr="00604EF9">
        <w:rPr>
          <w:rFonts w:hint="cs"/>
          <w:rtl/>
        </w:rPr>
        <w:t xml:space="preserve"> ומצאו כי </w:t>
      </w:r>
      <w:r>
        <w:rPr>
          <w:rFonts w:hint="cs"/>
          <w:rtl/>
        </w:rPr>
        <w:t>בנסיבות העניין לא הוכח שיתוף ספציפי כאמור</w:t>
      </w:r>
      <w:r w:rsidRPr="00604EF9">
        <w:rPr>
          <w:rFonts w:hint="cs"/>
          <w:rtl/>
        </w:rPr>
        <w:t>. באשר להתייחסות</w:t>
      </w:r>
      <w:r>
        <w:rPr>
          <w:rFonts w:hint="cs"/>
          <w:rtl/>
        </w:rPr>
        <w:t>ו של</w:t>
      </w:r>
      <w:r w:rsidRPr="00604EF9">
        <w:rPr>
          <w:rFonts w:hint="cs"/>
          <w:rtl/>
        </w:rPr>
        <w:t xml:space="preserve"> בית הדין הרבני </w:t>
      </w:r>
      <w:r>
        <w:rPr>
          <w:rFonts w:hint="cs"/>
          <w:rtl/>
        </w:rPr>
        <w:t xml:space="preserve">הגדול </w:t>
      </w:r>
      <w:r w:rsidRPr="00604EF9">
        <w:rPr>
          <w:rFonts w:hint="cs"/>
          <w:rtl/>
        </w:rPr>
        <w:t xml:space="preserve">לדין הדתי, המשיב </w:t>
      </w:r>
      <w:r>
        <w:rPr>
          <w:rFonts w:hint="cs"/>
          <w:rtl/>
        </w:rPr>
        <w:t xml:space="preserve">סבור </w:t>
      </w:r>
      <w:r w:rsidRPr="00604EF9">
        <w:rPr>
          <w:rFonts w:hint="cs"/>
          <w:rtl/>
        </w:rPr>
        <w:t xml:space="preserve">כי התייחסות זו הייתה למעלה מן הצורך ולא היוותה חלק מנימוקי פסק דינו של בית הדין. </w:t>
      </w:r>
    </w:p>
    <w:p w:rsidR="00FA3A86" w:rsidRPr="00604EF9" w:rsidRDefault="00FA3A86" w:rsidP="00FA3A86">
      <w:pPr>
        <w:pStyle w:val="Ruller41"/>
        <w:rPr>
          <w:rtl/>
        </w:rPr>
      </w:pPr>
    </w:p>
    <w:p w:rsidR="00FA3A86" w:rsidRPr="00C97C72" w:rsidRDefault="00FA3A86" w:rsidP="00FA3A86">
      <w:pPr>
        <w:numPr>
          <w:ilvl w:val="0"/>
          <w:numId w:val="11"/>
        </w:numPr>
        <w:tabs>
          <w:tab w:val="left" w:pos="800"/>
        </w:tabs>
        <w:spacing w:line="360" w:lineRule="auto"/>
        <w:jc w:val="both"/>
        <w:rPr>
          <w:rFonts w:ascii="Garamond" w:hAnsi="Garamond" w:cs="FrankRuehl"/>
          <w:spacing w:val="10"/>
          <w:sz w:val="24"/>
          <w:szCs w:val="28"/>
          <w:rtl/>
        </w:rPr>
      </w:pPr>
      <w:r w:rsidRPr="00C97C72">
        <w:rPr>
          <w:rFonts w:ascii="Garamond" w:hAnsi="Garamond" w:cs="FrankRuehl" w:hint="cs"/>
          <w:spacing w:val="10"/>
          <w:sz w:val="24"/>
          <w:szCs w:val="28"/>
          <w:rtl/>
        </w:rPr>
        <w:t xml:space="preserve">היועץ המשפטי לממשלה סבור כי חרף התוצאות השונות שאליהן הגיעו שופטי ההרכב במקרה הקונקרטי, ההלכות שנקבעו בדבר תחולת הדין האזרחי על ענייני רכוש שבין בני זוג, ובדבר היעדר השפעתה של בגידה על הזכויות </w:t>
      </w:r>
      <w:proofErr w:type="spellStart"/>
      <w:r>
        <w:rPr>
          <w:rFonts w:ascii="Garamond" w:hAnsi="Garamond" w:cs="FrankRuehl" w:hint="cs"/>
          <w:spacing w:val="10"/>
          <w:sz w:val="24"/>
          <w:szCs w:val="28"/>
          <w:rtl/>
        </w:rPr>
        <w:t>הרכושיות</w:t>
      </w:r>
      <w:proofErr w:type="spellEnd"/>
      <w:r w:rsidRPr="00C97C72">
        <w:rPr>
          <w:rFonts w:ascii="Garamond" w:hAnsi="Garamond" w:cs="FrankRuehl" w:hint="cs"/>
          <w:spacing w:val="10"/>
          <w:sz w:val="24"/>
          <w:szCs w:val="28"/>
          <w:rtl/>
        </w:rPr>
        <w:t xml:space="preserve"> של בני הזוג </w:t>
      </w:r>
      <w:r w:rsidRPr="00C97C72">
        <w:rPr>
          <w:rFonts w:ascii="Garamond" w:hAnsi="Garamond" w:cs="FrankRuehl"/>
          <w:spacing w:val="10"/>
          <w:sz w:val="24"/>
          <w:szCs w:val="28"/>
          <w:rtl/>
        </w:rPr>
        <w:t>–</w:t>
      </w:r>
      <w:r w:rsidRPr="00C97C72">
        <w:rPr>
          <w:rFonts w:ascii="Garamond" w:hAnsi="Garamond" w:cs="FrankRuehl" w:hint="cs"/>
          <w:spacing w:val="10"/>
          <w:sz w:val="24"/>
          <w:szCs w:val="28"/>
          <w:rtl/>
        </w:rPr>
        <w:t xml:space="preserve"> עומדות על מכונן. בהקשר זה טוען היועץ המשפטי לממשלה כי דבריו של השופט </w:t>
      </w:r>
      <w:r w:rsidRPr="00C57004">
        <w:rPr>
          <w:rFonts w:ascii="Century" w:hAnsi="Century" w:cs="Miriam" w:hint="cs"/>
          <w:b/>
          <w:spacing w:val="10"/>
          <w:sz w:val="22"/>
          <w:rtl/>
        </w:rPr>
        <w:t>שטיין</w:t>
      </w:r>
      <w:r w:rsidRPr="00C97C72">
        <w:rPr>
          <w:rFonts w:ascii="Garamond" w:hAnsi="Garamond" w:cs="FrankRuehl" w:hint="cs"/>
          <w:spacing w:val="10"/>
          <w:sz w:val="24"/>
          <w:szCs w:val="28"/>
          <w:rtl/>
        </w:rPr>
        <w:t xml:space="preserve"> בדבר שלילת זכויות בנכס מכוחו של הסכם מכללא הם דעת יחיד ואין לראות בהם הלכה, וכי אין מקום להניח שבני הזוג בענייננו הסכימו אפריורית שבגידה עלולה לשלול כוונת שיתוף בנכס או שהבגידה תכריע בשאלה אם התגבש שיתוף. לשיטת היועץ המשפטי לממשלה, אין להוציא מכלל אפשרות שלפי הדין האזרחי תהיה לבגידה, במקרים מסוימים, נפקות בשאלת קיומו של שיתוף בנכס ספציפי, אך "לא בהכרח כך יהיה" ומכל מקום, בגידה אינה יכולה להשפיע באופן רטרואקטיבי על שיתוף שכבר התגבש.</w:t>
      </w:r>
    </w:p>
    <w:p w:rsidR="00FA3A86" w:rsidRPr="00C97C72" w:rsidRDefault="00FA3A86" w:rsidP="00FA3A86">
      <w:pPr>
        <w:pStyle w:val="Ruller41"/>
        <w:rPr>
          <w:rFonts w:ascii="Garamond" w:hAnsi="Garamond"/>
          <w:sz w:val="24"/>
          <w:rtl/>
        </w:rPr>
      </w:pPr>
    </w:p>
    <w:p w:rsidR="00FA3A86" w:rsidRPr="001E192A" w:rsidRDefault="00FA3A86" w:rsidP="00FA3A86">
      <w:pPr>
        <w:pStyle w:val="Ruller4"/>
        <w:rPr>
          <w:sz w:val="22"/>
          <w:rtl/>
        </w:rPr>
      </w:pPr>
      <w:r>
        <w:rPr>
          <w:rFonts w:hint="cs"/>
          <w:rtl/>
        </w:rPr>
        <w:lastRenderedPageBreak/>
        <w:t>בשם בית הדין הרבני הגדול והאזורי</w:t>
      </w:r>
      <w:r w:rsidRPr="00604EF9">
        <w:rPr>
          <w:rFonts w:hint="cs"/>
          <w:rtl/>
        </w:rPr>
        <w:t xml:space="preserve"> הוגשו טיעונים מטעם היועץ המשפטי לשיפוט הרבני (להלן: </w:t>
      </w:r>
      <w:r w:rsidRPr="00264248">
        <w:rPr>
          <w:rFonts w:ascii="Century" w:hAnsi="Century" w:cs="Miriam" w:hint="eastAsia"/>
          <w:b/>
          <w:spacing w:val="0"/>
          <w:sz w:val="22"/>
          <w:szCs w:val="24"/>
          <w:rtl/>
        </w:rPr>
        <w:t>היוע</w:t>
      </w:r>
      <w:r w:rsidRPr="00264248">
        <w:rPr>
          <w:rFonts w:ascii="Century" w:hAnsi="Century" w:cs="Miriam" w:hint="cs"/>
          <w:b/>
          <w:spacing w:val="0"/>
          <w:sz w:val="22"/>
          <w:szCs w:val="24"/>
          <w:rtl/>
        </w:rPr>
        <w:t xml:space="preserve">ץ </w:t>
      </w:r>
      <w:r w:rsidRPr="00264248">
        <w:rPr>
          <w:rFonts w:ascii="Century" w:hAnsi="Century" w:cs="Miriam" w:hint="eastAsia"/>
          <w:b/>
          <w:spacing w:val="0"/>
          <w:sz w:val="22"/>
          <w:szCs w:val="24"/>
          <w:rtl/>
        </w:rPr>
        <w:t>לשיפוט</w:t>
      </w:r>
      <w:r w:rsidRPr="00264248">
        <w:rPr>
          <w:rFonts w:ascii="Century" w:hAnsi="Century" w:cs="Miriam"/>
          <w:b/>
          <w:spacing w:val="0"/>
          <w:sz w:val="22"/>
          <w:szCs w:val="24"/>
          <w:rtl/>
        </w:rPr>
        <w:t xml:space="preserve"> </w:t>
      </w:r>
      <w:r w:rsidRPr="00264248">
        <w:rPr>
          <w:rFonts w:ascii="Century" w:hAnsi="Century" w:cs="Miriam" w:hint="eastAsia"/>
          <w:b/>
          <w:spacing w:val="0"/>
          <w:sz w:val="22"/>
          <w:szCs w:val="24"/>
          <w:rtl/>
        </w:rPr>
        <w:t>הרבני</w:t>
      </w:r>
      <w:r w:rsidRPr="00604EF9">
        <w:rPr>
          <w:rFonts w:hint="cs"/>
          <w:rtl/>
        </w:rPr>
        <w:t xml:space="preserve">). לגישת היועץ לשיפוט </w:t>
      </w:r>
      <w:r>
        <w:rPr>
          <w:rFonts w:hint="cs"/>
          <w:rtl/>
        </w:rPr>
        <w:t>ה</w:t>
      </w:r>
      <w:r w:rsidRPr="00604EF9">
        <w:rPr>
          <w:rFonts w:hint="cs"/>
          <w:rtl/>
        </w:rPr>
        <w:t xml:space="preserve">רבני, </w:t>
      </w:r>
      <w:r>
        <w:rPr>
          <w:rFonts w:hint="cs"/>
          <w:rtl/>
        </w:rPr>
        <w:t>בתי הדין הרבניים מיישמים</w:t>
      </w:r>
      <w:r w:rsidRPr="00604EF9">
        <w:rPr>
          <w:rFonts w:hint="cs"/>
          <w:rtl/>
        </w:rPr>
        <w:t xml:space="preserve"> את הדין האזרחי החל על סוגיית השיתוף </w:t>
      </w:r>
      <w:r>
        <w:rPr>
          <w:rFonts w:hint="cs"/>
          <w:rtl/>
        </w:rPr>
        <w:t xml:space="preserve">בנכס </w:t>
      </w:r>
      <w:r w:rsidRPr="00604EF9">
        <w:rPr>
          <w:rFonts w:hint="cs"/>
          <w:rtl/>
        </w:rPr>
        <w:t>ספציפי בהתאם לנסיבות המקרה הפרטניות</w:t>
      </w:r>
      <w:r>
        <w:rPr>
          <w:rFonts w:hint="cs"/>
          <w:rtl/>
        </w:rPr>
        <w:t>.</w:t>
      </w:r>
      <w:r>
        <w:rPr>
          <w:rFonts w:hint="cs"/>
          <w:sz w:val="22"/>
          <w:rtl/>
        </w:rPr>
        <w:t xml:space="preserve"> </w:t>
      </w:r>
      <w:r w:rsidRPr="00604EF9">
        <w:rPr>
          <w:rFonts w:hint="cs"/>
          <w:sz w:val="22"/>
          <w:rtl/>
        </w:rPr>
        <w:t>היועץ לשיפוט הרבני</w:t>
      </w:r>
      <w:r>
        <w:rPr>
          <w:rFonts w:hint="cs"/>
          <w:sz w:val="22"/>
          <w:rtl/>
        </w:rPr>
        <w:t xml:space="preserve"> מדגיש כי </w:t>
      </w:r>
      <w:r w:rsidRPr="00604EF9">
        <w:rPr>
          <w:rFonts w:hint="cs"/>
          <w:sz w:val="22"/>
          <w:rtl/>
        </w:rPr>
        <w:t>לא הבגידה היא שהטתה את הכף בענייננו, אלא העובדה שהמבקשת לא הוכיחה "דבר מה נוסף" המעיד על כוונת שיתוף בנכס.</w:t>
      </w:r>
      <w:r>
        <w:rPr>
          <w:rFonts w:hint="cs"/>
          <w:sz w:val="22"/>
          <w:rtl/>
        </w:rPr>
        <w:t xml:space="preserve"> לטענת</w:t>
      </w:r>
      <w:r w:rsidRPr="001E192A">
        <w:rPr>
          <w:rFonts w:hint="cs"/>
          <w:sz w:val="22"/>
          <w:rtl/>
        </w:rPr>
        <w:t xml:space="preserve"> היועץ לש</w:t>
      </w:r>
      <w:r>
        <w:rPr>
          <w:rFonts w:hint="cs"/>
          <w:sz w:val="22"/>
          <w:rtl/>
        </w:rPr>
        <w:t xml:space="preserve">יפוט הרבני, </w:t>
      </w:r>
      <w:r w:rsidRPr="001E192A">
        <w:rPr>
          <w:rFonts w:hint="cs"/>
          <w:sz w:val="22"/>
          <w:rtl/>
        </w:rPr>
        <w:t xml:space="preserve">העמדה לפיה השיתוף הספציפי מתגבש </w:t>
      </w:r>
      <w:r>
        <w:rPr>
          <w:rFonts w:hint="cs"/>
          <w:sz w:val="22"/>
          <w:rtl/>
        </w:rPr>
        <w:t>בנקודת זמן מסוימת בחיי הנישואין לא נזכרה</w:t>
      </w:r>
      <w:r w:rsidRPr="001E192A">
        <w:rPr>
          <w:rFonts w:hint="cs"/>
          <w:sz w:val="22"/>
          <w:rtl/>
        </w:rPr>
        <w:t xml:space="preserve"> קודם לכן במפורש בפסיקתו של בית משפט זה</w:t>
      </w:r>
      <w:r>
        <w:rPr>
          <w:rFonts w:hint="cs"/>
          <w:sz w:val="22"/>
          <w:rtl/>
        </w:rPr>
        <w:t xml:space="preserve">. בהקשר זה מבהיר </w:t>
      </w:r>
      <w:r w:rsidRPr="001E192A">
        <w:rPr>
          <w:rFonts w:hint="cs"/>
          <w:sz w:val="22"/>
          <w:rtl/>
        </w:rPr>
        <w:t xml:space="preserve">היועץ לשיפוט הרבני כי בית </w:t>
      </w:r>
      <w:r w:rsidRPr="00EE19C3">
        <w:rPr>
          <w:rFonts w:hint="cs"/>
          <w:rtl/>
        </w:rPr>
        <w:t>הדין</w:t>
      </w:r>
      <w:r>
        <w:rPr>
          <w:rFonts w:hint="cs"/>
          <w:rtl/>
        </w:rPr>
        <w:t xml:space="preserve"> הרבני הגדול</w:t>
      </w:r>
      <w:r w:rsidRPr="001E192A">
        <w:rPr>
          <w:rFonts w:hint="cs"/>
          <w:sz w:val="22"/>
          <w:rtl/>
        </w:rPr>
        <w:t xml:space="preserve">, ובפרט הדיין </w:t>
      </w:r>
      <w:r w:rsidRPr="001E192A">
        <w:rPr>
          <w:rFonts w:ascii="Century" w:hAnsi="Century" w:cs="Miriam" w:hint="cs"/>
          <w:b/>
          <w:spacing w:val="0"/>
          <w:sz w:val="22"/>
          <w:szCs w:val="24"/>
          <w:rtl/>
        </w:rPr>
        <w:t>נהרי</w:t>
      </w:r>
      <w:r w:rsidRPr="001E192A">
        <w:rPr>
          <w:rFonts w:hint="cs"/>
          <w:sz w:val="22"/>
          <w:rtl/>
        </w:rPr>
        <w:t xml:space="preserve">, הבין את הלכת השיתוף הספציפי </w:t>
      </w:r>
      <w:r>
        <w:rPr>
          <w:rFonts w:hint="cs"/>
          <w:sz w:val="22"/>
          <w:rtl/>
        </w:rPr>
        <w:t xml:space="preserve">בתור </w:t>
      </w:r>
      <w:r w:rsidRPr="001E192A">
        <w:rPr>
          <w:rFonts w:hint="cs"/>
          <w:sz w:val="22"/>
          <w:rtl/>
        </w:rPr>
        <w:t xml:space="preserve">כלל המבסס זכות אובליגטורית במהלך חיי הנישואין </w:t>
      </w:r>
      <w:r>
        <w:rPr>
          <w:rFonts w:hint="cs"/>
          <w:sz w:val="22"/>
          <w:rtl/>
        </w:rPr>
        <w:t xml:space="preserve">ואשר מכוחה נוצר שיתוף </w:t>
      </w:r>
      <w:r w:rsidRPr="001E192A">
        <w:rPr>
          <w:rFonts w:hint="cs"/>
          <w:sz w:val="22"/>
          <w:rtl/>
        </w:rPr>
        <w:t xml:space="preserve">רק עם פקיעתם. כלומר, לעמדת בית הדין לא מדובר בשיתוף שהושלם או </w:t>
      </w:r>
      <w:r>
        <w:rPr>
          <w:rFonts w:hint="cs"/>
          <w:sz w:val="22"/>
          <w:rtl/>
        </w:rPr>
        <w:t>במתנה שניתנה ו</w:t>
      </w:r>
      <w:r w:rsidRPr="001E192A">
        <w:rPr>
          <w:rFonts w:hint="cs"/>
          <w:sz w:val="22"/>
          <w:rtl/>
        </w:rPr>
        <w:t>אין לחזור ממנה</w:t>
      </w:r>
      <w:r>
        <w:rPr>
          <w:rFonts w:hint="cs"/>
          <w:sz w:val="22"/>
          <w:rtl/>
        </w:rPr>
        <w:t>, אלא ב</w:t>
      </w:r>
      <w:r w:rsidRPr="001E192A">
        <w:rPr>
          <w:rFonts w:hint="cs"/>
          <w:sz w:val="22"/>
          <w:rtl/>
        </w:rPr>
        <w:t xml:space="preserve">"הבטחה למתנה" שנתינתה לא הושלמה. </w:t>
      </w:r>
    </w:p>
    <w:p w:rsidR="00FA3A86" w:rsidRDefault="00FA3A86" w:rsidP="00FA3A86">
      <w:pPr>
        <w:rPr>
          <w:rtl/>
        </w:rPr>
      </w:pPr>
    </w:p>
    <w:p w:rsidR="00FA3A86" w:rsidRPr="00604EF9" w:rsidRDefault="00FA3A86" w:rsidP="00FA3A86">
      <w:pPr>
        <w:rPr>
          <w:rtl/>
        </w:rPr>
      </w:pPr>
    </w:p>
    <w:p w:rsidR="00FA3A86" w:rsidRPr="00604EF9" w:rsidRDefault="00FA3A86" w:rsidP="00FA3A86">
      <w:pPr>
        <w:pStyle w:val="1"/>
        <w:rPr>
          <w:rtl/>
        </w:rPr>
      </w:pPr>
      <w:r w:rsidRPr="00604EF9">
        <w:rPr>
          <w:rFonts w:hint="cs"/>
          <w:rtl/>
        </w:rPr>
        <w:t>דיון והכרעה</w:t>
      </w:r>
    </w:p>
    <w:p w:rsidR="00FA3A86" w:rsidRPr="00604EF9" w:rsidRDefault="00FA3A86" w:rsidP="00FA3A86">
      <w:pPr>
        <w:pStyle w:val="Ruller4"/>
        <w:numPr>
          <w:ilvl w:val="0"/>
          <w:numId w:val="0"/>
        </w:numPr>
        <w:rPr>
          <w:rtl/>
        </w:rPr>
      </w:pPr>
    </w:p>
    <w:p w:rsidR="00FA3A86" w:rsidRPr="00EC4F6F" w:rsidRDefault="00FA3A86" w:rsidP="00B2290C">
      <w:pPr>
        <w:numPr>
          <w:ilvl w:val="0"/>
          <w:numId w:val="11"/>
        </w:numPr>
        <w:tabs>
          <w:tab w:val="left" w:pos="800"/>
        </w:tabs>
        <w:spacing w:line="360" w:lineRule="auto"/>
        <w:jc w:val="both"/>
        <w:rPr>
          <w:rFonts w:ascii="Garamond" w:hAnsi="Garamond" w:cs="FrankRuehl"/>
          <w:spacing w:val="10"/>
          <w:sz w:val="22"/>
          <w:szCs w:val="28"/>
        </w:rPr>
      </w:pPr>
      <w:r w:rsidRPr="00EC4F6F">
        <w:rPr>
          <w:rFonts w:ascii="Garamond" w:hAnsi="Garamond" w:cs="FrankRuehl" w:hint="cs"/>
          <w:spacing w:val="10"/>
          <w:sz w:val="22"/>
          <w:szCs w:val="28"/>
          <w:rtl/>
        </w:rPr>
        <w:t xml:space="preserve">בית הדין </w:t>
      </w:r>
      <w:r>
        <w:rPr>
          <w:rFonts w:ascii="Garamond" w:hAnsi="Garamond" w:cs="FrankRuehl" w:hint="cs"/>
          <w:spacing w:val="10"/>
          <w:sz w:val="22"/>
          <w:szCs w:val="28"/>
          <w:rtl/>
        </w:rPr>
        <w:t xml:space="preserve">הרבני </w:t>
      </w:r>
      <w:r w:rsidRPr="00EC4F6F">
        <w:rPr>
          <w:rFonts w:ascii="Garamond" w:hAnsi="Garamond" w:cs="FrankRuehl" w:hint="cs"/>
          <w:spacing w:val="10"/>
          <w:sz w:val="22"/>
          <w:szCs w:val="28"/>
          <w:rtl/>
        </w:rPr>
        <w:t>האזורי, בית הדין ה</w:t>
      </w:r>
      <w:r>
        <w:rPr>
          <w:rFonts w:ascii="Garamond" w:hAnsi="Garamond" w:cs="FrankRuehl" w:hint="cs"/>
          <w:spacing w:val="10"/>
          <w:sz w:val="22"/>
          <w:szCs w:val="28"/>
          <w:rtl/>
        </w:rPr>
        <w:t>רבני ה</w:t>
      </w:r>
      <w:r w:rsidRPr="00EC4F6F">
        <w:rPr>
          <w:rFonts w:ascii="Garamond" w:hAnsi="Garamond" w:cs="FrankRuehl" w:hint="cs"/>
          <w:spacing w:val="10"/>
          <w:sz w:val="22"/>
          <w:szCs w:val="28"/>
          <w:rtl/>
        </w:rPr>
        <w:t xml:space="preserve">גדול, וכן </w:t>
      </w:r>
      <w:r>
        <w:rPr>
          <w:rFonts w:ascii="Garamond" w:hAnsi="Garamond" w:cs="FrankRuehl" w:hint="cs"/>
          <w:spacing w:val="10"/>
          <w:sz w:val="22"/>
          <w:szCs w:val="28"/>
          <w:rtl/>
        </w:rPr>
        <w:t>בית משפט זה בפסק הדין נושא הדיון הנוסף</w:t>
      </w:r>
      <w:r w:rsidRPr="00EC4F6F">
        <w:rPr>
          <w:rFonts w:ascii="Garamond" w:hAnsi="Garamond" w:cs="FrankRuehl" w:hint="cs"/>
          <w:spacing w:val="10"/>
          <w:sz w:val="22"/>
          <w:szCs w:val="28"/>
          <w:rtl/>
        </w:rPr>
        <w:t xml:space="preserve"> </w:t>
      </w:r>
      <w:r>
        <w:rPr>
          <w:rFonts w:ascii="Garamond" w:hAnsi="Garamond" w:cs="FrankRuehl"/>
          <w:spacing w:val="10"/>
          <w:sz w:val="22"/>
          <w:szCs w:val="28"/>
          <w:rtl/>
        </w:rPr>
        <w:t>–</w:t>
      </w:r>
      <w:r>
        <w:rPr>
          <w:rFonts w:ascii="Garamond" w:hAnsi="Garamond" w:cs="FrankRuehl" w:hint="cs"/>
          <w:spacing w:val="10"/>
          <w:sz w:val="22"/>
          <w:szCs w:val="28"/>
          <w:rtl/>
        </w:rPr>
        <w:t xml:space="preserve"> </w:t>
      </w:r>
      <w:r w:rsidRPr="00EC4F6F">
        <w:rPr>
          <w:rFonts w:ascii="Garamond" w:hAnsi="Garamond" w:cs="FrankRuehl" w:hint="cs"/>
          <w:spacing w:val="10"/>
          <w:sz w:val="22"/>
          <w:szCs w:val="28"/>
          <w:rtl/>
        </w:rPr>
        <w:t>הביעו עמדות שונות בנוגע ל</w:t>
      </w:r>
      <w:r>
        <w:rPr>
          <w:rFonts w:ascii="Garamond" w:hAnsi="Garamond" w:cs="FrankRuehl" w:hint="cs"/>
          <w:spacing w:val="10"/>
          <w:sz w:val="22"/>
          <w:szCs w:val="28"/>
          <w:rtl/>
        </w:rPr>
        <w:t>סוגיות</w:t>
      </w:r>
      <w:r w:rsidRPr="00EC4F6F">
        <w:rPr>
          <w:rFonts w:ascii="Garamond" w:hAnsi="Garamond" w:cs="FrankRuehl" w:hint="cs"/>
          <w:spacing w:val="10"/>
          <w:sz w:val="22"/>
          <w:szCs w:val="28"/>
          <w:rtl/>
        </w:rPr>
        <w:t xml:space="preserve"> שבמוקד </w:t>
      </w:r>
      <w:r>
        <w:rPr>
          <w:rFonts w:ascii="Garamond" w:hAnsi="Garamond" w:cs="FrankRuehl" w:hint="cs"/>
          <w:spacing w:val="10"/>
          <w:sz w:val="22"/>
          <w:szCs w:val="28"/>
          <w:rtl/>
        </w:rPr>
        <w:t>הפרשה</w:t>
      </w:r>
      <w:r w:rsidRPr="00EC4F6F">
        <w:rPr>
          <w:rFonts w:ascii="Garamond" w:hAnsi="Garamond" w:cs="FrankRuehl" w:hint="cs"/>
          <w:spacing w:val="10"/>
          <w:sz w:val="22"/>
          <w:szCs w:val="28"/>
          <w:rtl/>
        </w:rPr>
        <w:t xml:space="preserve">. </w:t>
      </w:r>
      <w:r>
        <w:rPr>
          <w:rFonts w:ascii="Garamond" w:hAnsi="Garamond" w:cs="FrankRuehl" w:hint="cs"/>
          <w:spacing w:val="10"/>
          <w:sz w:val="22"/>
          <w:szCs w:val="28"/>
          <w:rtl/>
        </w:rPr>
        <w:t xml:space="preserve">חלק מעמדות אלה </w:t>
      </w:r>
      <w:r w:rsidRPr="00EC4F6F">
        <w:rPr>
          <w:rFonts w:ascii="Garamond" w:hAnsi="Garamond" w:cs="FrankRuehl" w:hint="cs"/>
          <w:spacing w:val="10"/>
          <w:sz w:val="22"/>
          <w:szCs w:val="28"/>
          <w:rtl/>
        </w:rPr>
        <w:t>נותרו אמנם בגדר דעות יחיד שאינן עולות כדי הלכה מחייבת, אך סברנו כי</w:t>
      </w:r>
      <w:r>
        <w:rPr>
          <w:rFonts w:ascii="Garamond" w:hAnsi="Garamond" w:cs="FrankRuehl" w:hint="cs"/>
          <w:spacing w:val="10"/>
          <w:sz w:val="22"/>
          <w:szCs w:val="28"/>
          <w:rtl/>
        </w:rPr>
        <w:t xml:space="preserve"> בנסיבות שנוצרו</w:t>
      </w:r>
      <w:r w:rsidRPr="00EC4F6F">
        <w:rPr>
          <w:rFonts w:ascii="Garamond" w:hAnsi="Garamond" w:cs="FrankRuehl" w:hint="cs"/>
          <w:spacing w:val="10"/>
          <w:sz w:val="22"/>
          <w:szCs w:val="28"/>
          <w:rtl/>
        </w:rPr>
        <w:t xml:space="preserve"> יש מקום להעמיד הלכה על מכונה במסגרת הדיון הנוסף שלפנינו, </w:t>
      </w:r>
      <w:r>
        <w:rPr>
          <w:rFonts w:ascii="Garamond" w:hAnsi="Garamond" w:cs="FrankRuehl" w:hint="cs"/>
          <w:spacing w:val="10"/>
          <w:sz w:val="22"/>
          <w:szCs w:val="28"/>
          <w:rtl/>
        </w:rPr>
        <w:t>ו</w:t>
      </w:r>
      <w:r w:rsidRPr="00EC4F6F">
        <w:rPr>
          <w:rFonts w:ascii="Garamond" w:hAnsi="Garamond" w:cs="FrankRuehl" w:hint="cs"/>
          <w:spacing w:val="10"/>
          <w:sz w:val="22"/>
          <w:szCs w:val="28"/>
          <w:rtl/>
        </w:rPr>
        <w:t xml:space="preserve">להבהיר את הטעון הבהרה (השוו: </w:t>
      </w:r>
      <w:r w:rsidRPr="00EC4F6F">
        <w:rPr>
          <w:rFonts w:ascii="Garamond" w:hAnsi="Garamond" w:cs="FrankRuehl"/>
          <w:spacing w:val="10"/>
          <w:sz w:val="22"/>
          <w:szCs w:val="28"/>
          <w:rtl/>
        </w:rPr>
        <w:t>ד</w:t>
      </w:r>
      <w:r w:rsidRPr="00EC4F6F">
        <w:rPr>
          <w:rFonts w:ascii="Garamond" w:hAnsi="Garamond" w:cs="FrankRuehl" w:hint="cs"/>
          <w:spacing w:val="10"/>
          <w:sz w:val="22"/>
          <w:szCs w:val="28"/>
          <w:rtl/>
        </w:rPr>
        <w:t>"</w:t>
      </w:r>
      <w:r w:rsidRPr="00EC4F6F">
        <w:rPr>
          <w:rFonts w:ascii="Garamond" w:hAnsi="Garamond" w:cs="FrankRuehl"/>
          <w:spacing w:val="10"/>
          <w:sz w:val="22"/>
          <w:szCs w:val="28"/>
          <w:rtl/>
        </w:rPr>
        <w:t xml:space="preserve">נ </w:t>
      </w:r>
      <w:r w:rsidRPr="00EC4F6F">
        <w:rPr>
          <w:rFonts w:ascii="Garamond" w:hAnsi="Garamond" w:cs="FrankRuehl" w:hint="cs"/>
          <w:spacing w:val="10"/>
          <w:sz w:val="22"/>
          <w:szCs w:val="28"/>
          <w:rtl/>
        </w:rPr>
        <w:t>9/77</w:t>
      </w:r>
      <w:r w:rsidRPr="00EC4F6F">
        <w:rPr>
          <w:rFonts w:ascii="Garamond" w:hAnsi="Garamond" w:cs="FrankRuehl"/>
          <w:spacing w:val="10"/>
          <w:sz w:val="22"/>
          <w:szCs w:val="28"/>
          <w:rtl/>
        </w:rPr>
        <w:t xml:space="preserve"> </w:t>
      </w:r>
      <w:r w:rsidRPr="00791715">
        <w:rPr>
          <w:rFonts w:ascii="Garamond" w:hAnsi="Garamond" w:cs="Miriam"/>
          <w:spacing w:val="10"/>
          <w:rtl/>
        </w:rPr>
        <w:t xml:space="preserve">חברת החשמל לישראל בע״מ </w:t>
      </w:r>
      <w:r w:rsidRPr="00791715">
        <w:rPr>
          <w:rFonts w:ascii="Garamond" w:hAnsi="Garamond" w:cs="Miriam" w:hint="cs"/>
          <w:spacing w:val="10"/>
          <w:rtl/>
        </w:rPr>
        <w:t xml:space="preserve">נ' </w:t>
      </w:r>
      <w:r w:rsidRPr="00791715">
        <w:rPr>
          <w:rFonts w:ascii="Garamond" w:hAnsi="Garamond" w:cs="Miriam"/>
          <w:spacing w:val="10"/>
          <w:rtl/>
        </w:rPr>
        <w:t xml:space="preserve">הוצאת </w:t>
      </w:r>
      <w:proofErr w:type="spellStart"/>
      <w:r w:rsidRPr="00791715">
        <w:rPr>
          <w:rFonts w:ascii="Garamond" w:hAnsi="Garamond" w:cs="Miriam"/>
          <w:spacing w:val="10"/>
          <w:rtl/>
        </w:rPr>
        <w:t>עתון</w:t>
      </w:r>
      <w:proofErr w:type="spellEnd"/>
      <w:r w:rsidRPr="00791715">
        <w:rPr>
          <w:rFonts w:ascii="Garamond" w:hAnsi="Garamond" w:cs="Miriam"/>
          <w:spacing w:val="10"/>
          <w:rtl/>
        </w:rPr>
        <w:t xml:space="preserve"> ״הארץ״ בע״מ</w:t>
      </w:r>
      <w:r w:rsidRPr="00EC4F6F">
        <w:rPr>
          <w:rFonts w:ascii="Garamond" w:hAnsi="Garamond" w:cs="FrankRuehl" w:hint="cs"/>
          <w:spacing w:val="10"/>
          <w:sz w:val="22"/>
          <w:szCs w:val="28"/>
          <w:rtl/>
        </w:rPr>
        <w:t>, פ"ד לב(3) 337 (1978)</w:t>
      </w:r>
      <w:r w:rsidR="00B2290C">
        <w:rPr>
          <w:rFonts w:ascii="Garamond" w:hAnsi="Garamond" w:cs="FrankRuehl" w:hint="cs"/>
          <w:spacing w:val="10"/>
          <w:sz w:val="22"/>
          <w:szCs w:val="28"/>
          <w:rtl/>
        </w:rPr>
        <w:t xml:space="preserve">; להלן: </w:t>
      </w:r>
      <w:r w:rsidR="00B2290C" w:rsidRPr="00B2290C">
        <w:rPr>
          <w:rFonts w:ascii="Garamond" w:hAnsi="Garamond" w:cs="Miriam" w:hint="cs"/>
          <w:spacing w:val="10"/>
          <w:rtl/>
        </w:rPr>
        <w:t>עניין חברת החשמל</w:t>
      </w:r>
      <w:r w:rsidRPr="00EC4F6F">
        <w:rPr>
          <w:rFonts w:ascii="Garamond" w:hAnsi="Garamond" w:cs="FrankRuehl" w:hint="cs"/>
          <w:spacing w:val="10"/>
          <w:sz w:val="22"/>
          <w:szCs w:val="28"/>
          <w:rtl/>
        </w:rPr>
        <w:t>).</w:t>
      </w:r>
    </w:p>
    <w:p w:rsidR="00FA3A86" w:rsidRPr="00EC4F6F" w:rsidRDefault="00FA3A86" w:rsidP="00FA3A86">
      <w:pPr>
        <w:tabs>
          <w:tab w:val="left" w:pos="800"/>
        </w:tabs>
        <w:jc w:val="both"/>
        <w:rPr>
          <w:rFonts w:ascii="Garamond" w:hAnsi="Garamond" w:cs="FrankRuehl"/>
          <w:spacing w:val="10"/>
          <w:sz w:val="22"/>
          <w:szCs w:val="28"/>
        </w:rPr>
      </w:pPr>
    </w:p>
    <w:p w:rsidR="00FA3A86" w:rsidRPr="00EB693D" w:rsidRDefault="00FA3A86" w:rsidP="00FA3A86">
      <w:pPr>
        <w:pStyle w:val="Ruller4"/>
        <w:rPr>
          <w:rtl/>
        </w:rPr>
      </w:pPr>
      <w:r>
        <w:rPr>
          <w:rtl/>
        </w:rPr>
        <w:tab/>
      </w:r>
      <w:r w:rsidRPr="00EC4F6F">
        <w:rPr>
          <w:rFonts w:hint="cs"/>
          <w:rtl/>
        </w:rPr>
        <w:t xml:space="preserve">לצורך הדיון, ובעקבות </w:t>
      </w:r>
      <w:r>
        <w:rPr>
          <w:rFonts w:hint="cs"/>
          <w:rtl/>
        </w:rPr>
        <w:t>טיעונים בכתב</w:t>
      </w:r>
      <w:r w:rsidRPr="00EC4F6F">
        <w:rPr>
          <w:rFonts w:hint="cs"/>
          <w:rtl/>
        </w:rPr>
        <w:t xml:space="preserve"> ובעל פה</w:t>
      </w:r>
      <w:r>
        <w:rPr>
          <w:rFonts w:hint="cs"/>
          <w:rtl/>
        </w:rPr>
        <w:t xml:space="preserve"> שהוצגו</w:t>
      </w:r>
      <w:r w:rsidRPr="00EC4F6F">
        <w:rPr>
          <w:rFonts w:hint="cs"/>
          <w:rtl/>
        </w:rPr>
        <w:t xml:space="preserve"> </w:t>
      </w:r>
      <w:r>
        <w:rPr>
          <w:rFonts w:hint="cs"/>
          <w:rtl/>
        </w:rPr>
        <w:t xml:space="preserve">לנו </w:t>
      </w:r>
      <w:r w:rsidRPr="00EC4F6F">
        <w:rPr>
          <w:rFonts w:hint="cs"/>
          <w:rtl/>
        </w:rPr>
        <w:t xml:space="preserve">על-ידי היועץ לשיפוט הרבני, </w:t>
      </w:r>
      <w:r>
        <w:rPr>
          <w:rFonts w:hint="cs"/>
          <w:rtl/>
        </w:rPr>
        <w:t xml:space="preserve">אני </w:t>
      </w:r>
      <w:r w:rsidRPr="00EC4F6F">
        <w:rPr>
          <w:rFonts w:hint="cs"/>
          <w:rtl/>
        </w:rPr>
        <w:t>מוכנה להניח כי בית הדין הרבני אכן ביקש להחיל על ה</w:t>
      </w:r>
      <w:r>
        <w:rPr>
          <w:rFonts w:hint="cs"/>
          <w:rtl/>
        </w:rPr>
        <w:t>פרשה</w:t>
      </w:r>
      <w:r w:rsidRPr="00EC4F6F">
        <w:rPr>
          <w:rFonts w:hint="cs"/>
          <w:rtl/>
        </w:rPr>
        <w:t xml:space="preserve"> את הדין האזרחי. </w:t>
      </w:r>
      <w:r>
        <w:rPr>
          <w:rFonts w:hint="cs"/>
          <w:rtl/>
        </w:rPr>
        <w:t xml:space="preserve">בפרט, כפי שציין חברי השופט </w:t>
      </w:r>
      <w:r w:rsidRPr="001A1C11">
        <w:rPr>
          <w:rFonts w:ascii="Century" w:hAnsi="Century" w:cs="Miriam" w:hint="eastAsia"/>
          <w:b/>
          <w:szCs w:val="24"/>
          <w:rtl/>
        </w:rPr>
        <w:t>עמית</w:t>
      </w:r>
      <w:r>
        <w:rPr>
          <w:rFonts w:hint="cs"/>
          <w:rtl/>
        </w:rPr>
        <w:t xml:space="preserve">, הדיין </w:t>
      </w:r>
      <w:r w:rsidRPr="001A1C11">
        <w:rPr>
          <w:rFonts w:ascii="Miriam" w:hAnsi="Miriam" w:cs="Miriam"/>
          <w:szCs w:val="24"/>
          <w:rtl/>
        </w:rPr>
        <w:t>עמוס</w:t>
      </w:r>
      <w:r>
        <w:rPr>
          <w:rFonts w:hint="cs"/>
          <w:rtl/>
        </w:rPr>
        <w:t xml:space="preserve"> שבחן את הדברים באספקלריה של הדין האזרחי ולאחר מכן סקר את הדין הדתי ו</w:t>
      </w:r>
      <w:r w:rsidRPr="00D43A21">
        <w:rPr>
          <w:rFonts w:ascii="Century" w:hAnsi="Century" w:hint="eastAsia"/>
          <w:rtl/>
        </w:rPr>
        <w:t>לצורך</w:t>
      </w:r>
      <w:r w:rsidRPr="00D43A21">
        <w:rPr>
          <w:rFonts w:ascii="Century" w:hAnsi="Century"/>
          <w:rtl/>
        </w:rPr>
        <w:t xml:space="preserve"> </w:t>
      </w:r>
      <w:r w:rsidRPr="00D43A21">
        <w:rPr>
          <w:rFonts w:ascii="Century" w:hAnsi="Century" w:hint="eastAsia"/>
          <w:rtl/>
        </w:rPr>
        <w:t>כך</w:t>
      </w:r>
      <w:r w:rsidRPr="00D43A21">
        <w:rPr>
          <w:rFonts w:ascii="Century" w:hAnsi="Century"/>
          <w:rtl/>
        </w:rPr>
        <w:t>,</w:t>
      </w:r>
      <w:r>
        <w:rPr>
          <w:rFonts w:ascii="Century" w:hAnsi="Century" w:hint="cs"/>
          <w:rtl/>
        </w:rPr>
        <w:t xml:space="preserve"> התייחס</w:t>
      </w:r>
      <w:r>
        <w:rPr>
          <w:rFonts w:hint="cs"/>
          <w:rtl/>
        </w:rPr>
        <w:t xml:space="preserve"> אל פסיקת בית המשפט בעניין שיתוף ספציפי בדירת מגורים כ"מנהג" שלא פשט. ניתן להניח, כפי שעשה חברי, שהדיין </w:t>
      </w:r>
      <w:r w:rsidRPr="001A1C11">
        <w:rPr>
          <w:rFonts w:ascii="Century" w:hAnsi="Century" w:cs="Miriam" w:hint="eastAsia"/>
          <w:b/>
          <w:szCs w:val="24"/>
          <w:rtl/>
        </w:rPr>
        <w:t>עמוס</w:t>
      </w:r>
      <w:r>
        <w:rPr>
          <w:rFonts w:hint="cs"/>
          <w:rtl/>
        </w:rPr>
        <w:t xml:space="preserve"> ביקש להדגיש </w:t>
      </w:r>
      <w:r w:rsidRPr="004474DC">
        <w:rPr>
          <w:rFonts w:ascii="Century" w:hAnsi="Century" w:hint="eastAsia"/>
          <w:rtl/>
        </w:rPr>
        <w:t>ש</w:t>
      </w:r>
      <w:r w:rsidRPr="001A1C11">
        <w:rPr>
          <w:rFonts w:ascii="Century" w:hAnsi="Century" w:cs="Miriam" w:hint="eastAsia"/>
          <w:b/>
          <w:szCs w:val="24"/>
          <w:rtl/>
        </w:rPr>
        <w:t>בהיבט</w:t>
      </w:r>
      <w:r w:rsidRPr="001A1C11">
        <w:rPr>
          <w:rFonts w:ascii="Century" w:hAnsi="Century" w:cs="Miriam"/>
          <w:b/>
          <w:szCs w:val="24"/>
          <w:rtl/>
        </w:rPr>
        <w:t xml:space="preserve"> </w:t>
      </w:r>
      <w:r w:rsidRPr="001A1C11">
        <w:rPr>
          <w:rFonts w:ascii="Century" w:hAnsi="Century" w:cs="Miriam" w:hint="eastAsia"/>
          <w:b/>
          <w:szCs w:val="24"/>
          <w:rtl/>
        </w:rPr>
        <w:t>ההלכתי</w:t>
      </w:r>
      <w:r>
        <w:rPr>
          <w:rFonts w:hint="cs"/>
          <w:rtl/>
        </w:rPr>
        <w:t xml:space="preserve">, כל עוד לא נחקק חוק אזרחי המכיר בשיתוף ספציפי, אין </w:t>
      </w:r>
      <w:r w:rsidRPr="001A1C11">
        <w:rPr>
          <w:rFonts w:ascii="Century" w:hAnsi="Century" w:cs="Miriam" w:hint="eastAsia"/>
          <w:b/>
          <w:szCs w:val="24"/>
          <w:rtl/>
        </w:rPr>
        <w:t>ההלכה</w:t>
      </w:r>
      <w:r w:rsidRPr="00D43A21">
        <w:rPr>
          <w:rFonts w:ascii="Century" w:hAnsi="Century" w:cs="Miriam" w:hint="cs"/>
          <w:b/>
          <w:szCs w:val="24"/>
          <w:rtl/>
        </w:rPr>
        <w:t xml:space="preserve"> בדין הדתי </w:t>
      </w:r>
      <w:r>
        <w:rPr>
          <w:rFonts w:hint="cs"/>
          <w:rtl/>
        </w:rPr>
        <w:t xml:space="preserve">רואה בכך "מנהג המדינה" שיש בכוחו כדי להוציא ממון מידי מי שמוחזק כבעליו. </w:t>
      </w:r>
      <w:r w:rsidRPr="00EC4F6F">
        <w:rPr>
          <w:rFonts w:hint="cs"/>
          <w:rtl/>
        </w:rPr>
        <w:t xml:space="preserve">היועץ לשיפוט הרבני אף הפנה בטיעוניו בעל-פה לפסק דין שניתן על-ידי הדיינים </w:t>
      </w:r>
      <w:r w:rsidRPr="001A1C11">
        <w:rPr>
          <w:rFonts w:ascii="Century" w:hAnsi="Century" w:cs="Miriam" w:hint="eastAsia"/>
          <w:b/>
          <w:szCs w:val="24"/>
          <w:rtl/>
        </w:rPr>
        <w:t>עמוס</w:t>
      </w:r>
      <w:r w:rsidRPr="00D43A21">
        <w:rPr>
          <w:rtl/>
        </w:rPr>
        <w:t>,</w:t>
      </w:r>
      <w:r w:rsidRPr="001A1C11">
        <w:rPr>
          <w:rFonts w:ascii="Century" w:hAnsi="Century" w:cs="Miriam"/>
          <w:b/>
          <w:szCs w:val="24"/>
          <w:rtl/>
        </w:rPr>
        <w:t xml:space="preserve"> נהרי</w:t>
      </w:r>
      <w:r w:rsidRPr="00D43A21">
        <w:rPr>
          <w:rtl/>
        </w:rPr>
        <w:t xml:space="preserve"> </w:t>
      </w:r>
      <w:proofErr w:type="spellStart"/>
      <w:r w:rsidRPr="00D43A21">
        <w:rPr>
          <w:rFonts w:hint="eastAsia"/>
          <w:rtl/>
        </w:rPr>
        <w:t>ו</w:t>
      </w:r>
      <w:r w:rsidRPr="001A1C11">
        <w:rPr>
          <w:rFonts w:ascii="Century" w:hAnsi="Century" w:cs="Miriam" w:hint="eastAsia"/>
          <w:b/>
          <w:szCs w:val="24"/>
          <w:rtl/>
        </w:rPr>
        <w:t>אלמליח</w:t>
      </w:r>
      <w:proofErr w:type="spellEnd"/>
      <w:r w:rsidRPr="004474DC">
        <w:rPr>
          <w:rtl/>
        </w:rPr>
        <w:t xml:space="preserve"> </w:t>
      </w:r>
      <w:r w:rsidRPr="00EC4F6F">
        <w:rPr>
          <w:rFonts w:hint="cs"/>
          <w:rtl/>
        </w:rPr>
        <w:t xml:space="preserve">בעניין אחר, שם הבהירו דייני ההרכב כי הם נדרשים למשפט העברי </w:t>
      </w:r>
      <w:r>
        <w:rPr>
          <w:rFonts w:hint="cs"/>
          <w:rtl/>
        </w:rPr>
        <w:t xml:space="preserve">במסגרת </w:t>
      </w:r>
      <w:r w:rsidRPr="00EC4F6F">
        <w:rPr>
          <w:rFonts w:hint="cs"/>
          <w:rtl/>
        </w:rPr>
        <w:t xml:space="preserve">כפל המעגלים הנורמטיבי שבהם פועלים בתי הדין </w:t>
      </w:r>
      <w:r w:rsidRPr="00DC08D0">
        <w:rPr>
          <w:rFonts w:hint="cs"/>
          <w:rtl/>
        </w:rPr>
        <w:t xml:space="preserve">הרבניים, </w:t>
      </w:r>
      <w:r w:rsidRPr="00DC08D0">
        <w:rPr>
          <w:rFonts w:hint="eastAsia"/>
          <w:rtl/>
        </w:rPr>
        <w:t>כך</w:t>
      </w:r>
      <w:r w:rsidRPr="00DC08D0">
        <w:rPr>
          <w:rtl/>
        </w:rPr>
        <w:t xml:space="preserve"> </w:t>
      </w:r>
      <w:r w:rsidRPr="00DC08D0">
        <w:rPr>
          <w:rFonts w:hint="eastAsia"/>
          <w:rtl/>
        </w:rPr>
        <w:t>שמעשה</w:t>
      </w:r>
      <w:r w:rsidRPr="00DC08D0">
        <w:rPr>
          <w:rtl/>
        </w:rPr>
        <w:t xml:space="preserve"> "</w:t>
      </w:r>
      <w:r w:rsidRPr="00DC08D0">
        <w:rPr>
          <w:rFonts w:hint="eastAsia"/>
          <w:rtl/>
        </w:rPr>
        <w:t>עריכת</w:t>
      </w:r>
      <w:r w:rsidRPr="00DC08D0">
        <w:rPr>
          <w:rtl/>
        </w:rPr>
        <w:t xml:space="preserve"> </w:t>
      </w:r>
      <w:r w:rsidRPr="00DC08D0">
        <w:rPr>
          <w:rFonts w:hint="eastAsia"/>
          <w:rtl/>
        </w:rPr>
        <w:t>קניין</w:t>
      </w:r>
      <w:r w:rsidRPr="00DC08D0">
        <w:rPr>
          <w:rtl/>
        </w:rPr>
        <w:t xml:space="preserve">" </w:t>
      </w:r>
      <w:r w:rsidRPr="00DC08D0">
        <w:rPr>
          <w:rFonts w:hint="eastAsia"/>
          <w:rtl/>
        </w:rPr>
        <w:t>בין</w:t>
      </w:r>
      <w:r w:rsidRPr="00DC08D0">
        <w:rPr>
          <w:rtl/>
        </w:rPr>
        <w:t xml:space="preserve"> </w:t>
      </w:r>
      <w:r w:rsidRPr="00DC08D0">
        <w:rPr>
          <w:rFonts w:hint="eastAsia"/>
          <w:rtl/>
        </w:rPr>
        <w:t>בני</w:t>
      </w:r>
      <w:r w:rsidRPr="00DC08D0">
        <w:rPr>
          <w:rtl/>
        </w:rPr>
        <w:t xml:space="preserve"> </w:t>
      </w:r>
      <w:r w:rsidRPr="00DC08D0">
        <w:rPr>
          <w:rFonts w:hint="eastAsia"/>
          <w:rtl/>
        </w:rPr>
        <w:t>זוג</w:t>
      </w:r>
      <w:r w:rsidRPr="00DC08D0">
        <w:rPr>
          <w:rtl/>
        </w:rPr>
        <w:t xml:space="preserve"> </w:t>
      </w:r>
      <w:r w:rsidRPr="00DC08D0">
        <w:rPr>
          <w:rFonts w:hint="eastAsia"/>
          <w:rtl/>
        </w:rPr>
        <w:t>על</w:t>
      </w:r>
      <w:r w:rsidRPr="00DC08D0">
        <w:rPr>
          <w:rtl/>
        </w:rPr>
        <w:t xml:space="preserve"> </w:t>
      </w:r>
      <w:r w:rsidRPr="00DC08D0">
        <w:rPr>
          <w:rFonts w:hint="eastAsia"/>
          <w:rtl/>
        </w:rPr>
        <w:t>ידי</w:t>
      </w:r>
      <w:r w:rsidRPr="00DC08D0">
        <w:rPr>
          <w:rtl/>
        </w:rPr>
        <w:t xml:space="preserve"> </w:t>
      </w:r>
      <w:r w:rsidRPr="00DC08D0">
        <w:rPr>
          <w:rFonts w:hint="eastAsia"/>
          <w:rtl/>
        </w:rPr>
        <w:t>בית</w:t>
      </w:r>
      <w:r w:rsidRPr="00DC08D0">
        <w:rPr>
          <w:rtl/>
        </w:rPr>
        <w:t xml:space="preserve"> </w:t>
      </w:r>
      <w:r w:rsidRPr="00DC08D0">
        <w:rPr>
          <w:rFonts w:hint="eastAsia"/>
          <w:rtl/>
        </w:rPr>
        <w:t>הדין</w:t>
      </w:r>
      <w:r w:rsidRPr="00DC08D0">
        <w:rPr>
          <w:rtl/>
        </w:rPr>
        <w:t xml:space="preserve"> "</w:t>
      </w:r>
      <w:r w:rsidRPr="00DC08D0">
        <w:rPr>
          <w:rFonts w:ascii="FrankRuehl" w:hAnsi="FrankRuehl"/>
          <w:color w:val="000000"/>
          <w:sz w:val="28"/>
          <w:rtl/>
        </w:rPr>
        <w:t>מגשר על פערים שבין החוק להלכה</w:t>
      </w:r>
      <w:r w:rsidRPr="00DC08D0">
        <w:rPr>
          <w:rtl/>
        </w:rPr>
        <w:t xml:space="preserve">", </w:t>
      </w:r>
      <w:r w:rsidRPr="00DC08D0">
        <w:rPr>
          <w:rFonts w:hint="eastAsia"/>
          <w:rtl/>
        </w:rPr>
        <w:t>והבסיס</w:t>
      </w:r>
      <w:r w:rsidRPr="00DC08D0">
        <w:rPr>
          <w:rtl/>
        </w:rPr>
        <w:t xml:space="preserve"> </w:t>
      </w:r>
      <w:r w:rsidRPr="00DC08D0">
        <w:rPr>
          <w:rFonts w:hint="eastAsia"/>
          <w:rtl/>
        </w:rPr>
        <w:t>להכרעת</w:t>
      </w:r>
      <w:r w:rsidRPr="00DC08D0">
        <w:rPr>
          <w:rtl/>
        </w:rPr>
        <w:t xml:space="preserve"> </w:t>
      </w:r>
      <w:r w:rsidRPr="00DC08D0">
        <w:rPr>
          <w:rFonts w:hint="eastAsia"/>
          <w:rtl/>
        </w:rPr>
        <w:t>בית</w:t>
      </w:r>
      <w:r w:rsidRPr="00DC08D0">
        <w:rPr>
          <w:rtl/>
        </w:rPr>
        <w:t xml:space="preserve"> </w:t>
      </w:r>
      <w:r w:rsidRPr="00DC08D0">
        <w:rPr>
          <w:rFonts w:hint="eastAsia"/>
          <w:rtl/>
        </w:rPr>
        <w:t>הדין</w:t>
      </w:r>
      <w:r w:rsidRPr="00DC08D0">
        <w:rPr>
          <w:rtl/>
        </w:rPr>
        <w:t xml:space="preserve"> </w:t>
      </w:r>
      <w:r w:rsidRPr="00DC08D0">
        <w:rPr>
          <w:rFonts w:hint="eastAsia"/>
          <w:rtl/>
        </w:rPr>
        <w:t>בסוגיות</w:t>
      </w:r>
      <w:r w:rsidRPr="00DC08D0">
        <w:rPr>
          <w:rtl/>
        </w:rPr>
        <w:t xml:space="preserve"> </w:t>
      </w:r>
      <w:r w:rsidRPr="00DC08D0">
        <w:rPr>
          <w:rFonts w:hint="eastAsia"/>
          <w:rtl/>
        </w:rPr>
        <w:lastRenderedPageBreak/>
        <w:t>רכוש</w:t>
      </w:r>
      <w:r w:rsidRPr="00DC08D0">
        <w:rPr>
          <w:rtl/>
        </w:rPr>
        <w:t xml:space="preserve"> </w:t>
      </w:r>
      <w:r w:rsidRPr="00DC08D0">
        <w:rPr>
          <w:rFonts w:hint="eastAsia"/>
          <w:rtl/>
        </w:rPr>
        <w:t>הוא</w:t>
      </w:r>
      <w:r w:rsidRPr="00DC08D0">
        <w:rPr>
          <w:rtl/>
        </w:rPr>
        <w:t xml:space="preserve"> "</w:t>
      </w:r>
      <w:r w:rsidRPr="00DC08D0">
        <w:rPr>
          <w:rFonts w:ascii="FrankRuehl" w:hAnsi="FrankRuehl"/>
          <w:color w:val="000000"/>
          <w:sz w:val="28"/>
          <w:rtl/>
        </w:rPr>
        <w:t>בסיס המשותף לדין האזרחי ולדין הדתי גם יחד</w:t>
      </w:r>
      <w:r w:rsidRPr="00DC08D0">
        <w:rPr>
          <w:rtl/>
        </w:rPr>
        <w:t>"</w:t>
      </w:r>
      <w:r w:rsidRPr="00DC08D0">
        <w:rPr>
          <w:rFonts w:hint="cs"/>
          <w:rtl/>
        </w:rPr>
        <w:t xml:space="preserve"> (תיק (גדול) 992261/3 </w:t>
      </w:r>
      <w:r w:rsidRPr="00DC08D0">
        <w:rPr>
          <w:rFonts w:ascii="Century" w:hAnsi="Century" w:cs="Miriam" w:hint="eastAsia"/>
          <w:b/>
          <w:spacing w:val="0"/>
          <w:szCs w:val="24"/>
          <w:rtl/>
        </w:rPr>
        <w:t>פלונית</w:t>
      </w:r>
      <w:r w:rsidRPr="00DC08D0">
        <w:rPr>
          <w:rFonts w:ascii="Century" w:hAnsi="Century" w:cs="Miriam"/>
          <w:b/>
          <w:spacing w:val="0"/>
          <w:szCs w:val="24"/>
          <w:rtl/>
        </w:rPr>
        <w:t xml:space="preserve"> </w:t>
      </w:r>
      <w:r w:rsidRPr="00DC08D0">
        <w:rPr>
          <w:rFonts w:ascii="Century" w:hAnsi="Century" w:cs="Miriam" w:hint="eastAsia"/>
          <w:b/>
          <w:spacing w:val="0"/>
          <w:szCs w:val="24"/>
          <w:rtl/>
        </w:rPr>
        <w:t>נ</w:t>
      </w:r>
      <w:r w:rsidRPr="00DC08D0">
        <w:rPr>
          <w:rFonts w:ascii="Century" w:hAnsi="Century" w:cs="Miriam"/>
          <w:b/>
          <w:spacing w:val="0"/>
          <w:szCs w:val="24"/>
          <w:rtl/>
        </w:rPr>
        <w:t xml:space="preserve">' </w:t>
      </w:r>
      <w:r w:rsidRPr="00DC08D0">
        <w:rPr>
          <w:rFonts w:ascii="Century" w:hAnsi="Century" w:cs="Miriam" w:hint="eastAsia"/>
          <w:b/>
          <w:spacing w:val="0"/>
          <w:szCs w:val="24"/>
          <w:rtl/>
        </w:rPr>
        <w:t>פלוני</w:t>
      </w:r>
      <w:r w:rsidRPr="00DC08D0">
        <w:rPr>
          <w:rFonts w:hint="cs"/>
          <w:rtl/>
        </w:rPr>
        <w:t>, פסקה י'</w:t>
      </w:r>
      <w:r w:rsidRPr="00DC08D0">
        <w:rPr>
          <w:rtl/>
        </w:rPr>
        <w:t xml:space="preserve"> </w:t>
      </w:r>
      <w:r w:rsidRPr="00DC08D0">
        <w:rPr>
          <w:rFonts w:hint="cs"/>
          <w:rtl/>
        </w:rPr>
        <w:t xml:space="preserve">(29.8.2019) (להלן: </w:t>
      </w:r>
      <w:r w:rsidRPr="00DC08D0">
        <w:rPr>
          <w:rFonts w:ascii="Century" w:hAnsi="Century" w:cs="Miriam" w:hint="cs"/>
          <w:b/>
          <w:szCs w:val="24"/>
          <w:rtl/>
        </w:rPr>
        <w:t>תיק 992261/3</w:t>
      </w:r>
      <w:r w:rsidRPr="00DC08D0">
        <w:rPr>
          <w:rFonts w:hint="cs"/>
          <w:rtl/>
        </w:rPr>
        <w:t xml:space="preserve">)). במקרים המתאימים ניתן לקבל, אפוא, כי בית הדין הרבני </w:t>
      </w:r>
      <w:r>
        <w:rPr>
          <w:rFonts w:hint="cs"/>
          <w:rtl/>
        </w:rPr>
        <w:t xml:space="preserve">מבקש </w:t>
      </w:r>
      <w:r w:rsidRPr="00DC08D0">
        <w:rPr>
          <w:rFonts w:hint="cs"/>
          <w:rtl/>
        </w:rPr>
        <w:t>ליתן לבוש הלכתי לפסיקתו בסכסוך רכושי בהתאם לדין האזרחי, ולמצער להבהיר מהו הכלי ההלכתי שבאמצעותו</w:t>
      </w:r>
      <w:r w:rsidRPr="00604EF9">
        <w:rPr>
          <w:rFonts w:hint="cs"/>
          <w:rtl/>
        </w:rPr>
        <w:t xml:space="preserve"> ניתן</w:t>
      </w:r>
      <w:r>
        <w:rPr>
          <w:rFonts w:hint="cs"/>
          <w:rtl/>
        </w:rPr>
        <w:t xml:space="preserve"> גם תוקף הלכתי לדין האזרחי,</w:t>
      </w:r>
      <w:r w:rsidRPr="00604EF9">
        <w:rPr>
          <w:rFonts w:hint="cs"/>
          <w:rtl/>
        </w:rPr>
        <w:t xml:space="preserve"> בסיטואציה שבה הוא סבור כי קיימת סתירה בין דין תורה </w:t>
      </w:r>
      <w:r>
        <w:rPr>
          <w:rFonts w:hint="cs"/>
          <w:rtl/>
        </w:rPr>
        <w:t>ובין הדין האזרחי</w:t>
      </w:r>
      <w:r w:rsidRPr="00604EF9">
        <w:rPr>
          <w:rFonts w:hint="cs"/>
          <w:rtl/>
        </w:rPr>
        <w:t>.</w:t>
      </w:r>
      <w:r>
        <w:rPr>
          <w:rFonts w:hint="cs"/>
          <w:rtl/>
        </w:rPr>
        <w:t xml:space="preserve"> </w:t>
      </w:r>
    </w:p>
    <w:p w:rsidR="00FA3A86" w:rsidRPr="003C574C" w:rsidRDefault="00FA3A86" w:rsidP="00FA3A86">
      <w:pPr>
        <w:pStyle w:val="Ruller4"/>
        <w:numPr>
          <w:ilvl w:val="0"/>
          <w:numId w:val="0"/>
        </w:numPr>
        <w:rPr>
          <w:rtl/>
        </w:rPr>
      </w:pPr>
    </w:p>
    <w:p w:rsidR="00FA3A86" w:rsidRDefault="00FA3A86" w:rsidP="00FA3A86">
      <w:pPr>
        <w:pStyle w:val="Ruller4"/>
      </w:pPr>
      <w:r>
        <w:rPr>
          <w:rFonts w:hint="cs"/>
          <w:rtl/>
        </w:rPr>
        <w:t xml:space="preserve">הקושי בפסק דינו של בית הדין הרבני הגדול, ועליו עמד חברי השופט </w:t>
      </w:r>
      <w:r w:rsidRPr="00FE25D1">
        <w:rPr>
          <w:rFonts w:cs="Miriam" w:hint="cs"/>
          <w:sz w:val="22"/>
          <w:szCs w:val="24"/>
          <w:rtl/>
        </w:rPr>
        <w:t xml:space="preserve">עמית </w:t>
      </w:r>
      <w:r>
        <w:rPr>
          <w:rFonts w:hint="cs"/>
          <w:rtl/>
        </w:rPr>
        <w:t xml:space="preserve">בפסק דינו, נובע מכך שקביעותיו המשפטיות של בית הדין, אשר מהוות את </w:t>
      </w:r>
      <w:r w:rsidRPr="00604EF9">
        <w:rPr>
          <w:rFonts w:hint="cs"/>
          <w:rtl/>
        </w:rPr>
        <w:t xml:space="preserve">לוז </w:t>
      </w:r>
      <w:r>
        <w:rPr>
          <w:rFonts w:hint="cs"/>
          <w:rtl/>
        </w:rPr>
        <w:t>פסק דינו, אינן משקפות את הדין האזרחי כפי שבא לידי ביטוי ב</w:t>
      </w:r>
      <w:r w:rsidRPr="00604EF9">
        <w:rPr>
          <w:rFonts w:hint="cs"/>
          <w:rtl/>
        </w:rPr>
        <w:t>פס</w:t>
      </w:r>
      <w:r>
        <w:rPr>
          <w:rFonts w:hint="cs"/>
          <w:rtl/>
        </w:rPr>
        <w:t>יקתו של בית משפט זה (</w:t>
      </w:r>
      <w:r w:rsidRPr="00604EF9">
        <w:rPr>
          <w:rFonts w:hint="eastAsia"/>
          <w:rtl/>
        </w:rPr>
        <w:t>ראו</w:t>
      </w:r>
      <w:r>
        <w:rPr>
          <w:rFonts w:hint="cs"/>
          <w:rtl/>
        </w:rPr>
        <w:t>, בין היתר:</w:t>
      </w:r>
      <w:r w:rsidRPr="00604EF9">
        <w:rPr>
          <w:rFonts w:hint="cs"/>
          <w:rtl/>
        </w:rPr>
        <w:t xml:space="preserve"> </w:t>
      </w:r>
      <w:r w:rsidRPr="00604EF9">
        <w:rPr>
          <w:rFonts w:hint="eastAsia"/>
          <w:rtl/>
        </w:rPr>
        <w:t>בג</w:t>
      </w:r>
      <w:r w:rsidRPr="00604EF9">
        <w:rPr>
          <w:rtl/>
        </w:rPr>
        <w:t>"</w:t>
      </w:r>
      <w:r w:rsidRPr="00604EF9">
        <w:rPr>
          <w:rFonts w:hint="eastAsia"/>
          <w:rtl/>
        </w:rPr>
        <w:t>ץ</w:t>
      </w:r>
      <w:r w:rsidRPr="00604EF9">
        <w:rPr>
          <w:rtl/>
        </w:rPr>
        <w:t xml:space="preserve"> 7/83 </w:t>
      </w:r>
      <w:proofErr w:type="spellStart"/>
      <w:r w:rsidRPr="00DA1D59">
        <w:rPr>
          <w:rFonts w:cs="Miriam" w:hint="eastAsia"/>
          <w:b/>
          <w:spacing w:val="0"/>
          <w:sz w:val="22"/>
          <w:szCs w:val="24"/>
          <w:rtl/>
        </w:rPr>
        <w:t>ביארס</w:t>
      </w:r>
      <w:proofErr w:type="spellEnd"/>
      <w:r w:rsidRPr="00DA1D59">
        <w:rPr>
          <w:rFonts w:cs="Miriam"/>
          <w:b/>
          <w:spacing w:val="0"/>
          <w:sz w:val="22"/>
          <w:szCs w:val="24"/>
          <w:rtl/>
        </w:rPr>
        <w:t xml:space="preserve"> </w:t>
      </w:r>
      <w:r w:rsidRPr="00DA1D59">
        <w:rPr>
          <w:rFonts w:cs="Miriam" w:hint="eastAsia"/>
          <w:b/>
          <w:spacing w:val="0"/>
          <w:sz w:val="22"/>
          <w:szCs w:val="24"/>
          <w:rtl/>
        </w:rPr>
        <w:t>נ</w:t>
      </w:r>
      <w:r w:rsidRPr="00DA1D59">
        <w:rPr>
          <w:rFonts w:cs="Miriam"/>
          <w:b/>
          <w:spacing w:val="0"/>
          <w:sz w:val="22"/>
          <w:szCs w:val="24"/>
          <w:rtl/>
        </w:rPr>
        <w:t xml:space="preserve">' </w:t>
      </w:r>
      <w:r w:rsidRPr="00DA1D59">
        <w:rPr>
          <w:rFonts w:cs="Miriam" w:hint="eastAsia"/>
          <w:b/>
          <w:spacing w:val="0"/>
          <w:sz w:val="22"/>
          <w:szCs w:val="24"/>
          <w:rtl/>
        </w:rPr>
        <w:t>בית</w:t>
      </w:r>
      <w:r w:rsidRPr="00DA1D59">
        <w:rPr>
          <w:rFonts w:cs="Miriam"/>
          <w:b/>
          <w:spacing w:val="0"/>
          <w:sz w:val="22"/>
          <w:szCs w:val="24"/>
          <w:rtl/>
        </w:rPr>
        <w:t xml:space="preserve"> </w:t>
      </w:r>
      <w:r w:rsidRPr="00DA1D59">
        <w:rPr>
          <w:rFonts w:cs="Miriam" w:hint="eastAsia"/>
          <w:b/>
          <w:spacing w:val="0"/>
          <w:sz w:val="22"/>
          <w:szCs w:val="24"/>
          <w:rtl/>
        </w:rPr>
        <w:t>הדין</w:t>
      </w:r>
      <w:r w:rsidRPr="00DA1D59">
        <w:rPr>
          <w:rFonts w:cs="Miriam"/>
          <w:b/>
          <w:spacing w:val="0"/>
          <w:sz w:val="22"/>
          <w:szCs w:val="24"/>
          <w:rtl/>
        </w:rPr>
        <w:t xml:space="preserve"> </w:t>
      </w:r>
      <w:r w:rsidRPr="00DA1D59">
        <w:rPr>
          <w:rFonts w:cs="Miriam" w:hint="eastAsia"/>
          <w:b/>
          <w:spacing w:val="0"/>
          <w:sz w:val="22"/>
          <w:szCs w:val="24"/>
          <w:rtl/>
        </w:rPr>
        <w:t>הרבני</w:t>
      </w:r>
      <w:r w:rsidRPr="00DA1D59">
        <w:rPr>
          <w:rFonts w:cs="Miriam"/>
          <w:b/>
          <w:spacing w:val="0"/>
          <w:sz w:val="22"/>
          <w:szCs w:val="24"/>
          <w:rtl/>
        </w:rPr>
        <w:t xml:space="preserve"> </w:t>
      </w:r>
      <w:r w:rsidRPr="00DA1D59">
        <w:rPr>
          <w:rFonts w:cs="Miriam" w:hint="eastAsia"/>
          <w:b/>
          <w:spacing w:val="0"/>
          <w:sz w:val="22"/>
          <w:szCs w:val="24"/>
          <w:rtl/>
        </w:rPr>
        <w:t>האזורי</w:t>
      </w:r>
      <w:r w:rsidRPr="00DA1D59">
        <w:rPr>
          <w:rFonts w:cs="Miriam"/>
          <w:b/>
          <w:spacing w:val="0"/>
          <w:sz w:val="22"/>
          <w:szCs w:val="24"/>
          <w:rtl/>
        </w:rPr>
        <w:t xml:space="preserve"> </w:t>
      </w:r>
      <w:r w:rsidRPr="00DA1D59">
        <w:rPr>
          <w:rFonts w:cs="Miriam" w:hint="eastAsia"/>
          <w:b/>
          <w:spacing w:val="0"/>
          <w:sz w:val="22"/>
          <w:szCs w:val="24"/>
          <w:rtl/>
        </w:rPr>
        <w:t>חיפה</w:t>
      </w:r>
      <w:r w:rsidRPr="00604EF9">
        <w:rPr>
          <w:rtl/>
        </w:rPr>
        <w:t xml:space="preserve">, </w:t>
      </w:r>
      <w:r w:rsidRPr="00604EF9">
        <w:rPr>
          <w:rFonts w:hint="eastAsia"/>
          <w:rtl/>
        </w:rPr>
        <w:t>פ</w:t>
      </w:r>
      <w:r w:rsidRPr="00604EF9">
        <w:rPr>
          <w:rtl/>
        </w:rPr>
        <w:t>"</w:t>
      </w:r>
      <w:r w:rsidRPr="00604EF9">
        <w:rPr>
          <w:rFonts w:hint="eastAsia"/>
          <w:rtl/>
        </w:rPr>
        <w:t>ד</w:t>
      </w:r>
      <w:r w:rsidRPr="00604EF9">
        <w:rPr>
          <w:rtl/>
        </w:rPr>
        <w:t xml:space="preserve"> </w:t>
      </w:r>
      <w:r w:rsidRPr="00604EF9">
        <w:rPr>
          <w:rFonts w:hint="eastAsia"/>
          <w:rtl/>
        </w:rPr>
        <w:t>לח</w:t>
      </w:r>
      <w:r w:rsidRPr="00604EF9">
        <w:rPr>
          <w:rtl/>
        </w:rPr>
        <w:t>(1) 673 (1984)</w:t>
      </w:r>
      <w:r w:rsidRPr="00604EF9">
        <w:rPr>
          <w:rFonts w:hint="cs"/>
          <w:rtl/>
        </w:rPr>
        <w:t xml:space="preserve">; </w:t>
      </w:r>
      <w:r w:rsidRPr="00604EF9">
        <w:rPr>
          <w:rFonts w:hint="eastAsia"/>
          <w:rtl/>
        </w:rPr>
        <w:t>בג</w:t>
      </w:r>
      <w:r w:rsidRPr="00604EF9">
        <w:rPr>
          <w:rtl/>
        </w:rPr>
        <w:t>"</w:t>
      </w:r>
      <w:r w:rsidRPr="00604EF9">
        <w:rPr>
          <w:rFonts w:hint="eastAsia"/>
          <w:rtl/>
        </w:rPr>
        <w:t>ץ</w:t>
      </w:r>
      <w:r w:rsidRPr="00604EF9">
        <w:rPr>
          <w:rtl/>
        </w:rPr>
        <w:t xml:space="preserve"> 2222/99 </w:t>
      </w:r>
      <w:r w:rsidRPr="00DA1D59">
        <w:rPr>
          <w:rFonts w:cs="Miriam" w:hint="eastAsia"/>
          <w:b/>
          <w:spacing w:val="0"/>
          <w:sz w:val="22"/>
          <w:szCs w:val="24"/>
          <w:rtl/>
        </w:rPr>
        <w:t>גבאי</w:t>
      </w:r>
      <w:r w:rsidRPr="00DA1D59">
        <w:rPr>
          <w:rFonts w:cs="Miriam"/>
          <w:b/>
          <w:spacing w:val="0"/>
          <w:sz w:val="22"/>
          <w:szCs w:val="24"/>
          <w:rtl/>
        </w:rPr>
        <w:t xml:space="preserve"> </w:t>
      </w:r>
      <w:r w:rsidRPr="00DA1D59">
        <w:rPr>
          <w:rFonts w:cs="Miriam" w:hint="eastAsia"/>
          <w:b/>
          <w:spacing w:val="0"/>
          <w:sz w:val="22"/>
          <w:szCs w:val="24"/>
          <w:rtl/>
        </w:rPr>
        <w:t>נ</w:t>
      </w:r>
      <w:r w:rsidRPr="00DA1D59">
        <w:rPr>
          <w:rFonts w:cs="Miriam"/>
          <w:b/>
          <w:spacing w:val="0"/>
          <w:sz w:val="22"/>
          <w:szCs w:val="24"/>
          <w:rtl/>
        </w:rPr>
        <w:t xml:space="preserve">' </w:t>
      </w:r>
      <w:r w:rsidRPr="00DA1D59">
        <w:rPr>
          <w:rFonts w:cs="Miriam" w:hint="eastAsia"/>
          <w:b/>
          <w:spacing w:val="0"/>
          <w:sz w:val="22"/>
          <w:szCs w:val="24"/>
          <w:rtl/>
        </w:rPr>
        <w:t>בית</w:t>
      </w:r>
      <w:r w:rsidRPr="00DA1D59">
        <w:rPr>
          <w:rFonts w:cs="Miriam"/>
          <w:b/>
          <w:spacing w:val="0"/>
          <w:sz w:val="22"/>
          <w:szCs w:val="24"/>
          <w:rtl/>
        </w:rPr>
        <w:t xml:space="preserve"> </w:t>
      </w:r>
      <w:r w:rsidRPr="00DA1D59">
        <w:rPr>
          <w:rFonts w:cs="Miriam" w:hint="eastAsia"/>
          <w:b/>
          <w:spacing w:val="0"/>
          <w:sz w:val="22"/>
          <w:szCs w:val="24"/>
          <w:rtl/>
        </w:rPr>
        <w:t>הדין</w:t>
      </w:r>
      <w:r w:rsidRPr="00DA1D59">
        <w:rPr>
          <w:rFonts w:cs="Miriam"/>
          <w:b/>
          <w:spacing w:val="0"/>
          <w:sz w:val="22"/>
          <w:szCs w:val="24"/>
          <w:rtl/>
        </w:rPr>
        <w:t xml:space="preserve"> </w:t>
      </w:r>
      <w:r w:rsidRPr="00DA1D59">
        <w:rPr>
          <w:rFonts w:cs="Miriam" w:hint="eastAsia"/>
          <w:b/>
          <w:spacing w:val="0"/>
          <w:sz w:val="22"/>
          <w:szCs w:val="24"/>
          <w:rtl/>
        </w:rPr>
        <w:t>הרבני</w:t>
      </w:r>
      <w:r w:rsidRPr="00DA1D59">
        <w:rPr>
          <w:rFonts w:cs="Miriam"/>
          <w:b/>
          <w:spacing w:val="0"/>
          <w:sz w:val="22"/>
          <w:szCs w:val="24"/>
          <w:rtl/>
        </w:rPr>
        <w:t xml:space="preserve"> </w:t>
      </w:r>
      <w:r w:rsidRPr="00DA1D59">
        <w:rPr>
          <w:rFonts w:cs="Miriam" w:hint="eastAsia"/>
          <w:b/>
          <w:spacing w:val="0"/>
          <w:sz w:val="22"/>
          <w:szCs w:val="24"/>
          <w:rtl/>
        </w:rPr>
        <w:t>הגדול</w:t>
      </w:r>
      <w:r w:rsidRPr="00604EF9">
        <w:rPr>
          <w:rtl/>
        </w:rPr>
        <w:t xml:space="preserve">, </w:t>
      </w:r>
      <w:r w:rsidRPr="00604EF9">
        <w:rPr>
          <w:rFonts w:hint="eastAsia"/>
          <w:rtl/>
        </w:rPr>
        <w:t>פ</w:t>
      </w:r>
      <w:r w:rsidRPr="00604EF9">
        <w:rPr>
          <w:rtl/>
        </w:rPr>
        <w:t>"</w:t>
      </w:r>
      <w:r w:rsidRPr="00604EF9">
        <w:rPr>
          <w:rFonts w:hint="eastAsia"/>
          <w:rtl/>
        </w:rPr>
        <w:t>ד</w:t>
      </w:r>
      <w:r w:rsidRPr="00604EF9">
        <w:rPr>
          <w:rtl/>
        </w:rPr>
        <w:t xml:space="preserve"> </w:t>
      </w:r>
      <w:r w:rsidRPr="00604EF9">
        <w:rPr>
          <w:rFonts w:hint="eastAsia"/>
          <w:rtl/>
        </w:rPr>
        <w:t>נד</w:t>
      </w:r>
      <w:r w:rsidRPr="00604EF9">
        <w:rPr>
          <w:rtl/>
        </w:rPr>
        <w:t>(5) 401 (2000)</w:t>
      </w:r>
      <w:r w:rsidRPr="00604EF9">
        <w:rPr>
          <w:rFonts w:hint="cs"/>
          <w:rtl/>
        </w:rPr>
        <w:t xml:space="preserve">; </w:t>
      </w:r>
      <w:r w:rsidRPr="00604EF9">
        <w:rPr>
          <w:rFonts w:hint="eastAsia"/>
          <w:rtl/>
        </w:rPr>
        <w:t>בג</w:t>
      </w:r>
      <w:r w:rsidRPr="00604EF9">
        <w:rPr>
          <w:rtl/>
        </w:rPr>
        <w:t>"</w:t>
      </w:r>
      <w:r w:rsidRPr="00604EF9">
        <w:rPr>
          <w:rFonts w:hint="eastAsia"/>
          <w:rtl/>
        </w:rPr>
        <w:t>ץ</w:t>
      </w:r>
      <w:r w:rsidRPr="00604EF9">
        <w:rPr>
          <w:rtl/>
        </w:rPr>
        <w:t xml:space="preserve"> 5416/09 </w:t>
      </w:r>
      <w:r w:rsidRPr="00DA1D59">
        <w:rPr>
          <w:rFonts w:cs="Miriam" w:hint="eastAsia"/>
          <w:b/>
          <w:spacing w:val="0"/>
          <w:sz w:val="22"/>
          <w:szCs w:val="24"/>
          <w:rtl/>
        </w:rPr>
        <w:t>פלונית</w:t>
      </w:r>
      <w:r w:rsidRPr="00DA1D59">
        <w:rPr>
          <w:rFonts w:cs="Miriam"/>
          <w:b/>
          <w:spacing w:val="0"/>
          <w:sz w:val="22"/>
          <w:szCs w:val="24"/>
          <w:rtl/>
        </w:rPr>
        <w:t xml:space="preserve"> </w:t>
      </w:r>
      <w:r w:rsidRPr="00DA1D59">
        <w:rPr>
          <w:rFonts w:cs="Miriam" w:hint="eastAsia"/>
          <w:b/>
          <w:spacing w:val="0"/>
          <w:sz w:val="22"/>
          <w:szCs w:val="24"/>
          <w:rtl/>
        </w:rPr>
        <w:t>נ</w:t>
      </w:r>
      <w:r w:rsidRPr="00DA1D59">
        <w:rPr>
          <w:rFonts w:cs="Miriam"/>
          <w:b/>
          <w:spacing w:val="0"/>
          <w:sz w:val="22"/>
          <w:szCs w:val="24"/>
          <w:rtl/>
        </w:rPr>
        <w:t xml:space="preserve">' </w:t>
      </w:r>
      <w:r w:rsidRPr="00DA1D59">
        <w:rPr>
          <w:rFonts w:cs="Miriam" w:hint="eastAsia"/>
          <w:b/>
          <w:spacing w:val="0"/>
          <w:sz w:val="22"/>
          <w:szCs w:val="24"/>
          <w:rtl/>
        </w:rPr>
        <w:t>פלוני</w:t>
      </w:r>
      <w:r>
        <w:rPr>
          <w:rFonts w:hint="cs"/>
          <w:rtl/>
        </w:rPr>
        <w:t xml:space="preserve">, פ"ד </w:t>
      </w:r>
      <w:proofErr w:type="spellStart"/>
      <w:r>
        <w:rPr>
          <w:rFonts w:hint="cs"/>
          <w:rtl/>
        </w:rPr>
        <w:t>סג</w:t>
      </w:r>
      <w:proofErr w:type="spellEnd"/>
      <w:r>
        <w:rPr>
          <w:rFonts w:hint="cs"/>
          <w:rtl/>
        </w:rPr>
        <w:t>(3) 484</w:t>
      </w:r>
      <w:r w:rsidRPr="00604EF9">
        <w:rPr>
          <w:rtl/>
        </w:rPr>
        <w:t>(2010)</w:t>
      </w:r>
      <w:r>
        <w:rPr>
          <w:rFonts w:hint="cs"/>
          <w:rtl/>
        </w:rPr>
        <w:t xml:space="preserve"> (להלן: </w:t>
      </w:r>
      <w:r w:rsidRPr="00290628">
        <w:rPr>
          <w:rFonts w:cs="Miriam" w:hint="cs"/>
          <w:b/>
          <w:spacing w:val="0"/>
          <w:sz w:val="22"/>
          <w:szCs w:val="24"/>
          <w:rtl/>
        </w:rPr>
        <w:t>בג"ץ 5416/09</w:t>
      </w:r>
      <w:r>
        <w:rPr>
          <w:rFonts w:hint="cs"/>
          <w:rtl/>
        </w:rPr>
        <w:t>)</w:t>
      </w:r>
      <w:r w:rsidRPr="00604EF9">
        <w:rPr>
          <w:rFonts w:hint="cs"/>
          <w:rtl/>
        </w:rPr>
        <w:t xml:space="preserve">; </w:t>
      </w:r>
      <w:r w:rsidRPr="00604EF9">
        <w:rPr>
          <w:rFonts w:hint="eastAsia"/>
          <w:rtl/>
        </w:rPr>
        <w:t>דפנה</w:t>
      </w:r>
      <w:r w:rsidRPr="00604EF9">
        <w:rPr>
          <w:rtl/>
        </w:rPr>
        <w:t xml:space="preserve"> </w:t>
      </w:r>
      <w:r w:rsidRPr="00604EF9">
        <w:rPr>
          <w:rFonts w:hint="eastAsia"/>
          <w:rtl/>
        </w:rPr>
        <w:t>ברק</w:t>
      </w:r>
      <w:r w:rsidRPr="00604EF9">
        <w:rPr>
          <w:rtl/>
        </w:rPr>
        <w:t>-</w:t>
      </w:r>
      <w:r w:rsidRPr="00604EF9">
        <w:rPr>
          <w:rFonts w:hint="eastAsia"/>
          <w:rtl/>
        </w:rPr>
        <w:t>ארז</w:t>
      </w:r>
      <w:r w:rsidRPr="00604EF9">
        <w:rPr>
          <w:rtl/>
        </w:rPr>
        <w:t xml:space="preserve"> </w:t>
      </w:r>
      <w:r w:rsidRPr="00DA1D59">
        <w:rPr>
          <w:rFonts w:cs="Miriam" w:hint="eastAsia"/>
          <w:b/>
          <w:szCs w:val="24"/>
          <w:rtl/>
        </w:rPr>
        <w:t>משפט</w:t>
      </w:r>
      <w:r w:rsidRPr="00DA1D59">
        <w:rPr>
          <w:rFonts w:cs="Miriam"/>
          <w:b/>
          <w:szCs w:val="24"/>
          <w:rtl/>
        </w:rPr>
        <w:t xml:space="preserve"> </w:t>
      </w:r>
      <w:proofErr w:type="spellStart"/>
      <w:r w:rsidRPr="00DA1D59">
        <w:rPr>
          <w:rFonts w:cs="Miriam" w:hint="eastAsia"/>
          <w:b/>
          <w:szCs w:val="24"/>
          <w:rtl/>
        </w:rPr>
        <w:t>מינהלי</w:t>
      </w:r>
      <w:proofErr w:type="spellEnd"/>
      <w:r w:rsidRPr="00DA1D59">
        <w:rPr>
          <w:rFonts w:cs="Miriam" w:hint="cs"/>
          <w:b/>
          <w:szCs w:val="24"/>
          <w:rtl/>
        </w:rPr>
        <w:t xml:space="preserve"> </w:t>
      </w:r>
      <w:r w:rsidRPr="00DA1D59">
        <w:rPr>
          <w:rFonts w:cs="Miriam"/>
          <w:b/>
          <w:szCs w:val="24"/>
          <w:rtl/>
        </w:rPr>
        <w:t>–</w:t>
      </w:r>
      <w:r w:rsidRPr="00DA1D59">
        <w:rPr>
          <w:rFonts w:cs="Miriam" w:hint="cs"/>
          <w:b/>
          <w:szCs w:val="24"/>
          <w:rtl/>
        </w:rPr>
        <w:t xml:space="preserve"> משפט מנהלי דיוני</w:t>
      </w:r>
      <w:r w:rsidRPr="00604EF9">
        <w:rPr>
          <w:rFonts w:hint="cs"/>
          <w:rtl/>
        </w:rPr>
        <w:t xml:space="preserve"> כרך ד 113-111</w:t>
      </w:r>
      <w:r w:rsidRPr="00604EF9">
        <w:rPr>
          <w:rtl/>
        </w:rPr>
        <w:t xml:space="preserve"> (</w:t>
      </w:r>
      <w:r w:rsidRPr="00604EF9">
        <w:rPr>
          <w:rFonts w:hint="cs"/>
          <w:rtl/>
        </w:rPr>
        <w:t>2017))</w:t>
      </w:r>
      <w:r>
        <w:rPr>
          <w:rFonts w:hint="cs"/>
          <w:rtl/>
        </w:rPr>
        <w:t xml:space="preserve">. </w:t>
      </w:r>
    </w:p>
    <w:p w:rsidR="00FA3A86" w:rsidRDefault="00FA3A86" w:rsidP="00FA3A86">
      <w:pPr>
        <w:pStyle w:val="Ruller4"/>
        <w:numPr>
          <w:ilvl w:val="0"/>
          <w:numId w:val="0"/>
        </w:numPr>
        <w:rPr>
          <w:rtl/>
        </w:rPr>
      </w:pPr>
    </w:p>
    <w:p w:rsidR="00FA3A86" w:rsidRDefault="00FA3A86" w:rsidP="00FA3A86">
      <w:pPr>
        <w:pStyle w:val="Ruller4"/>
        <w:numPr>
          <w:ilvl w:val="0"/>
          <w:numId w:val="0"/>
        </w:numPr>
        <w:rPr>
          <w:rtl/>
        </w:rPr>
      </w:pPr>
      <w:r>
        <w:rPr>
          <w:rtl/>
        </w:rPr>
        <w:tab/>
      </w:r>
      <w:r>
        <w:rPr>
          <w:rFonts w:hint="cs"/>
          <w:rtl/>
        </w:rPr>
        <w:t xml:space="preserve">בעניין </w:t>
      </w:r>
      <w:r w:rsidRPr="00A24597">
        <w:rPr>
          <w:rFonts w:ascii="Century" w:hAnsi="Century" w:cs="Miriam"/>
          <w:b/>
          <w:spacing w:val="0"/>
          <w:sz w:val="22"/>
          <w:szCs w:val="24"/>
          <w:rtl/>
        </w:rPr>
        <w:t xml:space="preserve">בבלי </w:t>
      </w:r>
      <w:r>
        <w:rPr>
          <w:rFonts w:hint="cs"/>
          <w:rtl/>
        </w:rPr>
        <w:t xml:space="preserve">הבהיר בית משפט זה עקרונות יסוד באשר לתחולתו של הדין האזרחי על סכסוכים </w:t>
      </w:r>
      <w:proofErr w:type="spellStart"/>
      <w:r>
        <w:rPr>
          <w:rFonts w:hint="cs"/>
          <w:rtl/>
        </w:rPr>
        <w:t>רכושיים</w:t>
      </w:r>
      <w:proofErr w:type="spellEnd"/>
      <w:r>
        <w:rPr>
          <w:rFonts w:hint="cs"/>
          <w:rtl/>
        </w:rPr>
        <w:t xml:space="preserve"> הנדונים בפני בתי הדין הדתיים, בציינו: </w:t>
      </w:r>
      <w:r w:rsidRPr="0005506A">
        <w:rPr>
          <w:rFonts w:hint="cs"/>
          <w:rtl/>
        </w:rPr>
        <w:t>"ע</w:t>
      </w:r>
      <w:r w:rsidRPr="0005506A">
        <w:rPr>
          <w:rtl/>
        </w:rPr>
        <w:t>ל בית הדין הרבני - בדונו בענייני רכוש הנכרכים בענייני גירושין - להכריע בסכסוך באשר למהותו של הרכוש העומד לחלוקה על</w:t>
      </w:r>
      <w:r w:rsidRPr="0005506A">
        <w:rPr>
          <w:rFonts w:hint="cs"/>
          <w:rtl/>
        </w:rPr>
        <w:t xml:space="preserve"> </w:t>
      </w:r>
      <w:r w:rsidRPr="0005506A">
        <w:rPr>
          <w:rtl/>
        </w:rPr>
        <w:t>פי המשפט האזרחי הכללי</w:t>
      </w:r>
      <w:r w:rsidRPr="0005506A">
        <w:rPr>
          <w:rFonts w:hint="cs"/>
          <w:rtl/>
        </w:rPr>
        <w:t>" (</w:t>
      </w:r>
      <w:r w:rsidRPr="00C57004">
        <w:rPr>
          <w:rFonts w:ascii="Miriam" w:hAnsi="Miriam" w:cs="Miriam" w:hint="eastAsia"/>
          <w:szCs w:val="24"/>
          <w:rtl/>
        </w:rPr>
        <w:t>שם</w:t>
      </w:r>
      <w:r w:rsidRPr="0005506A">
        <w:rPr>
          <w:rtl/>
        </w:rPr>
        <w:t>,</w:t>
      </w:r>
      <w:r>
        <w:rPr>
          <w:rFonts w:hint="cs"/>
          <w:rtl/>
        </w:rPr>
        <w:t xml:space="preserve"> בעמ'</w:t>
      </w:r>
      <w:r w:rsidRPr="0005506A">
        <w:rPr>
          <w:rtl/>
        </w:rPr>
        <w:t xml:space="preserve"> 252</w:t>
      </w:r>
      <w:r>
        <w:rPr>
          <w:rFonts w:hint="cs"/>
          <w:rtl/>
        </w:rPr>
        <w:t xml:space="preserve"> )</w:t>
      </w:r>
      <w:r w:rsidRPr="0005506A">
        <w:rPr>
          <w:rFonts w:hint="cs"/>
          <w:rtl/>
        </w:rPr>
        <w:t xml:space="preserve">; </w:t>
      </w:r>
      <w:r>
        <w:rPr>
          <w:rFonts w:hint="cs"/>
          <w:rtl/>
        </w:rPr>
        <w:t xml:space="preserve">וראו גם: </w:t>
      </w:r>
      <w:r w:rsidRPr="0005506A">
        <w:rPr>
          <w:rtl/>
        </w:rPr>
        <w:t xml:space="preserve">בג"ץ 1135/02 </w:t>
      </w:r>
      <w:proofErr w:type="spellStart"/>
      <w:r w:rsidRPr="00C57004">
        <w:rPr>
          <w:rFonts w:ascii="Century" w:hAnsi="Century" w:cs="Miriam"/>
          <w:b/>
          <w:spacing w:val="0"/>
          <w:sz w:val="22"/>
          <w:szCs w:val="24"/>
          <w:rtl/>
        </w:rPr>
        <w:t>וזגיאל</w:t>
      </w:r>
      <w:proofErr w:type="spellEnd"/>
      <w:r w:rsidRPr="00C57004">
        <w:rPr>
          <w:rFonts w:ascii="Century" w:hAnsi="Century" w:cs="Miriam"/>
          <w:b/>
          <w:spacing w:val="0"/>
          <w:sz w:val="22"/>
          <w:szCs w:val="24"/>
          <w:rtl/>
        </w:rPr>
        <w:t xml:space="preserve"> נ' בית הדין הרבני הגדול</w:t>
      </w:r>
      <w:r>
        <w:rPr>
          <w:rFonts w:ascii="Century" w:hAnsi="Century" w:cs="Miriam" w:hint="cs"/>
          <w:b/>
          <w:spacing w:val="0"/>
          <w:sz w:val="22"/>
          <w:szCs w:val="24"/>
          <w:rtl/>
        </w:rPr>
        <w:t xml:space="preserve"> </w:t>
      </w:r>
      <w:r w:rsidRPr="00C57004">
        <w:rPr>
          <w:rFonts w:ascii="Century" w:hAnsi="Century" w:cs="Miriam"/>
          <w:b/>
          <w:spacing w:val="0"/>
          <w:sz w:val="22"/>
          <w:szCs w:val="24"/>
          <w:rtl/>
        </w:rPr>
        <w:t>בירושלים</w:t>
      </w:r>
      <w:r w:rsidRPr="0005506A">
        <w:rPr>
          <w:rtl/>
        </w:rPr>
        <w:t>,</w:t>
      </w:r>
      <w:r w:rsidRPr="0005506A">
        <w:rPr>
          <w:rFonts w:hint="cs"/>
          <w:rtl/>
        </w:rPr>
        <w:t xml:space="preserve"> </w:t>
      </w:r>
      <w:r w:rsidRPr="0005506A">
        <w:rPr>
          <w:rtl/>
        </w:rPr>
        <w:t>פ"ד נו(6) 14</w:t>
      </w:r>
      <w:r>
        <w:rPr>
          <w:rFonts w:hint="cs"/>
          <w:rtl/>
        </w:rPr>
        <w:t xml:space="preserve"> (2002)</w:t>
      </w:r>
      <w:r w:rsidRPr="0005506A">
        <w:rPr>
          <w:rFonts w:hint="cs"/>
          <w:rtl/>
        </w:rPr>
        <w:t xml:space="preserve">). </w:t>
      </w:r>
      <w:r>
        <w:rPr>
          <w:rFonts w:hint="cs"/>
          <w:rtl/>
        </w:rPr>
        <w:t xml:space="preserve">בפרט, נקבע בהלכת </w:t>
      </w:r>
      <w:r w:rsidRPr="00C57004">
        <w:rPr>
          <w:rFonts w:ascii="Century" w:hAnsi="Century" w:cs="Miriam" w:hint="eastAsia"/>
          <w:b/>
          <w:spacing w:val="0"/>
          <w:sz w:val="22"/>
          <w:szCs w:val="24"/>
          <w:rtl/>
        </w:rPr>
        <w:t>בבלי</w:t>
      </w:r>
      <w:r>
        <w:rPr>
          <w:rFonts w:hint="cs"/>
          <w:rtl/>
        </w:rPr>
        <w:t xml:space="preserve"> כי: </w:t>
      </w:r>
    </w:p>
    <w:p w:rsidR="00FA3A86" w:rsidRDefault="00FA3A86" w:rsidP="00FA3A86">
      <w:pPr>
        <w:overflowPunct/>
        <w:autoSpaceDE/>
        <w:autoSpaceDN/>
        <w:adjustRightInd/>
        <w:spacing w:line="360" w:lineRule="auto"/>
        <w:jc w:val="both"/>
        <w:textAlignment w:val="auto"/>
        <w:rPr>
          <w:rFonts w:cs="FrankRuehl"/>
          <w:spacing w:val="10"/>
          <w:sz w:val="24"/>
          <w:szCs w:val="28"/>
          <w:rtl/>
        </w:rPr>
      </w:pPr>
    </w:p>
    <w:p w:rsidR="00FA3A86" w:rsidRDefault="00FA3A86" w:rsidP="00FA3A86">
      <w:pPr>
        <w:pStyle w:val="Ruller5"/>
        <w:rPr>
          <w:rFonts w:ascii="Century" w:hAnsi="Century"/>
          <w:rtl/>
        </w:rPr>
      </w:pPr>
      <w:r w:rsidRPr="007A2802">
        <w:rPr>
          <w:rFonts w:ascii="Century" w:hAnsi="Century" w:hint="cs"/>
          <w:rtl/>
        </w:rPr>
        <w:t xml:space="preserve">"הלכות שיתוף הנכסים הן דין בישראל. הן חלק ממשפט המדינה. על-כן הן חלות בכל ערכאת שיפוט בישראל. הן חלות גם בבית-דין רבני. ודוק: </w:t>
      </w:r>
      <w:r w:rsidRPr="00C57004">
        <w:rPr>
          <w:rFonts w:ascii="Century" w:hAnsi="Century" w:cs="Miriam" w:hint="eastAsia"/>
          <w:b/>
          <w:spacing w:val="0"/>
          <w:szCs w:val="24"/>
          <w:rtl/>
        </w:rPr>
        <w:t>דין</w:t>
      </w:r>
      <w:r w:rsidRPr="00C57004">
        <w:rPr>
          <w:rFonts w:ascii="Century" w:hAnsi="Century" w:cs="Miriam"/>
          <w:b/>
          <w:spacing w:val="0"/>
          <w:szCs w:val="24"/>
          <w:rtl/>
        </w:rPr>
        <w:t xml:space="preserve"> </w:t>
      </w:r>
      <w:r w:rsidRPr="00C57004">
        <w:rPr>
          <w:rFonts w:ascii="Century" w:hAnsi="Century" w:cs="Miriam" w:hint="eastAsia"/>
          <w:b/>
          <w:spacing w:val="0"/>
          <w:szCs w:val="24"/>
          <w:rtl/>
        </w:rPr>
        <w:t>זה</w:t>
      </w:r>
      <w:r w:rsidRPr="00C57004">
        <w:rPr>
          <w:rFonts w:ascii="Century" w:hAnsi="Century" w:cs="Miriam"/>
          <w:b/>
          <w:spacing w:val="0"/>
          <w:szCs w:val="24"/>
          <w:rtl/>
        </w:rPr>
        <w:t xml:space="preserve"> </w:t>
      </w:r>
      <w:r w:rsidRPr="00C57004">
        <w:rPr>
          <w:rFonts w:ascii="Century" w:hAnsi="Century" w:cs="Miriam" w:hint="eastAsia"/>
          <w:b/>
          <w:spacing w:val="0"/>
          <w:szCs w:val="24"/>
          <w:rtl/>
        </w:rPr>
        <w:t>חל</w:t>
      </w:r>
      <w:r w:rsidRPr="00C57004">
        <w:rPr>
          <w:rFonts w:ascii="Century" w:hAnsi="Century" w:cs="Miriam"/>
          <w:b/>
          <w:spacing w:val="0"/>
          <w:szCs w:val="24"/>
          <w:rtl/>
        </w:rPr>
        <w:t xml:space="preserve"> </w:t>
      </w:r>
      <w:r w:rsidRPr="00C57004">
        <w:rPr>
          <w:rFonts w:ascii="Century" w:hAnsi="Century" w:cs="Miriam" w:hint="eastAsia"/>
          <w:b/>
          <w:spacing w:val="0"/>
          <w:szCs w:val="24"/>
          <w:rtl/>
        </w:rPr>
        <w:t>בבית</w:t>
      </w:r>
      <w:r w:rsidRPr="00C57004">
        <w:rPr>
          <w:rFonts w:ascii="Century" w:hAnsi="Century" w:cs="Miriam"/>
          <w:b/>
          <w:spacing w:val="0"/>
          <w:szCs w:val="24"/>
          <w:rtl/>
        </w:rPr>
        <w:t xml:space="preserve"> </w:t>
      </w:r>
      <w:r w:rsidRPr="00C57004">
        <w:rPr>
          <w:rFonts w:ascii="Century" w:hAnsi="Century" w:cs="Miriam" w:hint="eastAsia"/>
          <w:b/>
          <w:spacing w:val="0"/>
          <w:szCs w:val="24"/>
          <w:rtl/>
        </w:rPr>
        <w:t>הדין</w:t>
      </w:r>
      <w:r w:rsidRPr="00C57004">
        <w:rPr>
          <w:rFonts w:ascii="Century" w:hAnsi="Century" w:cs="Miriam"/>
          <w:b/>
          <w:spacing w:val="0"/>
          <w:szCs w:val="24"/>
          <w:rtl/>
        </w:rPr>
        <w:t xml:space="preserve"> </w:t>
      </w:r>
      <w:r w:rsidRPr="00C57004">
        <w:rPr>
          <w:rFonts w:ascii="Century" w:hAnsi="Century" w:cs="Miriam" w:hint="eastAsia"/>
          <w:b/>
          <w:spacing w:val="0"/>
          <w:szCs w:val="24"/>
          <w:rtl/>
        </w:rPr>
        <w:t>הרבני</w:t>
      </w:r>
      <w:r w:rsidRPr="00C57004">
        <w:rPr>
          <w:rFonts w:ascii="Century" w:hAnsi="Century" w:cs="Miriam"/>
          <w:b/>
          <w:spacing w:val="0"/>
          <w:szCs w:val="24"/>
          <w:rtl/>
        </w:rPr>
        <w:t xml:space="preserve"> </w:t>
      </w:r>
      <w:r w:rsidRPr="00C57004">
        <w:rPr>
          <w:rFonts w:ascii="Century" w:hAnsi="Century" w:cs="Miriam" w:hint="eastAsia"/>
          <w:b/>
          <w:spacing w:val="0"/>
          <w:szCs w:val="24"/>
          <w:rtl/>
        </w:rPr>
        <w:t>לא</w:t>
      </w:r>
      <w:r w:rsidRPr="00C57004">
        <w:rPr>
          <w:rFonts w:ascii="Century" w:hAnsi="Century" w:cs="Miriam"/>
          <w:b/>
          <w:spacing w:val="0"/>
          <w:szCs w:val="24"/>
          <w:rtl/>
        </w:rPr>
        <w:t xml:space="preserve"> </w:t>
      </w:r>
      <w:r w:rsidRPr="00C57004">
        <w:rPr>
          <w:rFonts w:ascii="Century" w:hAnsi="Century" w:cs="Miriam" w:hint="eastAsia"/>
          <w:b/>
          <w:spacing w:val="0"/>
          <w:szCs w:val="24"/>
          <w:rtl/>
        </w:rPr>
        <w:t>משום</w:t>
      </w:r>
      <w:r w:rsidRPr="00C57004">
        <w:rPr>
          <w:rFonts w:ascii="Century" w:hAnsi="Century" w:cs="Miriam"/>
          <w:b/>
          <w:spacing w:val="0"/>
          <w:szCs w:val="24"/>
          <w:rtl/>
        </w:rPr>
        <w:t xml:space="preserve"> </w:t>
      </w:r>
      <w:r w:rsidRPr="00C57004">
        <w:rPr>
          <w:rFonts w:ascii="Century" w:hAnsi="Century" w:cs="Miriam" w:hint="eastAsia"/>
          <w:b/>
          <w:spacing w:val="0"/>
          <w:szCs w:val="24"/>
          <w:rtl/>
        </w:rPr>
        <w:t>שחוק</w:t>
      </w:r>
      <w:r w:rsidRPr="00C57004">
        <w:rPr>
          <w:rFonts w:ascii="Century" w:hAnsi="Century" w:cs="Miriam"/>
          <w:b/>
          <w:spacing w:val="0"/>
          <w:szCs w:val="24"/>
          <w:rtl/>
        </w:rPr>
        <w:t xml:space="preserve"> </w:t>
      </w:r>
      <w:r w:rsidRPr="00C57004">
        <w:rPr>
          <w:rFonts w:ascii="Century" w:hAnsi="Century" w:cs="Miriam" w:hint="eastAsia"/>
          <w:b/>
          <w:spacing w:val="0"/>
          <w:szCs w:val="24"/>
          <w:rtl/>
        </w:rPr>
        <w:t>כנסת</w:t>
      </w:r>
      <w:r w:rsidRPr="00C57004">
        <w:rPr>
          <w:rFonts w:ascii="Century" w:hAnsi="Century" w:cs="Miriam"/>
          <w:b/>
          <w:spacing w:val="0"/>
          <w:szCs w:val="24"/>
          <w:rtl/>
        </w:rPr>
        <w:t xml:space="preserve"> </w:t>
      </w:r>
      <w:r w:rsidRPr="00C57004">
        <w:rPr>
          <w:rFonts w:ascii="Century" w:hAnsi="Century" w:cs="Miriam" w:hint="eastAsia"/>
          <w:b/>
          <w:spacing w:val="0"/>
          <w:szCs w:val="24"/>
          <w:rtl/>
        </w:rPr>
        <w:t>קובע</w:t>
      </w:r>
      <w:r w:rsidRPr="00C57004">
        <w:rPr>
          <w:rFonts w:ascii="Century" w:hAnsi="Century" w:cs="Miriam"/>
          <w:b/>
          <w:spacing w:val="0"/>
          <w:szCs w:val="24"/>
          <w:rtl/>
        </w:rPr>
        <w:t xml:space="preserve"> </w:t>
      </w:r>
      <w:r w:rsidRPr="00C57004">
        <w:rPr>
          <w:rFonts w:ascii="Century" w:hAnsi="Century" w:cs="Miriam" w:hint="eastAsia"/>
          <w:b/>
          <w:spacing w:val="0"/>
          <w:szCs w:val="24"/>
          <w:rtl/>
        </w:rPr>
        <w:t>זאת</w:t>
      </w:r>
      <w:r w:rsidRPr="00C57004">
        <w:rPr>
          <w:rFonts w:ascii="Century" w:hAnsi="Century" w:cs="Miriam"/>
          <w:b/>
          <w:spacing w:val="0"/>
          <w:szCs w:val="24"/>
          <w:rtl/>
        </w:rPr>
        <w:t xml:space="preserve"> </w:t>
      </w:r>
      <w:r w:rsidRPr="00C57004">
        <w:rPr>
          <w:rFonts w:ascii="Century" w:hAnsi="Century" w:cs="Miriam" w:hint="eastAsia"/>
          <w:b/>
          <w:spacing w:val="0"/>
          <w:szCs w:val="24"/>
          <w:rtl/>
        </w:rPr>
        <w:t>במפורש</w:t>
      </w:r>
      <w:r w:rsidRPr="00C57004">
        <w:rPr>
          <w:rFonts w:ascii="Century" w:hAnsi="Century" w:cs="Miriam"/>
          <w:b/>
          <w:spacing w:val="0"/>
          <w:szCs w:val="24"/>
          <w:rtl/>
        </w:rPr>
        <w:t xml:space="preserve">. </w:t>
      </w:r>
      <w:r w:rsidRPr="00C57004">
        <w:rPr>
          <w:rFonts w:ascii="Century" w:hAnsi="Century" w:cs="Miriam" w:hint="eastAsia"/>
          <w:b/>
          <w:spacing w:val="0"/>
          <w:szCs w:val="24"/>
          <w:rtl/>
        </w:rPr>
        <w:t>דין</w:t>
      </w:r>
      <w:r w:rsidRPr="00C57004">
        <w:rPr>
          <w:rFonts w:ascii="Century" w:hAnsi="Century" w:cs="Miriam"/>
          <w:b/>
          <w:spacing w:val="0"/>
          <w:szCs w:val="24"/>
          <w:rtl/>
        </w:rPr>
        <w:t xml:space="preserve"> </w:t>
      </w:r>
      <w:r w:rsidRPr="00C57004">
        <w:rPr>
          <w:rFonts w:ascii="Century" w:hAnsi="Century" w:cs="Miriam" w:hint="eastAsia"/>
          <w:b/>
          <w:spacing w:val="0"/>
          <w:szCs w:val="24"/>
          <w:rtl/>
        </w:rPr>
        <w:t>זה</w:t>
      </w:r>
      <w:r w:rsidRPr="00C57004">
        <w:rPr>
          <w:rFonts w:ascii="Century" w:hAnsi="Century" w:cs="Miriam"/>
          <w:b/>
          <w:spacing w:val="0"/>
          <w:szCs w:val="24"/>
          <w:rtl/>
        </w:rPr>
        <w:t xml:space="preserve"> </w:t>
      </w:r>
      <w:r w:rsidRPr="00C57004">
        <w:rPr>
          <w:rFonts w:ascii="Century" w:hAnsi="Century" w:cs="Miriam" w:hint="eastAsia"/>
          <w:b/>
          <w:spacing w:val="0"/>
          <w:szCs w:val="24"/>
          <w:rtl/>
        </w:rPr>
        <w:t>חל</w:t>
      </w:r>
      <w:r w:rsidRPr="00C57004">
        <w:rPr>
          <w:rFonts w:ascii="Century" w:hAnsi="Century" w:cs="Miriam"/>
          <w:b/>
          <w:spacing w:val="0"/>
          <w:szCs w:val="24"/>
          <w:rtl/>
        </w:rPr>
        <w:t xml:space="preserve"> </w:t>
      </w:r>
      <w:r w:rsidRPr="00C57004">
        <w:rPr>
          <w:rFonts w:ascii="Century" w:hAnsi="Century" w:cs="Miriam" w:hint="eastAsia"/>
          <w:b/>
          <w:spacing w:val="0"/>
          <w:szCs w:val="24"/>
          <w:rtl/>
        </w:rPr>
        <w:t>בכל</w:t>
      </w:r>
      <w:r w:rsidRPr="00C57004">
        <w:rPr>
          <w:rFonts w:ascii="Century" w:hAnsi="Century" w:cs="Miriam"/>
          <w:b/>
          <w:spacing w:val="0"/>
          <w:szCs w:val="24"/>
          <w:rtl/>
        </w:rPr>
        <w:t xml:space="preserve"> </w:t>
      </w:r>
      <w:r w:rsidRPr="00C57004">
        <w:rPr>
          <w:rFonts w:ascii="Century" w:hAnsi="Century" w:cs="Miriam" w:hint="eastAsia"/>
          <w:b/>
          <w:spacing w:val="0"/>
          <w:szCs w:val="24"/>
          <w:rtl/>
        </w:rPr>
        <w:t>ערכאות</w:t>
      </w:r>
      <w:r w:rsidRPr="00C57004">
        <w:rPr>
          <w:rFonts w:ascii="Century" w:hAnsi="Century" w:cs="Miriam"/>
          <w:b/>
          <w:spacing w:val="0"/>
          <w:szCs w:val="24"/>
          <w:rtl/>
        </w:rPr>
        <w:t xml:space="preserve"> </w:t>
      </w:r>
      <w:r w:rsidRPr="00C57004">
        <w:rPr>
          <w:rFonts w:ascii="Century" w:hAnsi="Century" w:cs="Miriam" w:hint="eastAsia"/>
          <w:b/>
          <w:spacing w:val="0"/>
          <w:szCs w:val="24"/>
          <w:rtl/>
        </w:rPr>
        <w:t>השיפוט</w:t>
      </w:r>
      <w:r w:rsidRPr="00C57004">
        <w:rPr>
          <w:rFonts w:ascii="Century" w:hAnsi="Century" w:cs="Miriam"/>
          <w:b/>
          <w:spacing w:val="0"/>
          <w:szCs w:val="24"/>
          <w:rtl/>
        </w:rPr>
        <w:t xml:space="preserve"> - </w:t>
      </w:r>
      <w:r w:rsidRPr="00C57004">
        <w:rPr>
          <w:rFonts w:ascii="Century" w:hAnsi="Century" w:cs="Miriam" w:hint="eastAsia"/>
          <w:b/>
          <w:spacing w:val="0"/>
          <w:szCs w:val="24"/>
          <w:rtl/>
        </w:rPr>
        <w:t>לרבות</w:t>
      </w:r>
      <w:r w:rsidRPr="00C57004">
        <w:rPr>
          <w:rFonts w:ascii="Century" w:hAnsi="Century" w:cs="Miriam"/>
          <w:b/>
          <w:spacing w:val="0"/>
          <w:szCs w:val="24"/>
          <w:rtl/>
        </w:rPr>
        <w:t xml:space="preserve"> </w:t>
      </w:r>
      <w:r w:rsidRPr="00C57004">
        <w:rPr>
          <w:rFonts w:ascii="Century" w:hAnsi="Century" w:cs="Miriam" w:hint="eastAsia"/>
          <w:b/>
          <w:spacing w:val="0"/>
          <w:szCs w:val="24"/>
          <w:rtl/>
        </w:rPr>
        <w:t>בתי</w:t>
      </w:r>
      <w:r w:rsidRPr="00C57004">
        <w:rPr>
          <w:rFonts w:ascii="Century" w:hAnsi="Century" w:cs="Miriam"/>
          <w:b/>
          <w:spacing w:val="0"/>
          <w:szCs w:val="24"/>
          <w:rtl/>
        </w:rPr>
        <w:t xml:space="preserve"> </w:t>
      </w:r>
      <w:r w:rsidRPr="00C57004">
        <w:rPr>
          <w:rFonts w:ascii="Century" w:hAnsi="Century" w:cs="Miriam" w:hint="eastAsia"/>
          <w:b/>
          <w:spacing w:val="0"/>
          <w:szCs w:val="24"/>
          <w:rtl/>
        </w:rPr>
        <w:t>הדין</w:t>
      </w:r>
      <w:r w:rsidRPr="00C57004">
        <w:rPr>
          <w:rFonts w:ascii="Century" w:hAnsi="Century" w:cs="Miriam"/>
          <w:b/>
          <w:spacing w:val="0"/>
          <w:szCs w:val="24"/>
          <w:rtl/>
        </w:rPr>
        <w:t xml:space="preserve"> </w:t>
      </w:r>
      <w:r w:rsidRPr="00C57004">
        <w:rPr>
          <w:rFonts w:ascii="Century" w:hAnsi="Century" w:cs="Miriam" w:hint="eastAsia"/>
          <w:b/>
          <w:spacing w:val="0"/>
          <w:szCs w:val="24"/>
          <w:rtl/>
        </w:rPr>
        <w:t>הדתיים</w:t>
      </w:r>
      <w:r w:rsidRPr="00C57004">
        <w:rPr>
          <w:rFonts w:ascii="Century" w:hAnsi="Century" w:cs="Miriam"/>
          <w:b/>
          <w:spacing w:val="0"/>
          <w:szCs w:val="24"/>
          <w:rtl/>
        </w:rPr>
        <w:t xml:space="preserve"> -</w:t>
      </w:r>
      <w:r w:rsidRPr="0045059B">
        <w:rPr>
          <w:rFonts w:ascii="Century" w:hAnsi="Century"/>
          <w:rtl/>
        </w:rPr>
        <w:t xml:space="preserve"> </w:t>
      </w:r>
      <w:r w:rsidRPr="00C57004">
        <w:rPr>
          <w:rFonts w:ascii="Century" w:hAnsi="Century" w:cs="Miriam" w:hint="eastAsia"/>
          <w:b/>
          <w:spacing w:val="0"/>
          <w:szCs w:val="24"/>
          <w:rtl/>
        </w:rPr>
        <w:t>משום</w:t>
      </w:r>
      <w:r w:rsidRPr="00C57004">
        <w:rPr>
          <w:rFonts w:ascii="Century" w:hAnsi="Century" w:cs="Miriam"/>
          <w:b/>
          <w:spacing w:val="0"/>
          <w:szCs w:val="24"/>
          <w:rtl/>
        </w:rPr>
        <w:t xml:space="preserve"> </w:t>
      </w:r>
      <w:r w:rsidRPr="00C57004">
        <w:rPr>
          <w:rFonts w:ascii="Century" w:hAnsi="Century" w:cs="Miriam" w:hint="eastAsia"/>
          <w:b/>
          <w:spacing w:val="0"/>
          <w:szCs w:val="24"/>
          <w:rtl/>
        </w:rPr>
        <w:t>שהלכה</w:t>
      </w:r>
      <w:r w:rsidRPr="00C57004">
        <w:rPr>
          <w:rFonts w:ascii="Century" w:hAnsi="Century" w:cs="Miriam"/>
          <w:b/>
          <w:spacing w:val="0"/>
          <w:szCs w:val="24"/>
          <w:rtl/>
        </w:rPr>
        <w:t xml:space="preserve"> </w:t>
      </w:r>
      <w:r w:rsidRPr="00C57004">
        <w:rPr>
          <w:rFonts w:ascii="Century" w:hAnsi="Century" w:cs="Miriam" w:hint="eastAsia"/>
          <w:b/>
          <w:spacing w:val="0"/>
          <w:szCs w:val="24"/>
          <w:rtl/>
        </w:rPr>
        <w:t>פסוקה</w:t>
      </w:r>
      <w:r w:rsidRPr="00C57004">
        <w:rPr>
          <w:rFonts w:ascii="Century" w:hAnsi="Century" w:cs="Miriam"/>
          <w:b/>
          <w:spacing w:val="0"/>
          <w:szCs w:val="24"/>
          <w:rtl/>
        </w:rPr>
        <w:t xml:space="preserve"> </w:t>
      </w:r>
      <w:r w:rsidRPr="00C57004">
        <w:rPr>
          <w:rFonts w:ascii="Century" w:hAnsi="Century" w:cs="Miriam" w:hint="eastAsia"/>
          <w:b/>
          <w:spacing w:val="0"/>
          <w:szCs w:val="24"/>
          <w:rtl/>
        </w:rPr>
        <w:t>של</w:t>
      </w:r>
      <w:r w:rsidRPr="00C57004">
        <w:rPr>
          <w:rFonts w:ascii="Century" w:hAnsi="Century" w:cs="Miriam"/>
          <w:b/>
          <w:spacing w:val="0"/>
          <w:szCs w:val="24"/>
          <w:rtl/>
        </w:rPr>
        <w:t xml:space="preserve"> </w:t>
      </w:r>
      <w:r w:rsidRPr="00C57004">
        <w:rPr>
          <w:rFonts w:ascii="Century" w:hAnsi="Century" w:cs="Miriam" w:hint="eastAsia"/>
          <w:b/>
          <w:spacing w:val="0"/>
          <w:szCs w:val="24"/>
          <w:rtl/>
        </w:rPr>
        <w:t>בית</w:t>
      </w:r>
      <w:r w:rsidRPr="00C57004">
        <w:rPr>
          <w:rFonts w:ascii="Century" w:hAnsi="Century" w:cs="Miriam"/>
          <w:b/>
          <w:spacing w:val="0"/>
          <w:szCs w:val="24"/>
          <w:rtl/>
        </w:rPr>
        <w:t xml:space="preserve"> </w:t>
      </w:r>
      <w:r w:rsidRPr="00C57004">
        <w:rPr>
          <w:rFonts w:ascii="Century" w:hAnsi="Century" w:cs="Miriam" w:hint="eastAsia"/>
          <w:b/>
          <w:spacing w:val="0"/>
          <w:szCs w:val="24"/>
          <w:rtl/>
        </w:rPr>
        <w:t>המשפט</w:t>
      </w:r>
      <w:r w:rsidRPr="00C57004">
        <w:rPr>
          <w:rFonts w:ascii="Century" w:hAnsi="Century" w:cs="Miriam"/>
          <w:b/>
          <w:spacing w:val="0"/>
          <w:szCs w:val="24"/>
          <w:rtl/>
        </w:rPr>
        <w:t xml:space="preserve"> </w:t>
      </w:r>
      <w:r w:rsidRPr="00C57004">
        <w:rPr>
          <w:rFonts w:ascii="Century" w:hAnsi="Century" w:cs="Miriam" w:hint="eastAsia"/>
          <w:b/>
          <w:spacing w:val="0"/>
          <w:szCs w:val="24"/>
          <w:rtl/>
        </w:rPr>
        <w:t>העליון</w:t>
      </w:r>
      <w:r w:rsidRPr="00C57004">
        <w:rPr>
          <w:rFonts w:ascii="Century" w:hAnsi="Century" w:cs="Miriam"/>
          <w:b/>
          <w:spacing w:val="0"/>
          <w:szCs w:val="24"/>
          <w:rtl/>
        </w:rPr>
        <w:t xml:space="preserve"> </w:t>
      </w:r>
      <w:r w:rsidRPr="00C57004">
        <w:rPr>
          <w:rFonts w:ascii="Century" w:hAnsi="Century" w:cs="Miriam" w:hint="eastAsia"/>
          <w:b/>
          <w:spacing w:val="0"/>
          <w:szCs w:val="24"/>
          <w:rtl/>
        </w:rPr>
        <w:t>היא</w:t>
      </w:r>
      <w:r w:rsidRPr="00C57004">
        <w:rPr>
          <w:rFonts w:ascii="Century" w:hAnsi="Century" w:cs="Miriam"/>
          <w:b/>
          <w:spacing w:val="0"/>
          <w:szCs w:val="24"/>
          <w:rtl/>
        </w:rPr>
        <w:t xml:space="preserve"> </w:t>
      </w:r>
      <w:r w:rsidRPr="00C57004">
        <w:rPr>
          <w:rFonts w:ascii="Century" w:hAnsi="Century" w:cs="Miriam" w:hint="eastAsia"/>
          <w:b/>
          <w:spacing w:val="0"/>
          <w:szCs w:val="24"/>
          <w:rtl/>
        </w:rPr>
        <w:t>דין</w:t>
      </w:r>
      <w:r w:rsidRPr="00C57004">
        <w:rPr>
          <w:rFonts w:ascii="Century" w:hAnsi="Century" w:cs="Miriam"/>
          <w:b/>
          <w:spacing w:val="0"/>
          <w:szCs w:val="24"/>
          <w:rtl/>
        </w:rPr>
        <w:t xml:space="preserve"> </w:t>
      </w:r>
      <w:r w:rsidRPr="00C57004">
        <w:rPr>
          <w:rFonts w:ascii="Century" w:hAnsi="Century" w:cs="Miriam" w:hint="eastAsia"/>
          <w:b/>
          <w:spacing w:val="0"/>
          <w:szCs w:val="24"/>
          <w:rtl/>
        </w:rPr>
        <w:t>בישראל</w:t>
      </w:r>
      <w:r w:rsidRPr="007A2802">
        <w:rPr>
          <w:rFonts w:ascii="Century" w:hAnsi="Century" w:hint="cs"/>
          <w:rtl/>
        </w:rPr>
        <w:t>. לשם שלילת תחולתה בערכאת שיפוט מיוחדת נדרש דבר חקיקה מיוחד, הקובע זאת במפורש. דבר חקיקה כזה אינו קיים בישרא</w:t>
      </w:r>
      <w:r>
        <w:rPr>
          <w:rFonts w:ascii="Century" w:hAnsi="Century" w:hint="cs"/>
          <w:rtl/>
        </w:rPr>
        <w:t>ל</w:t>
      </w:r>
      <w:r w:rsidRPr="007A2802">
        <w:rPr>
          <w:rFonts w:ascii="Century" w:hAnsi="Century" w:hint="cs"/>
          <w:rtl/>
        </w:rPr>
        <w:t>" (</w:t>
      </w:r>
      <w:r w:rsidRPr="007A2802">
        <w:rPr>
          <w:rFonts w:ascii="Century" w:hAnsi="Century" w:cs="Miriam" w:hint="cs"/>
          <w:b/>
          <w:spacing w:val="0"/>
          <w:szCs w:val="24"/>
          <w:rtl/>
        </w:rPr>
        <w:t>שם</w:t>
      </w:r>
      <w:r w:rsidRPr="007A2802">
        <w:rPr>
          <w:rFonts w:ascii="Century" w:hAnsi="Century" w:hint="cs"/>
          <w:rtl/>
        </w:rPr>
        <w:t xml:space="preserve">, </w:t>
      </w:r>
      <w:r>
        <w:rPr>
          <w:rFonts w:ascii="Century" w:hAnsi="Century" w:hint="cs"/>
          <w:rtl/>
        </w:rPr>
        <w:t>ב</w:t>
      </w:r>
      <w:r w:rsidRPr="007A2802">
        <w:rPr>
          <w:rFonts w:ascii="Century" w:hAnsi="Century" w:hint="cs"/>
          <w:rtl/>
        </w:rPr>
        <w:t>עמ' 246</w:t>
      </w:r>
      <w:r>
        <w:rPr>
          <w:rFonts w:ascii="Century" w:hAnsi="Century" w:hint="cs"/>
          <w:rtl/>
        </w:rPr>
        <w:t>; הדגשות הוספו</w:t>
      </w:r>
      <w:r w:rsidRPr="007A2802">
        <w:rPr>
          <w:rFonts w:ascii="Century" w:hAnsi="Century" w:hint="cs"/>
          <w:rtl/>
        </w:rPr>
        <w:t xml:space="preserve">). </w:t>
      </w:r>
    </w:p>
    <w:p w:rsidR="00FA3A86" w:rsidRDefault="00FA3A86" w:rsidP="00FA3A86">
      <w:pPr>
        <w:overflowPunct/>
        <w:autoSpaceDE/>
        <w:autoSpaceDN/>
        <w:adjustRightInd/>
        <w:spacing w:line="360" w:lineRule="auto"/>
        <w:jc w:val="both"/>
        <w:textAlignment w:val="auto"/>
        <w:rPr>
          <w:rFonts w:cs="FrankRuehl"/>
          <w:spacing w:val="10"/>
          <w:sz w:val="24"/>
          <w:szCs w:val="28"/>
          <w:rtl/>
        </w:rPr>
      </w:pPr>
    </w:p>
    <w:p w:rsidR="00FA3A86" w:rsidRDefault="00FA3A86" w:rsidP="00FA3A86">
      <w:pPr>
        <w:pStyle w:val="Ruller4"/>
      </w:pPr>
      <w:r w:rsidRPr="0005506A">
        <w:rPr>
          <w:rFonts w:hint="cs"/>
          <w:rtl/>
        </w:rPr>
        <w:t>במקרה שלפנינו</w:t>
      </w:r>
      <w:r>
        <w:rPr>
          <w:rFonts w:hint="cs"/>
          <w:rtl/>
        </w:rPr>
        <w:t>, הכריע בית הדין הרבני הגדול</w:t>
      </w:r>
      <w:r w:rsidRPr="0005506A">
        <w:rPr>
          <w:rFonts w:hint="cs"/>
          <w:rtl/>
        </w:rPr>
        <w:t xml:space="preserve"> בשאלת חלוקת רכושם של הצדדים באופן שאינו עולה בקנה אחד </w:t>
      </w:r>
      <w:r>
        <w:rPr>
          <w:rFonts w:hint="cs"/>
          <w:rtl/>
        </w:rPr>
        <w:t xml:space="preserve">עם </w:t>
      </w:r>
      <w:r w:rsidRPr="00604EF9">
        <w:rPr>
          <w:rFonts w:hint="cs"/>
          <w:rtl/>
        </w:rPr>
        <w:t xml:space="preserve">מהותה </w:t>
      </w:r>
      <w:r>
        <w:rPr>
          <w:rFonts w:hint="cs"/>
          <w:rtl/>
        </w:rPr>
        <w:t xml:space="preserve">של הזכות המוקנית מכוח הלכת השיתוף הספציפי, </w:t>
      </w:r>
      <w:r w:rsidRPr="00604EF9">
        <w:rPr>
          <w:rFonts w:hint="cs"/>
          <w:rtl/>
        </w:rPr>
        <w:t xml:space="preserve">כפי שהוגדרה </w:t>
      </w:r>
      <w:r>
        <w:rPr>
          <w:rFonts w:hint="cs"/>
          <w:rtl/>
        </w:rPr>
        <w:t xml:space="preserve">לא אחת </w:t>
      </w:r>
      <w:r w:rsidRPr="00604EF9">
        <w:rPr>
          <w:rFonts w:hint="cs"/>
          <w:rtl/>
        </w:rPr>
        <w:t>בפסיקתו של בית משפט זה</w:t>
      </w:r>
      <w:r>
        <w:rPr>
          <w:rFonts w:hint="cs"/>
          <w:rtl/>
        </w:rPr>
        <w:t>, קרי:</w:t>
      </w:r>
      <w:r w:rsidRPr="00604EF9">
        <w:rPr>
          <w:rFonts w:hint="cs"/>
          <w:rtl/>
        </w:rPr>
        <w:t xml:space="preserve"> זכות </w:t>
      </w:r>
      <w:r>
        <w:rPr>
          <w:rFonts w:ascii="Century" w:hAnsi="Century" w:cs="Miriam"/>
          <w:b/>
          <w:spacing w:val="0"/>
          <w:szCs w:val="24"/>
          <w:rtl/>
        </w:rPr>
        <w:t>מעין</w:t>
      </w:r>
      <w:r>
        <w:rPr>
          <w:rFonts w:ascii="Century" w:hAnsi="Century" w:cs="Miriam" w:hint="cs"/>
          <w:b/>
          <w:spacing w:val="0"/>
          <w:szCs w:val="24"/>
          <w:rtl/>
        </w:rPr>
        <w:t>-</w:t>
      </w:r>
      <w:r w:rsidRPr="009556BE">
        <w:rPr>
          <w:rFonts w:ascii="Century" w:hAnsi="Century" w:cs="Miriam"/>
          <w:b/>
          <w:spacing w:val="0"/>
          <w:szCs w:val="24"/>
          <w:rtl/>
        </w:rPr>
        <w:t>קניינית</w:t>
      </w:r>
      <w:r w:rsidRPr="009556BE">
        <w:rPr>
          <w:rFonts w:hint="cs"/>
          <w:rtl/>
        </w:rPr>
        <w:t xml:space="preserve"> </w:t>
      </w:r>
      <w:r w:rsidRPr="00604EF9">
        <w:rPr>
          <w:rFonts w:hint="cs"/>
          <w:rtl/>
        </w:rPr>
        <w:t xml:space="preserve">המתגבשת </w:t>
      </w:r>
      <w:r w:rsidRPr="009556BE">
        <w:rPr>
          <w:rFonts w:ascii="Century" w:hAnsi="Century" w:cs="Miriam" w:hint="cs"/>
          <w:b/>
          <w:spacing w:val="0"/>
          <w:szCs w:val="24"/>
          <w:rtl/>
        </w:rPr>
        <w:t>ב</w:t>
      </w:r>
      <w:r w:rsidRPr="009556BE">
        <w:rPr>
          <w:rFonts w:ascii="Century" w:hAnsi="Century" w:cs="Miriam"/>
          <w:b/>
          <w:spacing w:val="0"/>
          <w:szCs w:val="24"/>
          <w:rtl/>
        </w:rPr>
        <w:t>מהלך</w:t>
      </w:r>
      <w:r w:rsidRPr="00604EF9">
        <w:rPr>
          <w:rFonts w:hint="cs"/>
          <w:rtl/>
        </w:rPr>
        <w:t xml:space="preserve"> חיי הנישואין</w:t>
      </w:r>
      <w:r>
        <w:rPr>
          <w:rFonts w:hint="cs"/>
          <w:rtl/>
        </w:rPr>
        <w:t>,</w:t>
      </w:r>
      <w:r w:rsidRPr="00604EF9">
        <w:rPr>
          <w:rFonts w:hint="cs"/>
          <w:rtl/>
        </w:rPr>
        <w:t xml:space="preserve"> עם התגבשותה של כוונת שיתוף.</w:t>
      </w:r>
      <w:r>
        <w:rPr>
          <w:rFonts w:hint="cs"/>
          <w:rtl/>
        </w:rPr>
        <w:t xml:space="preserve"> קביעה נוספת העולה במפורש מחוות דעתם של הדיינים </w:t>
      </w:r>
      <w:r w:rsidRPr="00007314">
        <w:rPr>
          <w:rFonts w:ascii="Century" w:hAnsi="Century" w:cs="Miriam" w:hint="cs"/>
          <w:b/>
          <w:spacing w:val="0"/>
          <w:szCs w:val="24"/>
          <w:rtl/>
        </w:rPr>
        <w:t>עמוס</w:t>
      </w:r>
      <w:r>
        <w:rPr>
          <w:rFonts w:hint="cs"/>
          <w:rtl/>
        </w:rPr>
        <w:t xml:space="preserve"> ו</w:t>
      </w:r>
      <w:r w:rsidRPr="00007314">
        <w:rPr>
          <w:rFonts w:ascii="Century" w:hAnsi="Century" w:cs="Miriam" w:hint="cs"/>
          <w:b/>
          <w:spacing w:val="0"/>
          <w:szCs w:val="24"/>
          <w:rtl/>
        </w:rPr>
        <w:t>נהרי</w:t>
      </w:r>
      <w:r>
        <w:rPr>
          <w:rFonts w:hint="cs"/>
          <w:rtl/>
        </w:rPr>
        <w:t xml:space="preserve"> ומהווה טעות גלויה מבחינת הלכת </w:t>
      </w:r>
      <w:r>
        <w:rPr>
          <w:rFonts w:hint="cs"/>
          <w:rtl/>
        </w:rPr>
        <w:lastRenderedPageBreak/>
        <w:t>השיתוף הספציפי, היא זו לפיה אי-נאמנות מינית עשויה להוות בסיס לשלילת כוונת שיתוף שהתגבשה ולאפשר לבן הזוג המשתף לחזור בו מכוונת השיתוף.</w:t>
      </w:r>
    </w:p>
    <w:p w:rsidR="00FA3A86" w:rsidRDefault="00FA3A86" w:rsidP="00FA3A86">
      <w:pPr>
        <w:pStyle w:val="Ruller4"/>
        <w:numPr>
          <w:ilvl w:val="0"/>
          <w:numId w:val="0"/>
        </w:numPr>
      </w:pPr>
    </w:p>
    <w:p w:rsidR="00FA3A86" w:rsidRPr="00604EF9" w:rsidRDefault="00FA3A86" w:rsidP="00FA3A86">
      <w:pPr>
        <w:pStyle w:val="Ruller4"/>
      </w:pPr>
      <w:r w:rsidRPr="00604EF9">
        <w:rPr>
          <w:rFonts w:hint="cs"/>
          <w:rtl/>
        </w:rPr>
        <w:t xml:space="preserve">על מנת </w:t>
      </w:r>
      <w:r>
        <w:rPr>
          <w:rFonts w:hint="cs"/>
          <w:rtl/>
        </w:rPr>
        <w:t xml:space="preserve">להבהיר את </w:t>
      </w:r>
      <w:r w:rsidRPr="00604EF9">
        <w:rPr>
          <w:rFonts w:hint="cs"/>
          <w:rtl/>
        </w:rPr>
        <w:t>ההבדלים בין הלכת השיתוף הספציפי כפי שנתגבשה בפסיקת בית המשפט העליון ובין קביע</w:t>
      </w:r>
      <w:r>
        <w:rPr>
          <w:rFonts w:hint="cs"/>
          <w:rtl/>
        </w:rPr>
        <w:t>ו</w:t>
      </w:r>
      <w:r w:rsidRPr="00604EF9">
        <w:rPr>
          <w:rFonts w:hint="cs"/>
          <w:rtl/>
        </w:rPr>
        <w:t>ת</w:t>
      </w:r>
      <w:r>
        <w:rPr>
          <w:rFonts w:hint="cs"/>
          <w:rtl/>
        </w:rPr>
        <w:t>י</w:t>
      </w:r>
      <w:r w:rsidRPr="00604EF9">
        <w:rPr>
          <w:rFonts w:hint="cs"/>
          <w:rtl/>
        </w:rPr>
        <w:t>ו המשפטי</w:t>
      </w:r>
      <w:r>
        <w:rPr>
          <w:rFonts w:hint="cs"/>
          <w:rtl/>
        </w:rPr>
        <w:t>ו</w:t>
      </w:r>
      <w:r w:rsidRPr="00604EF9">
        <w:rPr>
          <w:rFonts w:hint="cs"/>
          <w:rtl/>
        </w:rPr>
        <w:t>ת של בית הדין הרבני הגדול</w:t>
      </w:r>
      <w:r>
        <w:rPr>
          <w:rFonts w:hint="cs"/>
          <w:rtl/>
        </w:rPr>
        <w:t xml:space="preserve"> במקרה דנן</w:t>
      </w:r>
      <w:r w:rsidRPr="00604EF9">
        <w:rPr>
          <w:rFonts w:hint="cs"/>
          <w:rtl/>
        </w:rPr>
        <w:t xml:space="preserve">, </w:t>
      </w:r>
      <w:r>
        <w:rPr>
          <w:rFonts w:hint="cs"/>
          <w:rtl/>
        </w:rPr>
        <w:t>יש לעמוד על מהותה של הלכת השיתוף הספציפי ועל ה</w:t>
      </w:r>
      <w:r w:rsidRPr="00604EF9">
        <w:rPr>
          <w:rFonts w:hint="cs"/>
          <w:rtl/>
        </w:rPr>
        <w:t xml:space="preserve">רציונל </w:t>
      </w:r>
      <w:r>
        <w:rPr>
          <w:rFonts w:hint="cs"/>
          <w:rtl/>
        </w:rPr>
        <w:t>ש</w:t>
      </w:r>
      <w:r w:rsidRPr="00604EF9">
        <w:rPr>
          <w:rFonts w:hint="cs"/>
          <w:rtl/>
        </w:rPr>
        <w:t>בבסיסה</w:t>
      </w:r>
      <w:r>
        <w:rPr>
          <w:rFonts w:hint="cs"/>
          <w:rtl/>
        </w:rPr>
        <w:t xml:space="preserve">, אשר מעצב </w:t>
      </w:r>
      <w:r w:rsidRPr="00D132EC">
        <w:rPr>
          <w:rFonts w:hint="cs"/>
          <w:rtl/>
        </w:rPr>
        <w:t>את היקפה ואת גבולותיה</w:t>
      </w:r>
      <w:r w:rsidRPr="00604EF9">
        <w:rPr>
          <w:rFonts w:hint="cs"/>
          <w:rtl/>
        </w:rPr>
        <w:t xml:space="preserve"> (</w:t>
      </w:r>
      <w:r>
        <w:rPr>
          <w:rFonts w:hint="cs"/>
          <w:rtl/>
        </w:rPr>
        <w:t xml:space="preserve">לדיון בסוגיה זו </w:t>
      </w:r>
      <w:r w:rsidRPr="00604EF9">
        <w:rPr>
          <w:rFonts w:hint="cs"/>
          <w:rtl/>
        </w:rPr>
        <w:t>ראו</w:t>
      </w:r>
      <w:r>
        <w:rPr>
          <w:rFonts w:hint="cs"/>
          <w:rtl/>
        </w:rPr>
        <w:t xml:space="preserve">, </w:t>
      </w:r>
      <w:r w:rsidRPr="00C438B6">
        <w:rPr>
          <w:rFonts w:hint="eastAsia"/>
          <w:rtl/>
        </w:rPr>
        <w:t>חנוך</w:t>
      </w:r>
      <w:r w:rsidRPr="00C438B6">
        <w:rPr>
          <w:rtl/>
        </w:rPr>
        <w:t xml:space="preserve"> </w:t>
      </w:r>
      <w:r w:rsidRPr="00C438B6">
        <w:rPr>
          <w:rFonts w:hint="eastAsia"/>
          <w:rtl/>
        </w:rPr>
        <w:t>דגן</w:t>
      </w:r>
      <w:r w:rsidRPr="00C438B6">
        <w:rPr>
          <w:rtl/>
        </w:rPr>
        <w:t xml:space="preserve"> </w:t>
      </w:r>
      <w:r w:rsidRPr="00C438B6">
        <w:rPr>
          <w:rFonts w:hint="eastAsia"/>
          <w:rtl/>
        </w:rPr>
        <w:t>ודפנה</w:t>
      </w:r>
      <w:r w:rsidRPr="00C438B6">
        <w:rPr>
          <w:rtl/>
        </w:rPr>
        <w:t xml:space="preserve"> </w:t>
      </w:r>
      <w:r w:rsidRPr="00C438B6">
        <w:rPr>
          <w:rFonts w:hint="eastAsia"/>
          <w:rtl/>
        </w:rPr>
        <w:t>הקר</w:t>
      </w:r>
      <w:r w:rsidRPr="00C438B6">
        <w:rPr>
          <w:rtl/>
        </w:rPr>
        <w:t xml:space="preserve"> "</w:t>
      </w:r>
      <w:r w:rsidRPr="00C438B6">
        <w:rPr>
          <w:rFonts w:hint="eastAsia"/>
          <w:rtl/>
        </w:rPr>
        <w:t>הלכת</w:t>
      </w:r>
      <w:r w:rsidRPr="00C438B6">
        <w:rPr>
          <w:rtl/>
        </w:rPr>
        <w:t xml:space="preserve"> </w:t>
      </w:r>
      <w:r w:rsidRPr="00C438B6">
        <w:rPr>
          <w:rFonts w:hint="eastAsia"/>
          <w:rtl/>
        </w:rPr>
        <w:t>השיתוף</w:t>
      </w:r>
      <w:r w:rsidRPr="00C438B6">
        <w:rPr>
          <w:rtl/>
        </w:rPr>
        <w:t xml:space="preserve"> </w:t>
      </w:r>
      <w:r w:rsidRPr="00C438B6">
        <w:rPr>
          <w:rFonts w:hint="eastAsia"/>
          <w:rtl/>
        </w:rPr>
        <w:t>הספציפי</w:t>
      </w:r>
      <w:r w:rsidRPr="00C438B6">
        <w:rPr>
          <w:rtl/>
        </w:rPr>
        <w:t xml:space="preserve"> – </w:t>
      </w:r>
      <w:r w:rsidRPr="00C438B6">
        <w:rPr>
          <w:rFonts w:hint="eastAsia"/>
          <w:rtl/>
        </w:rPr>
        <w:t>לקראת</w:t>
      </w:r>
      <w:r w:rsidRPr="00C438B6">
        <w:rPr>
          <w:rtl/>
        </w:rPr>
        <w:t xml:space="preserve"> </w:t>
      </w:r>
      <w:r w:rsidRPr="00C438B6">
        <w:rPr>
          <w:rFonts w:hint="eastAsia"/>
          <w:rtl/>
        </w:rPr>
        <w:t>המערכה</w:t>
      </w:r>
      <w:r w:rsidRPr="00C438B6">
        <w:rPr>
          <w:rtl/>
        </w:rPr>
        <w:t xml:space="preserve"> </w:t>
      </w:r>
      <w:r w:rsidRPr="00C438B6">
        <w:rPr>
          <w:rFonts w:hint="cs"/>
          <w:rtl/>
        </w:rPr>
        <w:t>ה</w:t>
      </w:r>
      <w:r w:rsidRPr="00C438B6">
        <w:rPr>
          <w:rFonts w:hint="eastAsia"/>
          <w:rtl/>
        </w:rPr>
        <w:t>רביעית</w:t>
      </w:r>
      <w:r w:rsidRPr="00C438B6">
        <w:rPr>
          <w:rtl/>
        </w:rPr>
        <w:t xml:space="preserve"> </w:t>
      </w:r>
      <w:r w:rsidRPr="00C438B6">
        <w:rPr>
          <w:rFonts w:hint="eastAsia"/>
          <w:rtl/>
        </w:rPr>
        <w:t>בבג</w:t>
      </w:r>
      <w:r w:rsidRPr="00C438B6">
        <w:rPr>
          <w:rtl/>
        </w:rPr>
        <w:t>"</w:t>
      </w:r>
      <w:r w:rsidRPr="00C438B6">
        <w:rPr>
          <w:rFonts w:hint="eastAsia"/>
          <w:rtl/>
        </w:rPr>
        <w:t>ץ</w:t>
      </w:r>
      <w:r w:rsidRPr="00C438B6">
        <w:rPr>
          <w:rtl/>
        </w:rPr>
        <w:t xml:space="preserve"> 4602/13" </w:t>
      </w:r>
      <w:r w:rsidRPr="00C438B6">
        <w:rPr>
          <w:rFonts w:ascii="Century" w:hAnsi="Century" w:cs="Miriam" w:hint="eastAsia"/>
          <w:b/>
          <w:sz w:val="22"/>
          <w:szCs w:val="24"/>
          <w:rtl/>
        </w:rPr>
        <w:t>מחקרי</w:t>
      </w:r>
      <w:r w:rsidRPr="00C438B6">
        <w:rPr>
          <w:rFonts w:ascii="Century" w:hAnsi="Century" w:cs="Miriam"/>
          <w:b/>
          <w:sz w:val="22"/>
          <w:szCs w:val="24"/>
          <w:rtl/>
        </w:rPr>
        <w:t xml:space="preserve"> </w:t>
      </w:r>
      <w:r w:rsidRPr="00C438B6">
        <w:rPr>
          <w:rFonts w:ascii="Century" w:hAnsi="Century" w:cs="Miriam" w:hint="eastAsia"/>
          <w:b/>
          <w:sz w:val="22"/>
          <w:szCs w:val="24"/>
          <w:rtl/>
        </w:rPr>
        <w:t>משפט</w:t>
      </w:r>
      <w:r w:rsidRPr="00C438B6">
        <w:rPr>
          <w:rtl/>
        </w:rPr>
        <w:t xml:space="preserve"> </w:t>
      </w:r>
      <w:r w:rsidRPr="00C438B6">
        <w:rPr>
          <w:rFonts w:hint="eastAsia"/>
          <w:rtl/>
        </w:rPr>
        <w:t>לב</w:t>
      </w:r>
      <w:r w:rsidRPr="00C438B6">
        <w:rPr>
          <w:rtl/>
        </w:rPr>
        <w:t xml:space="preserve"> 519, 53</w:t>
      </w:r>
      <w:r>
        <w:rPr>
          <w:rFonts w:hint="cs"/>
          <w:rtl/>
        </w:rPr>
        <w:t>7</w:t>
      </w:r>
      <w:r w:rsidRPr="00C438B6">
        <w:rPr>
          <w:rFonts w:hint="cs"/>
          <w:rtl/>
        </w:rPr>
        <w:t>-532</w:t>
      </w:r>
      <w:r w:rsidRPr="00C438B6">
        <w:rPr>
          <w:rtl/>
        </w:rPr>
        <w:t xml:space="preserve"> (2019)</w:t>
      </w:r>
      <w:r w:rsidRPr="00C438B6">
        <w:rPr>
          <w:rFonts w:hint="cs"/>
          <w:rtl/>
        </w:rPr>
        <w:t xml:space="preserve"> </w:t>
      </w:r>
      <w:r w:rsidRPr="00C438B6">
        <w:rPr>
          <w:rtl/>
        </w:rPr>
        <w:t>(</w:t>
      </w:r>
      <w:r w:rsidRPr="00C438B6">
        <w:rPr>
          <w:rFonts w:hint="eastAsia"/>
          <w:rtl/>
        </w:rPr>
        <w:t>להלן</w:t>
      </w:r>
      <w:r w:rsidRPr="00C438B6">
        <w:rPr>
          <w:rtl/>
        </w:rPr>
        <w:t xml:space="preserve">: </w:t>
      </w:r>
      <w:r w:rsidRPr="00C438B6">
        <w:rPr>
          <w:rFonts w:ascii="Century" w:hAnsi="Century" w:cs="Miriam" w:hint="cs"/>
          <w:b/>
          <w:sz w:val="22"/>
          <w:szCs w:val="24"/>
          <w:rtl/>
        </w:rPr>
        <w:t>דגן והקר</w:t>
      </w:r>
      <w:r w:rsidRPr="00C438B6">
        <w:rPr>
          <w:rFonts w:hint="cs"/>
          <w:rtl/>
        </w:rPr>
        <w:t xml:space="preserve">)). </w:t>
      </w:r>
    </w:p>
    <w:p w:rsidR="00FA3A86" w:rsidRPr="00974A3B" w:rsidRDefault="00FA3A86" w:rsidP="00FA3A86">
      <w:pPr>
        <w:pStyle w:val="Ruller41"/>
        <w:rPr>
          <w:rtl/>
        </w:rPr>
      </w:pPr>
    </w:p>
    <w:p w:rsidR="00FA3A86" w:rsidRPr="00D3109F" w:rsidRDefault="00FA3A86" w:rsidP="00FA3A86">
      <w:pPr>
        <w:pStyle w:val="1"/>
        <w:rPr>
          <w:rtl/>
        </w:rPr>
      </w:pPr>
      <w:r w:rsidRPr="00D3109F">
        <w:rPr>
          <w:rFonts w:hint="cs"/>
          <w:rtl/>
        </w:rPr>
        <w:t>הלכת השיתוף הספציפי</w:t>
      </w:r>
    </w:p>
    <w:p w:rsidR="00FA3A86" w:rsidRPr="00604EF9" w:rsidRDefault="00FA3A86" w:rsidP="00FA3A86">
      <w:pPr>
        <w:pStyle w:val="Ruller41"/>
        <w:rPr>
          <w:rtl/>
        </w:rPr>
      </w:pPr>
    </w:p>
    <w:p w:rsidR="00FA3A86" w:rsidRPr="00604EF9" w:rsidRDefault="00FA3A86" w:rsidP="00FA3A86">
      <w:pPr>
        <w:pStyle w:val="Ruller4"/>
      </w:pPr>
      <w:r w:rsidRPr="00604EF9">
        <w:rPr>
          <w:rFonts w:hint="cs"/>
          <w:rtl/>
        </w:rPr>
        <w:t>הלכת השיתוף הספציפי התפתחה בפסיקה לאחר חקיקתו של חוק יחסי ממון</w:t>
      </w:r>
      <w:r>
        <w:rPr>
          <w:rFonts w:hint="cs"/>
          <w:rtl/>
        </w:rPr>
        <w:t>, בו</w:t>
      </w:r>
      <w:r w:rsidRPr="00604EF9">
        <w:rPr>
          <w:rFonts w:hint="cs"/>
          <w:rtl/>
        </w:rPr>
        <w:t xml:space="preserve"> קבע המחוקק</w:t>
      </w:r>
      <w:r>
        <w:rPr>
          <w:rFonts w:hint="cs"/>
          <w:rtl/>
        </w:rPr>
        <w:t>, בין היתר,</w:t>
      </w:r>
      <w:r w:rsidRPr="00604EF9">
        <w:rPr>
          <w:rFonts w:hint="cs"/>
          <w:rtl/>
        </w:rPr>
        <w:t xml:space="preserve"> כי: </w:t>
      </w:r>
    </w:p>
    <w:p w:rsidR="00FA3A86" w:rsidRPr="00701C19" w:rsidRDefault="00FA3A86" w:rsidP="00FA3A86">
      <w:pPr>
        <w:pStyle w:val="Ruller4"/>
        <w:numPr>
          <w:ilvl w:val="0"/>
          <w:numId w:val="0"/>
        </w:numPr>
        <w:rPr>
          <w:rtl/>
        </w:rPr>
      </w:pPr>
    </w:p>
    <w:p w:rsidR="00FA3A86" w:rsidRPr="002F2EE2" w:rsidRDefault="00FA3A86" w:rsidP="00FA3A86">
      <w:pPr>
        <w:pStyle w:val="Ruller5"/>
        <w:rPr>
          <w:rFonts w:ascii="Century" w:hAnsi="Century" w:cs="Miriam"/>
          <w:b/>
          <w:spacing w:val="0"/>
          <w:szCs w:val="24"/>
        </w:rPr>
      </w:pPr>
      <w:r w:rsidRPr="002F2EE2">
        <w:rPr>
          <w:rFonts w:ascii="Century" w:hAnsi="Century" w:cs="Miriam"/>
          <w:b/>
          <w:spacing w:val="0"/>
          <w:szCs w:val="24"/>
          <w:rtl/>
        </w:rPr>
        <w:t>העדר תוצאות במשך הנישואין</w:t>
      </w:r>
    </w:p>
    <w:p w:rsidR="00FA3A86" w:rsidRPr="002F2EE2" w:rsidRDefault="00FA3A86" w:rsidP="00FA3A86">
      <w:pPr>
        <w:pStyle w:val="Ruller5"/>
        <w:rPr>
          <w:rFonts w:ascii="Century" w:hAnsi="Century"/>
          <w:rtl/>
        </w:rPr>
      </w:pPr>
      <w:r w:rsidRPr="002F2EE2">
        <w:rPr>
          <w:rFonts w:ascii="Century" w:hAnsi="Century" w:hint="cs"/>
          <w:rtl/>
        </w:rPr>
        <w:t>4</w:t>
      </w:r>
      <w:r w:rsidRPr="002F2EE2">
        <w:rPr>
          <w:rFonts w:ascii="Century" w:hAnsi="Century"/>
          <w:rtl/>
        </w:rPr>
        <w:t>.</w:t>
      </w:r>
      <w:r w:rsidRPr="002F2EE2">
        <w:rPr>
          <w:rFonts w:ascii="Century" w:hAnsi="Century" w:hint="cs"/>
          <w:rtl/>
        </w:rPr>
        <w:t xml:space="preserve"> </w:t>
      </w:r>
      <w:r w:rsidRPr="002F2EE2">
        <w:rPr>
          <w:rFonts w:ascii="Century" w:hAnsi="Century"/>
          <w:rtl/>
        </w:rPr>
        <w:t xml:space="preserve">אין בכריתת הנישואין או בקיומם כשלעצמם כדי לפגוע </w:t>
      </w:r>
      <w:proofErr w:type="spellStart"/>
      <w:r w:rsidRPr="002F2EE2">
        <w:rPr>
          <w:rFonts w:ascii="Century" w:hAnsi="Century"/>
          <w:rtl/>
        </w:rPr>
        <w:t>בקנינים</w:t>
      </w:r>
      <w:proofErr w:type="spellEnd"/>
      <w:r w:rsidRPr="002F2EE2">
        <w:rPr>
          <w:rFonts w:ascii="Century" w:hAnsi="Century"/>
          <w:rtl/>
        </w:rPr>
        <w:t xml:space="preserve"> של בני הזוג, להקנות לאחד מהם זכויות בנכסי השני או להטיל עליו אחריות לחובות השני.</w:t>
      </w:r>
    </w:p>
    <w:p w:rsidR="00FA3A86" w:rsidRPr="002F2EE2" w:rsidRDefault="00FA3A86" w:rsidP="00FA3A86">
      <w:pPr>
        <w:pStyle w:val="Ruller5"/>
        <w:rPr>
          <w:rFonts w:ascii="Century" w:hAnsi="Century"/>
          <w:rtl/>
        </w:rPr>
      </w:pPr>
    </w:p>
    <w:p w:rsidR="00FA3A86" w:rsidRPr="002F2EE2" w:rsidRDefault="00FA3A86" w:rsidP="00FA3A86">
      <w:pPr>
        <w:pStyle w:val="Ruller5"/>
        <w:rPr>
          <w:rFonts w:ascii="Century" w:hAnsi="Century"/>
          <w:rtl/>
        </w:rPr>
      </w:pPr>
      <w:r w:rsidRPr="002F2EE2">
        <w:rPr>
          <w:rFonts w:ascii="Century" w:hAnsi="Century" w:cs="Miriam"/>
          <w:b/>
          <w:spacing w:val="0"/>
          <w:szCs w:val="24"/>
          <w:rtl/>
        </w:rPr>
        <w:t xml:space="preserve">הזכות לאיזון בפקיעת </w:t>
      </w:r>
      <w:proofErr w:type="spellStart"/>
      <w:r w:rsidRPr="002F2EE2">
        <w:rPr>
          <w:rFonts w:ascii="Century" w:hAnsi="Century" w:cs="Miriam"/>
          <w:b/>
          <w:spacing w:val="0"/>
          <w:szCs w:val="24"/>
          <w:rtl/>
        </w:rPr>
        <w:t>הנשואין</w:t>
      </w:r>
      <w:proofErr w:type="spellEnd"/>
    </w:p>
    <w:p w:rsidR="00FA3A86" w:rsidRPr="002F2EE2" w:rsidRDefault="00FA3A86" w:rsidP="00FA3A86">
      <w:pPr>
        <w:pStyle w:val="Ruller5"/>
        <w:rPr>
          <w:rFonts w:ascii="Century" w:hAnsi="Century"/>
          <w:rtl/>
        </w:rPr>
      </w:pPr>
      <w:r w:rsidRPr="002F2EE2">
        <w:rPr>
          <w:rFonts w:ascii="Century" w:hAnsi="Century"/>
          <w:rtl/>
        </w:rPr>
        <w:t>5.</w:t>
      </w:r>
      <w:r>
        <w:rPr>
          <w:rFonts w:ascii="Century" w:hAnsi="Century"/>
          <w:rtl/>
        </w:rPr>
        <w:t xml:space="preserve">  </w:t>
      </w:r>
      <w:r w:rsidRPr="002F2EE2">
        <w:rPr>
          <w:rFonts w:ascii="Century" w:hAnsi="Century"/>
          <w:rtl/>
        </w:rPr>
        <w:t>(א)</w:t>
      </w:r>
      <w:r>
        <w:rPr>
          <w:rFonts w:ascii="Century" w:hAnsi="Century"/>
          <w:rtl/>
        </w:rPr>
        <w:t xml:space="preserve"> </w:t>
      </w:r>
      <w:r w:rsidRPr="002F2EE2">
        <w:rPr>
          <w:rFonts w:ascii="Century" w:hAnsi="Century"/>
          <w:rtl/>
        </w:rPr>
        <w:t xml:space="preserve">עם התרת הנישואין או עם פקיעת הנישואין עקב מותו של בן זוג (בחוק זה – פקיעת הנישואין) זכאי כל אחד מבני הזוג למחצית </w:t>
      </w:r>
      <w:proofErr w:type="spellStart"/>
      <w:r w:rsidRPr="002F2EE2">
        <w:rPr>
          <w:rFonts w:ascii="Century" w:hAnsi="Century"/>
          <w:rtl/>
        </w:rPr>
        <w:t>שוויים</w:t>
      </w:r>
      <w:proofErr w:type="spellEnd"/>
      <w:r w:rsidRPr="002F2EE2">
        <w:rPr>
          <w:rFonts w:ascii="Century" w:hAnsi="Century"/>
          <w:rtl/>
        </w:rPr>
        <w:t xml:space="preserve"> של כלל נכסי בני הזוג, למעט –</w:t>
      </w:r>
    </w:p>
    <w:p w:rsidR="00FA3A86" w:rsidRPr="002F2EE2" w:rsidRDefault="00FA3A86" w:rsidP="00FA3A86">
      <w:pPr>
        <w:pStyle w:val="Ruller5"/>
        <w:rPr>
          <w:rFonts w:ascii="Century" w:hAnsi="Century"/>
          <w:rtl/>
        </w:rPr>
      </w:pPr>
      <w:r w:rsidRPr="002F2EE2">
        <w:rPr>
          <w:rFonts w:ascii="Century" w:hAnsi="Century"/>
          <w:rtl/>
        </w:rPr>
        <w:t>(1)</w:t>
      </w:r>
      <w:r>
        <w:rPr>
          <w:rFonts w:ascii="Century" w:hAnsi="Century"/>
          <w:rtl/>
        </w:rPr>
        <w:t xml:space="preserve"> </w:t>
      </w:r>
      <w:r w:rsidRPr="002F2EE2">
        <w:rPr>
          <w:rFonts w:ascii="Century" w:hAnsi="Century"/>
          <w:rtl/>
        </w:rPr>
        <w:t> נכסים שהיו להם ערב הנישואין או שקיבלו במתנה או בירושה בתקופת הנישואין;</w:t>
      </w:r>
    </w:p>
    <w:p w:rsidR="00FA3A86" w:rsidRDefault="00FA3A86" w:rsidP="00FA3A86">
      <w:pPr>
        <w:pStyle w:val="Ruller5"/>
        <w:rPr>
          <w:rFonts w:ascii="Century" w:hAnsi="Century"/>
          <w:rtl/>
        </w:rPr>
      </w:pPr>
      <w:r>
        <w:rPr>
          <w:rFonts w:ascii="Century" w:hAnsi="Century" w:hint="cs"/>
          <w:rtl/>
        </w:rPr>
        <w:t>[...]</w:t>
      </w:r>
    </w:p>
    <w:p w:rsidR="00FA3A86" w:rsidRPr="002F2EE2" w:rsidRDefault="00FA3A86" w:rsidP="00FA3A86">
      <w:pPr>
        <w:pStyle w:val="Ruller4"/>
        <w:numPr>
          <w:ilvl w:val="0"/>
          <w:numId w:val="0"/>
        </w:numPr>
        <w:rPr>
          <w:rFonts w:ascii="Century" w:hAnsi="Century"/>
        </w:rPr>
      </w:pPr>
    </w:p>
    <w:p w:rsidR="00FA3A86" w:rsidRPr="00604EF9" w:rsidRDefault="00FA3A86" w:rsidP="00FA3A86">
      <w:pPr>
        <w:pStyle w:val="Ruller4"/>
        <w:rPr>
          <w:rtl/>
        </w:rPr>
      </w:pPr>
      <w:r>
        <w:rPr>
          <w:rFonts w:hint="cs"/>
          <w:rtl/>
        </w:rPr>
        <w:t>טרם חקיקתו של חוק יחסי ממון שלטה בכיפה</w:t>
      </w:r>
      <w:r w:rsidRPr="00604EF9">
        <w:rPr>
          <w:rFonts w:hint="cs"/>
          <w:rtl/>
        </w:rPr>
        <w:t xml:space="preserve"> "חזקת השיתוף" (</w:t>
      </w:r>
      <w:r>
        <w:rPr>
          <w:rFonts w:hint="cs"/>
          <w:rtl/>
        </w:rPr>
        <w:t>הממשיכה לחול על</w:t>
      </w:r>
      <w:r w:rsidRPr="00604EF9">
        <w:rPr>
          <w:rFonts w:hint="cs"/>
          <w:rtl/>
        </w:rPr>
        <w:t xml:space="preserve"> מי שנישאו טרם כניסת חוק יחסי ממון לתוקף ב</w:t>
      </w:r>
      <w:r>
        <w:rPr>
          <w:rFonts w:hint="cs"/>
          <w:rtl/>
        </w:rPr>
        <w:t>יום 1.1.</w:t>
      </w:r>
      <w:r w:rsidRPr="00604EF9">
        <w:rPr>
          <w:rFonts w:hint="cs"/>
          <w:rtl/>
        </w:rPr>
        <w:t xml:space="preserve">1974 וכן לגבי ידועים בציבור). בתמצית, </w:t>
      </w:r>
      <w:r w:rsidRPr="00C722EB">
        <w:rPr>
          <w:rFonts w:ascii="Century" w:hAnsi="Century" w:cs="Miriam" w:hint="cs"/>
          <w:b/>
          <w:spacing w:val="0"/>
          <w:sz w:val="22"/>
          <w:szCs w:val="24"/>
          <w:rtl/>
        </w:rPr>
        <w:t>חזקת השיתוף</w:t>
      </w:r>
      <w:r w:rsidRPr="00C722EB">
        <w:rPr>
          <w:rFonts w:ascii="Arial TUR" w:hAnsi="Arial TUR" w:hint="cs"/>
          <w:sz w:val="22"/>
          <w:rtl/>
        </w:rPr>
        <w:t xml:space="preserve"> </w:t>
      </w:r>
      <w:r w:rsidRPr="00604EF9">
        <w:rPr>
          <w:rFonts w:ascii="Arial TUR" w:hAnsi="Arial TUR" w:hint="cs"/>
          <w:sz w:val="22"/>
          <w:rtl/>
        </w:rPr>
        <w:t xml:space="preserve">היא </w:t>
      </w:r>
      <w:r w:rsidRPr="00604EF9">
        <w:rPr>
          <w:rFonts w:hint="cs"/>
          <w:rtl/>
        </w:rPr>
        <w:t xml:space="preserve">כלל יציר הפסיקה ולפיו עצם </w:t>
      </w:r>
      <w:r>
        <w:rPr>
          <w:rFonts w:hint="cs"/>
          <w:rtl/>
        </w:rPr>
        <w:t xml:space="preserve">קיומם של חיי נישואין תקינים </w:t>
      </w:r>
      <w:r w:rsidRPr="00604EF9">
        <w:rPr>
          <w:rFonts w:hint="cs"/>
          <w:rtl/>
        </w:rPr>
        <w:t>מקים חזקה שקניינ</w:t>
      </w:r>
      <w:r>
        <w:rPr>
          <w:rFonts w:hint="cs"/>
          <w:rtl/>
        </w:rPr>
        <w:t>ו של בן זוג אחד</w:t>
      </w:r>
      <w:r w:rsidRPr="00604EF9">
        <w:rPr>
          <w:rFonts w:hint="cs"/>
          <w:rtl/>
        </w:rPr>
        <w:t xml:space="preserve"> </w:t>
      </w:r>
      <w:r w:rsidRPr="00604EF9">
        <w:rPr>
          <w:rtl/>
        </w:rPr>
        <w:t>–</w:t>
      </w:r>
      <w:r w:rsidRPr="00604EF9">
        <w:rPr>
          <w:rFonts w:hint="cs"/>
          <w:rtl/>
        </w:rPr>
        <w:t xml:space="preserve"> </w:t>
      </w:r>
      <w:r>
        <w:rPr>
          <w:rFonts w:hint="cs"/>
          <w:rtl/>
        </w:rPr>
        <w:t xml:space="preserve">הן נכסים </w:t>
      </w:r>
      <w:r w:rsidRPr="00604EF9">
        <w:rPr>
          <w:rFonts w:hint="cs"/>
          <w:rtl/>
        </w:rPr>
        <w:t>שנצבר</w:t>
      </w:r>
      <w:r>
        <w:rPr>
          <w:rFonts w:hint="cs"/>
          <w:rtl/>
        </w:rPr>
        <w:t>ו במהלך חיי הנישואין</w:t>
      </w:r>
      <w:r w:rsidRPr="00604EF9">
        <w:rPr>
          <w:rFonts w:hint="cs"/>
          <w:rtl/>
        </w:rPr>
        <w:t xml:space="preserve"> ו</w:t>
      </w:r>
      <w:r>
        <w:rPr>
          <w:rFonts w:hint="cs"/>
          <w:rtl/>
        </w:rPr>
        <w:t>הן נכסים שהביא בן הזוג עמו לנישואין</w:t>
      </w:r>
      <w:r w:rsidRPr="00604EF9">
        <w:rPr>
          <w:rFonts w:hint="cs"/>
          <w:rtl/>
        </w:rPr>
        <w:t xml:space="preserve"> </w:t>
      </w:r>
      <w:r>
        <w:rPr>
          <w:rtl/>
        </w:rPr>
        <w:t>–</w:t>
      </w:r>
      <w:r w:rsidRPr="00604EF9">
        <w:rPr>
          <w:rFonts w:hint="cs"/>
          <w:rtl/>
        </w:rPr>
        <w:t xml:space="preserve"> ייחשב כמשותף </w:t>
      </w:r>
      <w:r>
        <w:rPr>
          <w:rFonts w:hint="cs"/>
          <w:rtl/>
        </w:rPr>
        <w:t>לו ולבן או בת זוגו</w:t>
      </w:r>
      <w:r w:rsidRPr="00604EF9">
        <w:rPr>
          <w:rFonts w:hint="cs"/>
          <w:rtl/>
        </w:rPr>
        <w:t xml:space="preserve">, גם אם </w:t>
      </w:r>
      <w:r>
        <w:rPr>
          <w:rFonts w:hint="cs"/>
          <w:rtl/>
        </w:rPr>
        <w:t>הזכויות בנכס רשומות</w:t>
      </w:r>
      <w:r w:rsidRPr="00604EF9">
        <w:rPr>
          <w:rFonts w:hint="cs"/>
          <w:rtl/>
        </w:rPr>
        <w:t xml:space="preserve"> על שמו של אחד </w:t>
      </w:r>
      <w:r>
        <w:rPr>
          <w:rFonts w:hint="cs"/>
          <w:rtl/>
        </w:rPr>
        <w:t xml:space="preserve">מהם </w:t>
      </w:r>
      <w:r w:rsidRPr="00604EF9">
        <w:rPr>
          <w:rFonts w:hint="cs"/>
          <w:rtl/>
        </w:rPr>
        <w:t>בלבד</w:t>
      </w:r>
      <w:r>
        <w:rPr>
          <w:rFonts w:hint="cs"/>
          <w:rtl/>
        </w:rPr>
        <w:t xml:space="preserve"> (ראו עניין </w:t>
      </w:r>
      <w:r w:rsidRPr="007A06B6">
        <w:rPr>
          <w:rFonts w:ascii="Century" w:hAnsi="Century" w:cs="Miriam" w:hint="cs"/>
          <w:b/>
          <w:sz w:val="22"/>
          <w:szCs w:val="24"/>
          <w:rtl/>
        </w:rPr>
        <w:t>בבלי</w:t>
      </w:r>
      <w:r>
        <w:rPr>
          <w:rFonts w:hint="cs"/>
          <w:rtl/>
        </w:rPr>
        <w:t>, בעמ' 229-228)</w:t>
      </w:r>
      <w:r w:rsidRPr="00604EF9">
        <w:rPr>
          <w:rFonts w:hint="cs"/>
          <w:rtl/>
        </w:rPr>
        <w:t>.</w:t>
      </w:r>
      <w:r w:rsidRPr="00604EF9">
        <w:rPr>
          <w:rtl/>
        </w:rPr>
        <w:t xml:space="preserve"> </w:t>
      </w:r>
      <w:r w:rsidRPr="00604EF9">
        <w:rPr>
          <w:rFonts w:hint="cs"/>
          <w:rtl/>
        </w:rPr>
        <w:t xml:space="preserve">חזקת השיתוף יצרה הסדר שיתוף </w:t>
      </w:r>
      <w:r>
        <w:rPr>
          <w:rFonts w:hint="cs"/>
          <w:rtl/>
        </w:rPr>
        <w:t xml:space="preserve">"קנייני </w:t>
      </w:r>
      <w:proofErr w:type="spellStart"/>
      <w:r w:rsidRPr="00604EF9">
        <w:rPr>
          <w:rFonts w:hint="cs"/>
          <w:rtl/>
        </w:rPr>
        <w:t>מיידי</w:t>
      </w:r>
      <w:proofErr w:type="spellEnd"/>
      <w:r w:rsidRPr="00604EF9">
        <w:rPr>
          <w:rFonts w:hint="cs"/>
          <w:rtl/>
        </w:rPr>
        <w:t>"</w:t>
      </w:r>
      <w:r>
        <w:rPr>
          <w:rFonts w:hint="cs"/>
          <w:rtl/>
        </w:rPr>
        <w:t xml:space="preserve"> (לכתיבה על אופיו של שיתוף זה ראו, למשל: י</w:t>
      </w:r>
      <w:r w:rsidRPr="00E84878">
        <w:rPr>
          <w:rFonts w:hint="eastAsia"/>
          <w:rtl/>
        </w:rPr>
        <w:t>צחק</w:t>
      </w:r>
      <w:r w:rsidRPr="00E84878">
        <w:rPr>
          <w:rtl/>
        </w:rPr>
        <w:t xml:space="preserve"> </w:t>
      </w:r>
      <w:r w:rsidRPr="00E84878">
        <w:rPr>
          <w:rFonts w:hint="eastAsia"/>
          <w:rtl/>
        </w:rPr>
        <w:t>כהן</w:t>
      </w:r>
      <w:r>
        <w:rPr>
          <w:rFonts w:hint="cs"/>
          <w:rtl/>
        </w:rPr>
        <w:t xml:space="preserve"> </w:t>
      </w:r>
      <w:r w:rsidRPr="00E84878">
        <w:rPr>
          <w:rtl/>
        </w:rPr>
        <w:t>"</w:t>
      </w:r>
      <w:r w:rsidRPr="00E84878">
        <w:rPr>
          <w:rFonts w:hint="eastAsia"/>
          <w:rtl/>
        </w:rPr>
        <w:t>הקדמת</w:t>
      </w:r>
      <w:r w:rsidRPr="00E84878">
        <w:rPr>
          <w:rtl/>
        </w:rPr>
        <w:t xml:space="preserve"> </w:t>
      </w:r>
      <w:r w:rsidRPr="00E84878">
        <w:rPr>
          <w:rFonts w:hint="eastAsia"/>
          <w:rtl/>
        </w:rPr>
        <w:t>מועד</w:t>
      </w:r>
      <w:r w:rsidRPr="00E84878">
        <w:rPr>
          <w:rtl/>
        </w:rPr>
        <w:t xml:space="preserve"> </w:t>
      </w:r>
      <w:r w:rsidRPr="00E84878">
        <w:rPr>
          <w:rFonts w:hint="eastAsia"/>
          <w:rtl/>
        </w:rPr>
        <w:t>איזון</w:t>
      </w:r>
      <w:r w:rsidRPr="00E84878">
        <w:rPr>
          <w:rtl/>
        </w:rPr>
        <w:t xml:space="preserve"> </w:t>
      </w:r>
      <w:r w:rsidRPr="00E84878">
        <w:rPr>
          <w:rFonts w:hint="eastAsia"/>
          <w:rtl/>
        </w:rPr>
        <w:t>המשאבים</w:t>
      </w:r>
      <w:r w:rsidRPr="00E84878">
        <w:rPr>
          <w:rtl/>
        </w:rPr>
        <w:t xml:space="preserve"> </w:t>
      </w:r>
      <w:r w:rsidRPr="00E84878">
        <w:rPr>
          <w:rFonts w:hint="eastAsia"/>
          <w:rtl/>
        </w:rPr>
        <w:t>בתיקון</w:t>
      </w:r>
      <w:r w:rsidRPr="00E84878">
        <w:rPr>
          <w:rtl/>
        </w:rPr>
        <w:t xml:space="preserve"> </w:t>
      </w:r>
      <w:r w:rsidRPr="00E84878">
        <w:rPr>
          <w:rFonts w:hint="eastAsia"/>
          <w:rtl/>
        </w:rPr>
        <w:t>מס</w:t>
      </w:r>
      <w:r w:rsidRPr="00E84878">
        <w:rPr>
          <w:rtl/>
        </w:rPr>
        <w:t xml:space="preserve">' 4 </w:t>
      </w:r>
      <w:r w:rsidRPr="00E84878">
        <w:rPr>
          <w:rFonts w:hint="eastAsia"/>
          <w:rtl/>
        </w:rPr>
        <w:t>לחוק</w:t>
      </w:r>
      <w:r w:rsidRPr="00E84878">
        <w:rPr>
          <w:rtl/>
        </w:rPr>
        <w:t xml:space="preserve"> </w:t>
      </w:r>
      <w:r w:rsidRPr="00E84878">
        <w:rPr>
          <w:rFonts w:hint="eastAsia"/>
          <w:rtl/>
        </w:rPr>
        <w:t>יחסי</w:t>
      </w:r>
      <w:r w:rsidRPr="00E84878">
        <w:rPr>
          <w:rtl/>
        </w:rPr>
        <w:t xml:space="preserve"> </w:t>
      </w:r>
      <w:r w:rsidRPr="00E84878">
        <w:rPr>
          <w:rFonts w:hint="eastAsia"/>
          <w:rtl/>
        </w:rPr>
        <w:t>ממון</w:t>
      </w:r>
      <w:r w:rsidRPr="00E84878">
        <w:rPr>
          <w:rtl/>
        </w:rPr>
        <w:t xml:space="preserve"> </w:t>
      </w:r>
      <w:r w:rsidRPr="00E84878">
        <w:rPr>
          <w:rFonts w:hint="eastAsia"/>
          <w:rtl/>
        </w:rPr>
        <w:t>והחקיקה</w:t>
      </w:r>
      <w:r w:rsidRPr="00E84878">
        <w:rPr>
          <w:rtl/>
        </w:rPr>
        <w:t xml:space="preserve"> </w:t>
      </w:r>
      <w:r w:rsidRPr="00E84878">
        <w:rPr>
          <w:rFonts w:hint="eastAsia"/>
          <w:rtl/>
        </w:rPr>
        <w:t>השיפוטית</w:t>
      </w:r>
      <w:r w:rsidRPr="00E84878">
        <w:rPr>
          <w:rtl/>
        </w:rPr>
        <w:t xml:space="preserve"> </w:t>
      </w:r>
      <w:r w:rsidRPr="00E84878">
        <w:rPr>
          <w:rFonts w:hint="eastAsia"/>
          <w:rtl/>
        </w:rPr>
        <w:t>שנוצרה</w:t>
      </w:r>
      <w:r w:rsidRPr="00E84878">
        <w:rPr>
          <w:rtl/>
        </w:rPr>
        <w:t xml:space="preserve"> </w:t>
      </w:r>
      <w:r w:rsidRPr="00E84878">
        <w:rPr>
          <w:rFonts w:hint="eastAsia"/>
          <w:rtl/>
        </w:rPr>
        <w:t>לפניה</w:t>
      </w:r>
      <w:r w:rsidRPr="00E84878">
        <w:rPr>
          <w:rtl/>
        </w:rPr>
        <w:t xml:space="preserve"> - </w:t>
      </w:r>
      <w:r w:rsidRPr="00E84878">
        <w:rPr>
          <w:rFonts w:hint="eastAsia"/>
          <w:rtl/>
        </w:rPr>
        <w:t>עיון</w:t>
      </w:r>
      <w:r w:rsidRPr="00E84878">
        <w:rPr>
          <w:rtl/>
        </w:rPr>
        <w:t xml:space="preserve"> </w:t>
      </w:r>
      <w:r w:rsidRPr="00E84878">
        <w:rPr>
          <w:rFonts w:hint="eastAsia"/>
          <w:rtl/>
        </w:rPr>
        <w:t>מחודש</w:t>
      </w:r>
      <w:r w:rsidRPr="00E84878">
        <w:rPr>
          <w:rtl/>
        </w:rPr>
        <w:t>"</w:t>
      </w:r>
      <w:r>
        <w:rPr>
          <w:rFonts w:hint="cs"/>
          <w:rtl/>
        </w:rPr>
        <w:t xml:space="preserve"> </w:t>
      </w:r>
      <w:r w:rsidRPr="00E84878">
        <w:rPr>
          <w:rFonts w:ascii="Century" w:hAnsi="Century" w:cs="Miriam" w:hint="eastAsia"/>
          <w:b/>
          <w:spacing w:val="0"/>
          <w:sz w:val="22"/>
          <w:szCs w:val="24"/>
          <w:rtl/>
        </w:rPr>
        <w:t>משפט</w:t>
      </w:r>
      <w:r w:rsidRPr="00E84878">
        <w:rPr>
          <w:rFonts w:ascii="Century" w:hAnsi="Century" w:cs="Miriam"/>
          <w:b/>
          <w:spacing w:val="0"/>
          <w:sz w:val="22"/>
          <w:szCs w:val="24"/>
          <w:rtl/>
        </w:rPr>
        <w:t xml:space="preserve"> </w:t>
      </w:r>
      <w:r w:rsidRPr="00E84878">
        <w:rPr>
          <w:rFonts w:ascii="Century" w:hAnsi="Century" w:cs="Miriam" w:hint="eastAsia"/>
          <w:b/>
          <w:spacing w:val="0"/>
          <w:sz w:val="22"/>
          <w:szCs w:val="24"/>
          <w:rtl/>
        </w:rPr>
        <w:t>ועסקים</w:t>
      </w:r>
      <w:r w:rsidRPr="00E84878">
        <w:rPr>
          <w:rtl/>
        </w:rPr>
        <w:t xml:space="preserve"> </w:t>
      </w:r>
      <w:r w:rsidRPr="00E84878">
        <w:rPr>
          <w:rFonts w:hint="eastAsia"/>
          <w:rtl/>
        </w:rPr>
        <w:t>כב</w:t>
      </w:r>
      <w:r w:rsidRPr="00E84878">
        <w:rPr>
          <w:rtl/>
        </w:rPr>
        <w:t xml:space="preserve"> 59</w:t>
      </w:r>
      <w:r>
        <w:rPr>
          <w:rFonts w:hint="cs"/>
          <w:rtl/>
        </w:rPr>
        <w:t>,</w:t>
      </w:r>
      <w:r w:rsidRPr="00E84878">
        <w:rPr>
          <w:rFonts w:hint="cs"/>
          <w:rtl/>
        </w:rPr>
        <w:t xml:space="preserve"> </w:t>
      </w:r>
      <w:r>
        <w:rPr>
          <w:rFonts w:hint="cs"/>
          <w:rtl/>
        </w:rPr>
        <w:t xml:space="preserve">65 </w:t>
      </w:r>
      <w:r>
        <w:rPr>
          <w:rFonts w:hint="cs"/>
          <w:rtl/>
        </w:rPr>
        <w:lastRenderedPageBreak/>
        <w:t xml:space="preserve">(2019)). </w:t>
      </w:r>
      <w:r w:rsidRPr="00604EF9">
        <w:rPr>
          <w:rFonts w:hint="cs"/>
          <w:rtl/>
        </w:rPr>
        <w:t>זאת</w:t>
      </w:r>
      <w:r>
        <w:rPr>
          <w:rFonts w:hint="cs"/>
          <w:rtl/>
        </w:rPr>
        <w:t>,</w:t>
      </w:r>
      <w:r w:rsidRPr="00604EF9">
        <w:rPr>
          <w:rFonts w:hint="cs"/>
          <w:rtl/>
        </w:rPr>
        <w:t xml:space="preserve"> בשונה מהסדר השיתוף האובליגטורי הדחוי הקבוע בחוק יחסי ממון</w:t>
      </w:r>
      <w:r>
        <w:rPr>
          <w:rFonts w:hint="cs"/>
          <w:rtl/>
        </w:rPr>
        <w:t xml:space="preserve"> (לדיון בהבדלים בין שני ההסדרים ראו: </w:t>
      </w:r>
      <w:r w:rsidRPr="00604EF9">
        <w:rPr>
          <w:rFonts w:hint="cs"/>
          <w:rtl/>
        </w:rPr>
        <w:t xml:space="preserve">שחר ליפשיץ </w:t>
      </w:r>
      <w:r w:rsidRPr="000612F0">
        <w:rPr>
          <w:rFonts w:ascii="Century" w:hAnsi="Century" w:cs="Miriam" w:hint="cs"/>
          <w:b/>
          <w:spacing w:val="0"/>
          <w:sz w:val="22"/>
          <w:szCs w:val="24"/>
          <w:rtl/>
        </w:rPr>
        <w:t>השיתוף הזוגי</w:t>
      </w:r>
      <w:r w:rsidRPr="00B91F14">
        <w:rPr>
          <w:rFonts w:hint="cs"/>
          <w:rtl/>
        </w:rPr>
        <w:t xml:space="preserve"> </w:t>
      </w:r>
      <w:r>
        <w:rPr>
          <w:rFonts w:hint="cs"/>
          <w:rtl/>
        </w:rPr>
        <w:t>168-147</w:t>
      </w:r>
      <w:r w:rsidRPr="00604EF9">
        <w:rPr>
          <w:rFonts w:hint="cs"/>
          <w:rtl/>
        </w:rPr>
        <w:t xml:space="preserve"> (2016) </w:t>
      </w:r>
      <w:r w:rsidRPr="00604EF9">
        <w:rPr>
          <w:rtl/>
        </w:rPr>
        <w:t xml:space="preserve">(להלן: </w:t>
      </w:r>
      <w:r w:rsidRPr="000612F0">
        <w:rPr>
          <w:rFonts w:ascii="Century" w:hAnsi="Century" w:cs="Miriam" w:hint="cs"/>
          <w:b/>
          <w:spacing w:val="0"/>
          <w:sz w:val="22"/>
          <w:szCs w:val="24"/>
          <w:rtl/>
        </w:rPr>
        <w:t>ליפשיץ, השיתוף הזוגי</w:t>
      </w:r>
      <w:r>
        <w:rPr>
          <w:rFonts w:hint="cs"/>
          <w:rtl/>
        </w:rPr>
        <w:t>)).</w:t>
      </w:r>
    </w:p>
    <w:p w:rsidR="00FA3A86" w:rsidRPr="00604EF9" w:rsidRDefault="00FA3A86" w:rsidP="00FA3A86">
      <w:pPr>
        <w:pStyle w:val="Ruller41"/>
        <w:rPr>
          <w:rtl/>
        </w:rPr>
      </w:pPr>
    </w:p>
    <w:p w:rsidR="00FA3A86" w:rsidRPr="00604EF9" w:rsidRDefault="00FA3A86" w:rsidP="00FA3A86">
      <w:pPr>
        <w:pStyle w:val="Ruller4"/>
      </w:pPr>
      <w:r w:rsidRPr="00604EF9">
        <w:rPr>
          <w:rFonts w:hint="cs"/>
          <w:rtl/>
        </w:rPr>
        <w:t xml:space="preserve">לאחר חקיקתו של חוק יחסי ממון התעוררה השאלה </w:t>
      </w:r>
      <w:r w:rsidRPr="00604EF9">
        <w:rPr>
          <w:rtl/>
        </w:rPr>
        <w:t xml:space="preserve">אם הסדר איזון המשאבים הקבוע </w:t>
      </w:r>
      <w:r>
        <w:rPr>
          <w:rFonts w:hint="cs"/>
          <w:rtl/>
        </w:rPr>
        <w:t>בו</w:t>
      </w:r>
      <w:r w:rsidRPr="00604EF9">
        <w:rPr>
          <w:rtl/>
        </w:rPr>
        <w:t xml:space="preserve"> </w:t>
      </w:r>
      <w:r w:rsidRPr="00604EF9">
        <w:rPr>
          <w:rFonts w:hint="cs"/>
          <w:rtl/>
        </w:rPr>
        <w:t xml:space="preserve">יכול </w:t>
      </w:r>
      <w:r w:rsidRPr="00604EF9">
        <w:rPr>
          <w:rtl/>
        </w:rPr>
        <w:t>לדור בכפיפה אחת עם חזקת השיתוף</w:t>
      </w:r>
      <w:r w:rsidRPr="00604EF9">
        <w:rPr>
          <w:rFonts w:hint="cs"/>
          <w:rtl/>
        </w:rPr>
        <w:t>. סוגיה זו נדונה ב</w:t>
      </w:r>
      <w:r w:rsidRPr="008A05EC">
        <w:rPr>
          <w:rFonts w:hint="eastAsia"/>
          <w:rtl/>
        </w:rPr>
        <w:t>ע</w:t>
      </w:r>
      <w:r w:rsidRPr="008A05EC">
        <w:rPr>
          <w:rtl/>
        </w:rPr>
        <w:t>"</w:t>
      </w:r>
      <w:r w:rsidRPr="008A05EC">
        <w:rPr>
          <w:rFonts w:hint="eastAsia"/>
          <w:rtl/>
        </w:rPr>
        <w:t>א</w:t>
      </w:r>
      <w:r w:rsidRPr="008A05EC">
        <w:rPr>
          <w:rtl/>
        </w:rPr>
        <w:t xml:space="preserve"> 1915/91 </w:t>
      </w:r>
      <w:r w:rsidRPr="001B19FF">
        <w:rPr>
          <w:rFonts w:ascii="Century" w:hAnsi="Century" w:cs="Miriam" w:hint="eastAsia"/>
          <w:b/>
          <w:spacing w:val="0"/>
          <w:sz w:val="22"/>
          <w:szCs w:val="24"/>
          <w:rtl/>
        </w:rPr>
        <w:t>יעקובי</w:t>
      </w:r>
      <w:r w:rsidRPr="001B19FF">
        <w:rPr>
          <w:rFonts w:ascii="Century" w:hAnsi="Century" w:cs="Miriam"/>
          <w:b/>
          <w:spacing w:val="0"/>
          <w:sz w:val="22"/>
          <w:szCs w:val="24"/>
          <w:rtl/>
        </w:rPr>
        <w:t xml:space="preserve"> </w:t>
      </w:r>
      <w:r w:rsidRPr="001B19FF">
        <w:rPr>
          <w:rFonts w:ascii="Century" w:hAnsi="Century" w:cs="Miriam" w:hint="eastAsia"/>
          <w:b/>
          <w:spacing w:val="0"/>
          <w:sz w:val="22"/>
          <w:szCs w:val="24"/>
          <w:rtl/>
        </w:rPr>
        <w:t>נ</w:t>
      </w:r>
      <w:r w:rsidRPr="001B19FF">
        <w:rPr>
          <w:rFonts w:ascii="Century" w:hAnsi="Century" w:cs="Miriam"/>
          <w:b/>
          <w:spacing w:val="0"/>
          <w:sz w:val="22"/>
          <w:szCs w:val="24"/>
          <w:rtl/>
        </w:rPr>
        <w:t xml:space="preserve">' </w:t>
      </w:r>
      <w:r w:rsidRPr="001B19FF">
        <w:rPr>
          <w:rFonts w:ascii="Century" w:hAnsi="Century" w:cs="Miriam" w:hint="eastAsia"/>
          <w:b/>
          <w:spacing w:val="0"/>
          <w:sz w:val="22"/>
          <w:szCs w:val="24"/>
          <w:rtl/>
        </w:rPr>
        <w:t>יעקובי</w:t>
      </w:r>
      <w:r w:rsidRPr="008A05EC">
        <w:rPr>
          <w:rtl/>
        </w:rPr>
        <w:t xml:space="preserve">, </w:t>
      </w:r>
      <w:r w:rsidRPr="008A05EC">
        <w:rPr>
          <w:rFonts w:hint="eastAsia"/>
          <w:rtl/>
        </w:rPr>
        <w:t>פ</w:t>
      </w:r>
      <w:r w:rsidRPr="008A05EC">
        <w:rPr>
          <w:rtl/>
        </w:rPr>
        <w:t>"</w:t>
      </w:r>
      <w:r w:rsidRPr="008A05EC">
        <w:rPr>
          <w:rFonts w:hint="eastAsia"/>
          <w:rtl/>
        </w:rPr>
        <w:t>ד</w:t>
      </w:r>
      <w:r w:rsidRPr="008A05EC">
        <w:rPr>
          <w:rtl/>
        </w:rPr>
        <w:t xml:space="preserve"> </w:t>
      </w:r>
      <w:r w:rsidRPr="008A05EC">
        <w:rPr>
          <w:rFonts w:hint="eastAsia"/>
          <w:rtl/>
        </w:rPr>
        <w:t>מט</w:t>
      </w:r>
      <w:r w:rsidRPr="008A05EC">
        <w:rPr>
          <w:rtl/>
        </w:rPr>
        <w:t>(3) 529 (1995)</w:t>
      </w:r>
      <w:r>
        <w:rPr>
          <w:rFonts w:hint="cs"/>
          <w:rtl/>
        </w:rPr>
        <w:t xml:space="preserve"> (להלן: </w:t>
      </w:r>
      <w:r w:rsidRPr="001B19FF">
        <w:rPr>
          <w:rFonts w:ascii="Century" w:hAnsi="Century" w:cs="Miriam" w:hint="cs"/>
          <w:b/>
          <w:spacing w:val="0"/>
          <w:sz w:val="22"/>
          <w:szCs w:val="24"/>
          <w:rtl/>
        </w:rPr>
        <w:t>עניין יעקובי</w:t>
      </w:r>
      <w:r w:rsidRPr="001B19FF">
        <w:rPr>
          <w:rFonts w:ascii="Century" w:hAnsi="Century" w:cs="Miriam" w:hint="cs"/>
          <w:b/>
          <w:sz w:val="22"/>
          <w:szCs w:val="24"/>
          <w:rtl/>
        </w:rPr>
        <w:t xml:space="preserve"> </w:t>
      </w:r>
      <w:proofErr w:type="spellStart"/>
      <w:r w:rsidRPr="001B19FF">
        <w:rPr>
          <w:rFonts w:ascii="Century" w:hAnsi="Century" w:cs="Miriam" w:hint="cs"/>
          <w:b/>
          <w:sz w:val="22"/>
          <w:szCs w:val="24"/>
          <w:rtl/>
        </w:rPr>
        <w:t>וקנובלר</w:t>
      </w:r>
      <w:proofErr w:type="spellEnd"/>
      <w:r w:rsidRPr="001B19FF">
        <w:rPr>
          <w:rFonts w:ascii="Century" w:hAnsi="Century" w:hint="cs"/>
          <w:sz w:val="22"/>
          <w:rtl/>
        </w:rPr>
        <w:t>)</w:t>
      </w:r>
      <w:r>
        <w:rPr>
          <w:rFonts w:hint="cs"/>
          <w:rtl/>
        </w:rPr>
        <w:t xml:space="preserve">, שם הובעו דעות שונות בנוגע לשאלה אם </w:t>
      </w:r>
      <w:r w:rsidRPr="00604EF9">
        <w:rPr>
          <w:rFonts w:ascii="Century" w:hAnsi="Century" w:hint="cs"/>
          <w:sz w:val="20"/>
          <w:rtl/>
        </w:rPr>
        <w:t>חזקת השיתוף חלה על זוגות אשר נישאו לאחר מועד תחילת</w:t>
      </w:r>
      <w:r>
        <w:rPr>
          <w:rFonts w:ascii="Century" w:hAnsi="Century" w:hint="cs"/>
          <w:sz w:val="20"/>
          <w:rtl/>
        </w:rPr>
        <w:t xml:space="preserve"> תוקפו של חוק יחסי ממון </w:t>
      </w:r>
      <w:r w:rsidRPr="00604EF9">
        <w:rPr>
          <w:rFonts w:ascii="Century" w:hAnsi="Century" w:hint="cs"/>
          <w:sz w:val="20"/>
          <w:rtl/>
        </w:rPr>
        <w:t>(</w:t>
      </w:r>
      <w:r>
        <w:rPr>
          <w:rFonts w:hint="cs"/>
          <w:rtl/>
        </w:rPr>
        <w:t xml:space="preserve">לסקירת פסק הדין ראו: </w:t>
      </w:r>
      <w:r w:rsidRPr="009E0DFA">
        <w:rPr>
          <w:rFonts w:ascii="Century" w:hAnsi="Century" w:cs="Miriam" w:hint="cs"/>
          <w:b/>
          <w:spacing w:val="0"/>
          <w:sz w:val="22"/>
          <w:szCs w:val="24"/>
          <w:rtl/>
        </w:rPr>
        <w:t>ליפשיץ, השיתוף הזוגי</w:t>
      </w:r>
      <w:r>
        <w:rPr>
          <w:rFonts w:hint="cs"/>
          <w:rtl/>
        </w:rPr>
        <w:t>, בעמ' 156-150</w:t>
      </w:r>
      <w:r w:rsidRPr="00604EF9">
        <w:rPr>
          <w:rFonts w:ascii="Century" w:hAnsi="Century" w:hint="cs"/>
          <w:sz w:val="20"/>
          <w:rtl/>
        </w:rPr>
        <w:t>).</w:t>
      </w:r>
      <w:r w:rsidRPr="00604EF9">
        <w:rPr>
          <w:rFonts w:hint="cs"/>
          <w:rtl/>
        </w:rPr>
        <w:t xml:space="preserve"> </w:t>
      </w:r>
      <w:r>
        <w:rPr>
          <w:rFonts w:hint="cs"/>
          <w:rtl/>
        </w:rPr>
        <w:t>נוכח ריבוי העמדות שהובעו באותו עניין נוצרה אי-בהירות באשר לדין ה</w:t>
      </w:r>
      <w:r w:rsidRPr="00604EF9">
        <w:rPr>
          <w:rFonts w:hint="cs"/>
          <w:rtl/>
        </w:rPr>
        <w:t>חל על נכסים חיצוניים</w:t>
      </w:r>
      <w:r>
        <w:rPr>
          <w:rFonts w:hint="cs"/>
          <w:rtl/>
        </w:rPr>
        <w:t>, בין מכוח חזקת השיתוף ובין מכוח חוק יחסי ממון</w:t>
      </w:r>
      <w:r w:rsidRPr="00604EF9">
        <w:rPr>
          <w:rFonts w:hint="cs"/>
          <w:rtl/>
        </w:rPr>
        <w:t xml:space="preserve">. </w:t>
      </w:r>
      <w:r>
        <w:rPr>
          <w:rFonts w:hint="cs"/>
          <w:rtl/>
        </w:rPr>
        <w:t xml:space="preserve">באותו עניין </w:t>
      </w:r>
      <w:r w:rsidRPr="00604EF9">
        <w:rPr>
          <w:rFonts w:hint="cs"/>
          <w:rtl/>
        </w:rPr>
        <w:t xml:space="preserve">סברה השופטת </w:t>
      </w:r>
      <w:r w:rsidRPr="009D57DD">
        <w:rPr>
          <w:rFonts w:ascii="Century" w:hAnsi="Century" w:cs="Miriam" w:hint="cs"/>
          <w:b/>
          <w:spacing w:val="0"/>
          <w:sz w:val="22"/>
          <w:szCs w:val="24"/>
          <w:rtl/>
        </w:rPr>
        <w:t xml:space="preserve">ט' </w:t>
      </w:r>
      <w:proofErr w:type="spellStart"/>
      <w:r w:rsidRPr="009D57DD">
        <w:rPr>
          <w:rFonts w:ascii="Century" w:hAnsi="Century" w:cs="Miriam" w:hint="cs"/>
          <w:b/>
          <w:spacing w:val="0"/>
          <w:sz w:val="22"/>
          <w:szCs w:val="24"/>
          <w:rtl/>
        </w:rPr>
        <w:t>שטרסברג</w:t>
      </w:r>
      <w:proofErr w:type="spellEnd"/>
      <w:r w:rsidRPr="009D57DD">
        <w:rPr>
          <w:rFonts w:ascii="Century" w:hAnsi="Century" w:cs="Miriam" w:hint="cs"/>
          <w:b/>
          <w:spacing w:val="0"/>
          <w:sz w:val="22"/>
          <w:szCs w:val="24"/>
          <w:rtl/>
        </w:rPr>
        <w:t>-כהן</w:t>
      </w:r>
      <w:r w:rsidRPr="00604EF9">
        <w:rPr>
          <w:rFonts w:hint="cs"/>
          <w:rtl/>
        </w:rPr>
        <w:t>, בדעת יחיד, כי על נכסים חיצוניים יש להחיל את הוראות "הדין הכללי", אשר יותאם להקשר הזוגי שבו הוא חל:</w:t>
      </w:r>
    </w:p>
    <w:p w:rsidR="00FA3A86" w:rsidRPr="00604EF9" w:rsidRDefault="00FA3A86" w:rsidP="00FA3A86">
      <w:pPr>
        <w:tabs>
          <w:tab w:val="left" w:pos="800"/>
        </w:tabs>
        <w:jc w:val="both"/>
        <w:rPr>
          <w:rtl/>
        </w:rPr>
      </w:pPr>
    </w:p>
    <w:p w:rsidR="00FA3A86" w:rsidRPr="004F757C" w:rsidRDefault="00FA3A86" w:rsidP="00FA3A86">
      <w:pPr>
        <w:ind w:left="1644" w:right="1276"/>
        <w:jc w:val="both"/>
        <w:rPr>
          <w:rFonts w:ascii="Garamond" w:hAnsi="Garamond" w:cs="FrankRuehl"/>
          <w:spacing w:val="10"/>
          <w:sz w:val="24"/>
          <w:szCs w:val="28"/>
          <w:rtl/>
        </w:rPr>
      </w:pPr>
      <w:r w:rsidRPr="004F757C">
        <w:rPr>
          <w:rFonts w:ascii="Garamond" w:hAnsi="Garamond" w:cs="FrankRuehl" w:hint="cs"/>
          <w:spacing w:val="10"/>
          <w:sz w:val="24"/>
          <w:szCs w:val="28"/>
          <w:rtl/>
        </w:rPr>
        <w:t xml:space="preserve">"[...] אם קיים רכוש שנרשם על שם אחד אלא שהרישום איננו משקף אל נכון את </w:t>
      </w:r>
      <w:r w:rsidRPr="004F757C">
        <w:rPr>
          <w:rFonts w:ascii="Garamond" w:hAnsi="Garamond" w:cs="FrankRuehl" w:hint="eastAsia"/>
          <w:spacing w:val="10"/>
          <w:sz w:val="24"/>
          <w:szCs w:val="28"/>
          <w:rtl/>
        </w:rPr>
        <w:t>הבעלות</w:t>
      </w:r>
      <w:r w:rsidRPr="004F757C">
        <w:rPr>
          <w:rFonts w:ascii="Garamond" w:hAnsi="Garamond" w:cs="FrankRuehl" w:hint="cs"/>
          <w:spacing w:val="10"/>
          <w:sz w:val="24"/>
          <w:szCs w:val="28"/>
          <w:rtl/>
        </w:rPr>
        <w:t xml:space="preserve"> </w:t>
      </w:r>
      <w:proofErr w:type="spellStart"/>
      <w:r w:rsidRPr="004F757C">
        <w:rPr>
          <w:rFonts w:ascii="Garamond" w:hAnsi="Garamond" w:cs="FrankRuehl" w:hint="cs"/>
          <w:spacing w:val="10"/>
          <w:sz w:val="24"/>
          <w:szCs w:val="28"/>
          <w:rtl/>
        </w:rPr>
        <w:t>האמיתית</w:t>
      </w:r>
      <w:proofErr w:type="spellEnd"/>
      <w:r w:rsidRPr="004F757C">
        <w:rPr>
          <w:rFonts w:ascii="Garamond" w:hAnsi="Garamond" w:cs="FrankRuehl" w:hint="cs"/>
          <w:spacing w:val="10"/>
          <w:sz w:val="24"/>
          <w:szCs w:val="28"/>
          <w:rtl/>
        </w:rPr>
        <w:t xml:space="preserve"> בו, או</w:t>
      </w:r>
      <w:r>
        <w:rPr>
          <w:rFonts w:ascii="Garamond" w:hAnsi="Garamond" w:cs="FrankRuehl" w:hint="cs"/>
          <w:spacing w:val="10"/>
          <w:sz w:val="24"/>
          <w:szCs w:val="28"/>
          <w:rtl/>
        </w:rPr>
        <w:t xml:space="preserve"> </w:t>
      </w:r>
      <w:r w:rsidRPr="004F757C">
        <w:rPr>
          <w:rFonts w:ascii="Garamond" w:hAnsi="Garamond" w:cs="FrankRuehl" w:hint="cs"/>
          <w:spacing w:val="10"/>
          <w:sz w:val="24"/>
          <w:szCs w:val="28"/>
          <w:rtl/>
        </w:rPr>
        <w:t xml:space="preserve">שקיים רכוש בלתי רשום שלא ניתן לזהות של מי הוא, יש לקבוע את </w:t>
      </w:r>
      <w:r w:rsidRPr="004F757C">
        <w:rPr>
          <w:rFonts w:ascii="Garamond" w:hAnsi="Garamond" w:cs="FrankRuehl" w:hint="eastAsia"/>
          <w:spacing w:val="10"/>
          <w:sz w:val="24"/>
          <w:szCs w:val="28"/>
          <w:rtl/>
        </w:rPr>
        <w:t>הבעלות</w:t>
      </w:r>
      <w:r w:rsidRPr="004F757C">
        <w:rPr>
          <w:rFonts w:ascii="Garamond" w:hAnsi="Garamond" w:cs="FrankRuehl" w:hint="cs"/>
          <w:spacing w:val="10"/>
          <w:sz w:val="24"/>
          <w:szCs w:val="28"/>
          <w:rtl/>
        </w:rPr>
        <w:t xml:space="preserve"> </w:t>
      </w:r>
      <w:proofErr w:type="spellStart"/>
      <w:r w:rsidRPr="004F757C">
        <w:rPr>
          <w:rFonts w:ascii="Garamond" w:hAnsi="Garamond" w:cs="FrankRuehl" w:hint="cs"/>
          <w:spacing w:val="10"/>
          <w:sz w:val="24"/>
          <w:szCs w:val="28"/>
          <w:rtl/>
        </w:rPr>
        <w:t>לאשורה</w:t>
      </w:r>
      <w:proofErr w:type="spellEnd"/>
      <w:r w:rsidRPr="004F757C">
        <w:rPr>
          <w:rFonts w:ascii="Garamond" w:hAnsi="Garamond" w:cs="FrankRuehl" w:hint="cs"/>
          <w:spacing w:val="10"/>
          <w:sz w:val="24"/>
          <w:szCs w:val="28"/>
          <w:rtl/>
        </w:rPr>
        <w:t xml:space="preserve"> לפי הדין הכללי</w:t>
      </w:r>
      <w:r>
        <w:rPr>
          <w:rFonts w:ascii="Garamond" w:hAnsi="Garamond" w:cs="FrankRuehl" w:hint="cs"/>
          <w:spacing w:val="10"/>
          <w:sz w:val="24"/>
          <w:szCs w:val="28"/>
          <w:rtl/>
        </w:rPr>
        <w:t xml:space="preserve">, </w:t>
      </w:r>
      <w:r>
        <w:rPr>
          <w:rFonts w:ascii="Garamond" w:hAnsi="Garamond" w:cs="FrankRuehl"/>
          <w:spacing w:val="10"/>
          <w:sz w:val="24"/>
          <w:szCs w:val="28"/>
          <w:rtl/>
        </w:rPr>
        <w:t>שיפורש בגמישות ובהתאמה ל</w:t>
      </w:r>
      <w:r w:rsidRPr="00C101BA">
        <w:rPr>
          <w:rFonts w:ascii="Garamond" w:hAnsi="Garamond" w:cs="FrankRuehl"/>
          <w:spacing w:val="10"/>
          <w:sz w:val="24"/>
          <w:szCs w:val="28"/>
          <w:rtl/>
        </w:rPr>
        <w:t>מסגרת השיתוף שבה חיים השניים שהרכוש</w:t>
      </w:r>
      <w:r>
        <w:rPr>
          <w:rFonts w:ascii="Garamond" w:hAnsi="Garamond" w:cs="FrankRuehl" w:hint="cs"/>
          <w:spacing w:val="10"/>
          <w:sz w:val="24"/>
          <w:szCs w:val="28"/>
          <w:rtl/>
        </w:rPr>
        <w:t xml:space="preserve"> </w:t>
      </w:r>
      <w:r>
        <w:rPr>
          <w:rFonts w:ascii="Garamond" w:hAnsi="Garamond" w:cs="FrankRuehl"/>
          <w:spacing w:val="10"/>
          <w:sz w:val="24"/>
          <w:szCs w:val="28"/>
          <w:rtl/>
        </w:rPr>
        <w:t xml:space="preserve"> נ</w:t>
      </w:r>
      <w:r w:rsidRPr="00C101BA">
        <w:rPr>
          <w:rFonts w:ascii="Garamond" w:hAnsi="Garamond" w:cs="FrankRuehl"/>
          <w:spacing w:val="10"/>
          <w:sz w:val="24"/>
          <w:szCs w:val="28"/>
          <w:rtl/>
        </w:rPr>
        <w:t>צבר על</w:t>
      </w:r>
      <w:r>
        <w:rPr>
          <w:rFonts w:ascii="Garamond" w:hAnsi="Garamond" w:cs="FrankRuehl" w:hint="cs"/>
          <w:spacing w:val="10"/>
          <w:sz w:val="24"/>
          <w:szCs w:val="28"/>
          <w:rtl/>
        </w:rPr>
        <w:t>-</w:t>
      </w:r>
      <w:r w:rsidRPr="00C101BA">
        <w:rPr>
          <w:rFonts w:ascii="Garamond" w:hAnsi="Garamond" w:cs="FrankRuehl"/>
          <w:spacing w:val="10"/>
          <w:sz w:val="24"/>
          <w:szCs w:val="28"/>
          <w:rtl/>
        </w:rPr>
        <w:t>ידיהם</w:t>
      </w:r>
      <w:r>
        <w:rPr>
          <w:rFonts w:ascii="Garamond" w:hAnsi="Garamond" w:cs="FrankRuehl" w:hint="cs"/>
          <w:spacing w:val="10"/>
          <w:sz w:val="24"/>
          <w:szCs w:val="28"/>
          <w:rtl/>
        </w:rPr>
        <w:t>.</w:t>
      </w:r>
      <w:r w:rsidRPr="004F757C">
        <w:rPr>
          <w:rFonts w:ascii="Garamond" w:hAnsi="Garamond" w:cs="FrankRuehl" w:hint="cs"/>
          <w:spacing w:val="10"/>
          <w:sz w:val="24"/>
          <w:szCs w:val="28"/>
          <w:rtl/>
        </w:rPr>
        <w:t xml:space="preserve"> [...] על-מנת לקבוע את זכויות כל אחד מבני הזוג ברכוש במהלך חיי הנישואין, ניתן לפנות לדיני החוזים, לדיני הקניין, לדיני הנאמנות, לדיני השליחות, לדיני עשיית עושר ולא במשפט, לעקרון תום הלב ולכל אותם כלים הנתונים בידינו, כדי לקבוע </w:t>
      </w:r>
      <w:r w:rsidRPr="004F757C">
        <w:rPr>
          <w:rFonts w:ascii="Garamond" w:hAnsi="Garamond" w:cs="FrankRuehl" w:hint="eastAsia"/>
          <w:spacing w:val="10"/>
          <w:sz w:val="24"/>
          <w:szCs w:val="28"/>
          <w:rtl/>
        </w:rPr>
        <w:t>בעלו</w:t>
      </w:r>
      <w:r w:rsidRPr="004F757C">
        <w:rPr>
          <w:rFonts w:ascii="Garamond" w:hAnsi="Garamond" w:cs="FrankRuehl" w:hint="cs"/>
          <w:spacing w:val="10"/>
          <w:sz w:val="24"/>
          <w:szCs w:val="28"/>
          <w:rtl/>
        </w:rPr>
        <w:t>ת</w:t>
      </w:r>
      <w:r w:rsidRPr="004F757C">
        <w:rPr>
          <w:rFonts w:ascii="Garamond" w:hAnsi="Garamond" w:cs="Miriam" w:hint="cs"/>
          <w:spacing w:val="10"/>
          <w:sz w:val="22"/>
          <w:rtl/>
        </w:rPr>
        <w:t xml:space="preserve"> </w:t>
      </w:r>
      <w:proofErr w:type="spellStart"/>
      <w:r w:rsidRPr="004F757C">
        <w:rPr>
          <w:rFonts w:ascii="Garamond" w:hAnsi="Garamond" w:cs="Miriam" w:hint="cs"/>
          <w:spacing w:val="10"/>
          <w:sz w:val="22"/>
          <w:rtl/>
        </w:rPr>
        <w:t>אמיתית</w:t>
      </w:r>
      <w:proofErr w:type="spellEnd"/>
      <w:r w:rsidRPr="004F757C">
        <w:rPr>
          <w:rFonts w:ascii="Garamond" w:hAnsi="Garamond" w:cs="FrankRuehl" w:hint="cs"/>
          <w:spacing w:val="10"/>
          <w:sz w:val="22"/>
          <w:rtl/>
        </w:rPr>
        <w:t xml:space="preserve"> </w:t>
      </w:r>
      <w:r w:rsidRPr="004F757C">
        <w:rPr>
          <w:rFonts w:ascii="Garamond" w:hAnsi="Garamond" w:cs="FrankRuehl" w:hint="cs"/>
          <w:spacing w:val="10"/>
          <w:sz w:val="24"/>
          <w:szCs w:val="28"/>
          <w:rtl/>
        </w:rPr>
        <w:t>ולא פורמאלית ברכוש" (</w:t>
      </w:r>
      <w:r w:rsidRPr="004F757C">
        <w:rPr>
          <w:rFonts w:ascii="Garamond" w:hAnsi="Garamond" w:cs="Miriam" w:hint="cs"/>
          <w:spacing w:val="10"/>
          <w:sz w:val="22"/>
          <w:rtl/>
        </w:rPr>
        <w:t>שם</w:t>
      </w:r>
      <w:r w:rsidRPr="004F757C">
        <w:rPr>
          <w:rFonts w:ascii="Garamond" w:hAnsi="Garamond" w:cs="FrankRuehl" w:hint="cs"/>
          <w:spacing w:val="10"/>
          <w:sz w:val="24"/>
          <w:szCs w:val="28"/>
          <w:rtl/>
        </w:rPr>
        <w:t xml:space="preserve">, </w:t>
      </w:r>
      <w:r w:rsidRPr="004F757C">
        <w:rPr>
          <w:rFonts w:ascii="Garamond" w:hAnsi="Garamond" w:cs="FrankRuehl" w:hint="eastAsia"/>
          <w:spacing w:val="10"/>
          <w:sz w:val="24"/>
          <w:szCs w:val="28"/>
          <w:rtl/>
        </w:rPr>
        <w:t>בעמ</w:t>
      </w:r>
      <w:r w:rsidRPr="004F757C">
        <w:rPr>
          <w:rFonts w:ascii="Garamond" w:hAnsi="Garamond" w:cs="FrankRuehl"/>
          <w:spacing w:val="10"/>
          <w:sz w:val="24"/>
          <w:szCs w:val="28"/>
          <w:rtl/>
        </w:rPr>
        <w:t>' 621</w:t>
      </w:r>
      <w:r w:rsidRPr="004F757C">
        <w:rPr>
          <w:rFonts w:ascii="Garamond" w:hAnsi="Garamond" w:cs="FrankRuehl" w:hint="cs"/>
          <w:spacing w:val="10"/>
          <w:sz w:val="24"/>
          <w:szCs w:val="28"/>
          <w:rtl/>
        </w:rPr>
        <w:t>; ההדגשה במקור).</w:t>
      </w:r>
    </w:p>
    <w:p w:rsidR="00FA3A86" w:rsidRPr="00604EF9" w:rsidRDefault="00FA3A86" w:rsidP="00FA3A86">
      <w:pPr>
        <w:pStyle w:val="Ruller4"/>
        <w:numPr>
          <w:ilvl w:val="0"/>
          <w:numId w:val="0"/>
        </w:numPr>
      </w:pPr>
    </w:p>
    <w:p w:rsidR="00FA3A86" w:rsidRPr="00604EF9" w:rsidRDefault="00FA3A86" w:rsidP="00FA3A86">
      <w:pPr>
        <w:pStyle w:val="Ruller4"/>
        <w:rPr>
          <w:rtl/>
        </w:rPr>
      </w:pPr>
      <w:r w:rsidRPr="00604EF9">
        <w:rPr>
          <w:rFonts w:hint="cs"/>
          <w:rtl/>
        </w:rPr>
        <w:t xml:space="preserve">גישה זו אומצה בשלב מאוחר יותר כדעת הרוב </w:t>
      </w:r>
      <w:r>
        <w:rPr>
          <w:rFonts w:hint="cs"/>
          <w:rtl/>
        </w:rPr>
        <w:t>ב</w:t>
      </w:r>
      <w:r w:rsidRPr="008A05EC">
        <w:rPr>
          <w:rFonts w:hint="eastAsia"/>
          <w:rtl/>
        </w:rPr>
        <w:t>ע</w:t>
      </w:r>
      <w:r w:rsidRPr="008A05EC">
        <w:rPr>
          <w:rtl/>
        </w:rPr>
        <w:t>"</w:t>
      </w:r>
      <w:r w:rsidRPr="008A05EC">
        <w:rPr>
          <w:rFonts w:hint="eastAsia"/>
          <w:rtl/>
        </w:rPr>
        <w:t>א</w:t>
      </w:r>
      <w:r w:rsidRPr="008A05EC">
        <w:rPr>
          <w:rtl/>
        </w:rPr>
        <w:t xml:space="preserve"> 8672/00 </w:t>
      </w:r>
      <w:r w:rsidRPr="004E1ED4">
        <w:rPr>
          <w:rFonts w:ascii="Century" w:hAnsi="Century" w:cs="Miriam" w:hint="eastAsia"/>
          <w:b/>
          <w:spacing w:val="0"/>
          <w:sz w:val="22"/>
          <w:szCs w:val="24"/>
          <w:rtl/>
        </w:rPr>
        <w:t>אבו</w:t>
      </w:r>
      <w:r w:rsidRPr="004E1ED4">
        <w:rPr>
          <w:rFonts w:ascii="Century" w:hAnsi="Century" w:cs="Miriam"/>
          <w:b/>
          <w:spacing w:val="0"/>
          <w:sz w:val="22"/>
          <w:szCs w:val="24"/>
          <w:rtl/>
        </w:rPr>
        <w:t>-</w:t>
      </w:r>
      <w:r w:rsidRPr="004E1ED4">
        <w:rPr>
          <w:rFonts w:ascii="Century" w:hAnsi="Century" w:cs="Miriam" w:hint="eastAsia"/>
          <w:b/>
          <w:spacing w:val="0"/>
          <w:sz w:val="22"/>
          <w:szCs w:val="24"/>
          <w:rtl/>
        </w:rPr>
        <w:t>רומי</w:t>
      </w:r>
      <w:r w:rsidRPr="004E1ED4">
        <w:rPr>
          <w:rFonts w:ascii="Century" w:hAnsi="Century" w:cs="Miriam"/>
          <w:b/>
          <w:spacing w:val="0"/>
          <w:sz w:val="22"/>
          <w:szCs w:val="24"/>
          <w:rtl/>
        </w:rPr>
        <w:t xml:space="preserve"> </w:t>
      </w:r>
      <w:r w:rsidRPr="004E1ED4">
        <w:rPr>
          <w:rFonts w:ascii="Century" w:hAnsi="Century" w:cs="Miriam" w:hint="eastAsia"/>
          <w:b/>
          <w:spacing w:val="0"/>
          <w:sz w:val="22"/>
          <w:szCs w:val="24"/>
          <w:rtl/>
        </w:rPr>
        <w:t>נ</w:t>
      </w:r>
      <w:r w:rsidRPr="004E1ED4">
        <w:rPr>
          <w:rFonts w:ascii="Century" w:hAnsi="Century" w:cs="Miriam"/>
          <w:b/>
          <w:spacing w:val="0"/>
          <w:sz w:val="22"/>
          <w:szCs w:val="24"/>
          <w:rtl/>
        </w:rPr>
        <w:t xml:space="preserve">' </w:t>
      </w:r>
      <w:r w:rsidRPr="004E1ED4">
        <w:rPr>
          <w:rFonts w:ascii="Century" w:hAnsi="Century" w:cs="Miriam" w:hint="eastAsia"/>
          <w:b/>
          <w:spacing w:val="0"/>
          <w:sz w:val="22"/>
          <w:szCs w:val="24"/>
          <w:rtl/>
        </w:rPr>
        <w:t>אבו</w:t>
      </w:r>
      <w:r w:rsidRPr="004E1ED4">
        <w:rPr>
          <w:rFonts w:ascii="Century" w:hAnsi="Century" w:cs="Miriam"/>
          <w:b/>
          <w:spacing w:val="0"/>
          <w:sz w:val="22"/>
          <w:szCs w:val="24"/>
          <w:rtl/>
        </w:rPr>
        <w:t>-</w:t>
      </w:r>
      <w:r w:rsidRPr="004E1ED4">
        <w:rPr>
          <w:rFonts w:ascii="Century" w:hAnsi="Century" w:cs="Miriam" w:hint="eastAsia"/>
          <w:b/>
          <w:spacing w:val="0"/>
          <w:sz w:val="22"/>
          <w:szCs w:val="24"/>
          <w:rtl/>
        </w:rPr>
        <w:t>רומי</w:t>
      </w:r>
      <w:r w:rsidRPr="008A05EC">
        <w:rPr>
          <w:rtl/>
        </w:rPr>
        <w:t xml:space="preserve">, </w:t>
      </w:r>
      <w:r w:rsidRPr="008A05EC">
        <w:rPr>
          <w:rFonts w:hint="eastAsia"/>
          <w:rtl/>
        </w:rPr>
        <w:t>פ</w:t>
      </w:r>
      <w:r w:rsidRPr="008A05EC">
        <w:rPr>
          <w:rtl/>
        </w:rPr>
        <w:t>"</w:t>
      </w:r>
      <w:r w:rsidRPr="008A05EC">
        <w:rPr>
          <w:rFonts w:hint="eastAsia"/>
          <w:rtl/>
        </w:rPr>
        <w:t>ד</w:t>
      </w:r>
      <w:r w:rsidRPr="008A05EC">
        <w:rPr>
          <w:rtl/>
        </w:rPr>
        <w:t xml:space="preserve"> </w:t>
      </w:r>
      <w:r w:rsidRPr="008A05EC">
        <w:rPr>
          <w:rFonts w:hint="eastAsia"/>
          <w:rtl/>
        </w:rPr>
        <w:t>נו</w:t>
      </w:r>
      <w:r>
        <w:rPr>
          <w:rtl/>
        </w:rPr>
        <w:t>(6) 175</w:t>
      </w:r>
      <w:r>
        <w:rPr>
          <w:rFonts w:hint="cs"/>
          <w:rtl/>
        </w:rPr>
        <w:t xml:space="preserve"> </w:t>
      </w:r>
      <w:r w:rsidRPr="008A05EC">
        <w:rPr>
          <w:rFonts w:hint="cs"/>
          <w:rtl/>
        </w:rPr>
        <w:t xml:space="preserve">(2002) </w:t>
      </w:r>
      <w:r w:rsidRPr="008A05EC">
        <w:rPr>
          <w:rtl/>
        </w:rPr>
        <w:t>(</w:t>
      </w:r>
      <w:r w:rsidRPr="008A05EC">
        <w:rPr>
          <w:rFonts w:hint="eastAsia"/>
          <w:rtl/>
        </w:rPr>
        <w:t>להלן</w:t>
      </w:r>
      <w:r w:rsidRPr="008A05EC">
        <w:rPr>
          <w:rtl/>
        </w:rPr>
        <w:t xml:space="preserve">: </w:t>
      </w:r>
      <w:r w:rsidRPr="004E1ED4">
        <w:rPr>
          <w:rFonts w:ascii="Century" w:hAnsi="Century" w:cs="Miriam" w:hint="cs"/>
          <w:b/>
          <w:spacing w:val="0"/>
          <w:sz w:val="22"/>
          <w:szCs w:val="24"/>
          <w:rtl/>
        </w:rPr>
        <w:t>עניין אבו-רומי</w:t>
      </w:r>
      <w:r>
        <w:rPr>
          <w:rFonts w:ascii="Century" w:hAnsi="Century" w:hint="cs"/>
          <w:rtl/>
        </w:rPr>
        <w:t>)</w:t>
      </w:r>
      <w:r w:rsidRPr="00604EF9">
        <w:rPr>
          <w:rFonts w:hint="cs"/>
          <w:rtl/>
        </w:rPr>
        <w:t>, והפכה למה שמכונה על ידינו כיום "הלכת השיתוף הספציפי"</w:t>
      </w:r>
      <w:r>
        <w:rPr>
          <w:rFonts w:hint="cs"/>
          <w:rtl/>
        </w:rPr>
        <w:t xml:space="preserve"> (לתיאור יישומה של הלכה זו ופרשנותה בפסקי הדין שבאו אחריה (ראו </w:t>
      </w:r>
      <w:r w:rsidRPr="00422503">
        <w:rPr>
          <w:rFonts w:ascii="Century" w:hAnsi="Century" w:cs="Miriam" w:hint="eastAsia"/>
          <w:b/>
          <w:spacing w:val="0"/>
          <w:sz w:val="22"/>
          <w:szCs w:val="24"/>
          <w:rtl/>
        </w:rPr>
        <w:t>ליפשיץ</w:t>
      </w:r>
      <w:r w:rsidRPr="00422503">
        <w:rPr>
          <w:rFonts w:ascii="Century" w:hAnsi="Century" w:cs="Miriam"/>
          <w:b/>
          <w:spacing w:val="0"/>
          <w:sz w:val="22"/>
          <w:szCs w:val="24"/>
          <w:rtl/>
        </w:rPr>
        <w:t xml:space="preserve">, </w:t>
      </w:r>
      <w:r w:rsidRPr="00422503">
        <w:rPr>
          <w:rFonts w:ascii="Century" w:hAnsi="Century" w:cs="Miriam" w:hint="eastAsia"/>
          <w:b/>
          <w:spacing w:val="0"/>
          <w:sz w:val="22"/>
          <w:szCs w:val="24"/>
          <w:rtl/>
        </w:rPr>
        <w:t>השיתוף</w:t>
      </w:r>
      <w:r w:rsidRPr="00422503">
        <w:rPr>
          <w:rFonts w:ascii="Century" w:hAnsi="Century" w:cs="Miriam"/>
          <w:b/>
          <w:spacing w:val="0"/>
          <w:sz w:val="22"/>
          <w:szCs w:val="24"/>
          <w:rtl/>
        </w:rPr>
        <w:t xml:space="preserve"> </w:t>
      </w:r>
      <w:r w:rsidRPr="00422503">
        <w:rPr>
          <w:rFonts w:ascii="Century" w:hAnsi="Century" w:cs="Miriam" w:hint="eastAsia"/>
          <w:b/>
          <w:spacing w:val="0"/>
          <w:sz w:val="22"/>
          <w:szCs w:val="24"/>
          <w:rtl/>
        </w:rPr>
        <w:t>הזוגי</w:t>
      </w:r>
      <w:r>
        <w:rPr>
          <w:rFonts w:hint="cs"/>
          <w:rtl/>
        </w:rPr>
        <w:t>, בעמ' 181-175)</w:t>
      </w:r>
      <w:r w:rsidRPr="00604EF9">
        <w:rPr>
          <w:rFonts w:hint="cs"/>
          <w:rtl/>
        </w:rPr>
        <w:t xml:space="preserve">. עיקרה של הלכה זו, כפי שפורטה בעניין </w:t>
      </w:r>
      <w:r w:rsidRPr="00066B26">
        <w:rPr>
          <w:rFonts w:ascii="Century" w:hAnsi="Century" w:cs="Miriam" w:hint="cs"/>
          <w:b/>
          <w:spacing w:val="0"/>
          <w:sz w:val="22"/>
          <w:szCs w:val="24"/>
          <w:rtl/>
        </w:rPr>
        <w:t>אבו-רומי</w:t>
      </w:r>
      <w:r w:rsidRPr="00604EF9">
        <w:rPr>
          <w:rFonts w:hint="cs"/>
          <w:rtl/>
        </w:rPr>
        <w:t>, הוא כי:</w:t>
      </w:r>
    </w:p>
    <w:p w:rsidR="00FA3A86" w:rsidRPr="00604EF9" w:rsidRDefault="00FA3A86" w:rsidP="00FA3A86">
      <w:pPr>
        <w:pStyle w:val="Ruller41"/>
        <w:rPr>
          <w:rtl/>
        </w:rPr>
      </w:pPr>
    </w:p>
    <w:p w:rsidR="00FA3A86" w:rsidRPr="00604EF9" w:rsidRDefault="00FA3A86" w:rsidP="00FA3A86">
      <w:pPr>
        <w:pStyle w:val="Ruller5"/>
        <w:rPr>
          <w:rtl/>
        </w:rPr>
      </w:pPr>
      <w:r w:rsidRPr="00604EF9">
        <w:rPr>
          <w:rFonts w:hint="cs"/>
          <w:rtl/>
        </w:rPr>
        <w:t>"</w:t>
      </w:r>
      <w:r w:rsidRPr="005A5A1B">
        <w:rPr>
          <w:rtl/>
        </w:rPr>
        <w:t xml:space="preserve">מכוח סעיף 4 לחוק יחסי ממון, הדין החל על בני-הזוג במהלך חיי הנישואין באשר לזכויותיהם ברכוש הוא הדין הכללי. מכאן, שלכאורה, במסגרת סעיף 4 אין מניעה שבן-זוג יטען מכוח דין כללי כלשהו כי בידיו זכויות בדירת מגורים הרשומה על שם בן-הזוג האחר ושהייתה בבעלותו ערב הנישואין. [...] בהקשר של קביעת הבעלות על רכוש בני-הזוג ראוי ליתן פרשנות רחבה לדין הכללי </w:t>
      </w:r>
      <w:r w:rsidRPr="005A5A1B">
        <w:rPr>
          <w:rtl/>
        </w:rPr>
        <w:lastRenderedPageBreak/>
        <w:t xml:space="preserve">– דיני החוזים, דיני הקניין, דיני הנאמנות, דיני השליחות, דיני עשיית עושר, עקרון תום-הלב ועוד – באופן התואם את התא המשפחתי שבו מצוי המאגר </w:t>
      </w:r>
      <w:proofErr w:type="spellStart"/>
      <w:r w:rsidRPr="005A5A1B">
        <w:rPr>
          <w:rtl/>
        </w:rPr>
        <w:t>הרכושי</w:t>
      </w:r>
      <w:proofErr w:type="spellEnd"/>
      <w:r w:rsidRPr="005A5A1B">
        <w:rPr>
          <w:rtl/>
        </w:rPr>
        <w:t xml:space="preserve"> של בני-הזוג</w:t>
      </w:r>
      <w:r w:rsidRPr="00604EF9">
        <w:rPr>
          <w:rFonts w:hint="cs"/>
          <w:rtl/>
        </w:rPr>
        <w:t xml:space="preserve">" (עניין </w:t>
      </w:r>
      <w:r w:rsidRPr="00604EF9">
        <w:rPr>
          <w:rFonts w:ascii="Century" w:hAnsi="Century" w:cs="Miriam" w:hint="cs"/>
          <w:b/>
          <w:szCs w:val="24"/>
          <w:rtl/>
        </w:rPr>
        <w:t>אבו-רומי</w:t>
      </w:r>
      <w:r w:rsidRPr="00604EF9">
        <w:rPr>
          <w:rFonts w:hint="cs"/>
          <w:rtl/>
        </w:rPr>
        <w:t>, בעמ' 183).</w:t>
      </w:r>
    </w:p>
    <w:p w:rsidR="00FA3A86" w:rsidRDefault="00FA3A86" w:rsidP="00FA3A86">
      <w:pPr>
        <w:tabs>
          <w:tab w:val="left" w:pos="800"/>
        </w:tabs>
        <w:jc w:val="both"/>
        <w:rPr>
          <w:rtl/>
        </w:rPr>
      </w:pPr>
    </w:p>
    <w:p w:rsidR="00FA3A86" w:rsidRPr="00604EF9" w:rsidRDefault="00FA3A86" w:rsidP="00FA3A86">
      <w:pPr>
        <w:tabs>
          <w:tab w:val="left" w:pos="800"/>
        </w:tabs>
        <w:jc w:val="both"/>
        <w:rPr>
          <w:rtl/>
        </w:rPr>
      </w:pPr>
    </w:p>
    <w:p w:rsidR="00FA3A86" w:rsidRPr="00916D68" w:rsidRDefault="00FA3A86" w:rsidP="00FA3A86">
      <w:pPr>
        <w:pStyle w:val="Ruller4"/>
        <w:numPr>
          <w:ilvl w:val="0"/>
          <w:numId w:val="0"/>
        </w:numPr>
        <w:rPr>
          <w:rtl/>
        </w:rPr>
      </w:pPr>
      <w:r w:rsidRPr="00604EF9">
        <w:rPr>
          <w:rtl/>
        </w:rPr>
        <w:tab/>
      </w:r>
      <w:r w:rsidRPr="005F3AD9">
        <w:rPr>
          <w:rFonts w:hint="cs"/>
          <w:rtl/>
        </w:rPr>
        <w:t xml:space="preserve">במילים אחרות, </w:t>
      </w:r>
      <w:r>
        <w:rPr>
          <w:rFonts w:hint="cs"/>
          <w:rtl/>
        </w:rPr>
        <w:t>תכליתה של הלכת השיתוף הספציפי צנועה בהרבה מזו של חזקת השיתוף: היא לא נועדה לשמש "כלל-על" של דיני המשפחה אשר חולש על נכסי בני הזוג. היא כלי משפטי המאפשר הכרה בקיומו של שיתוף בנכס ספציפי, וזאת מכוח הדין הכללי.</w:t>
      </w:r>
      <w:r w:rsidRPr="00056A96">
        <w:rPr>
          <w:rFonts w:ascii="Century" w:hAnsi="Century" w:hint="cs"/>
          <w:rtl/>
        </w:rPr>
        <w:t xml:space="preserve"> </w:t>
      </w:r>
      <w:r>
        <w:rPr>
          <w:rFonts w:hint="cs"/>
          <w:rtl/>
        </w:rPr>
        <w:t>השיתוף שנוצר מכוחה</w:t>
      </w:r>
      <w:r w:rsidRPr="009F06B6">
        <w:rPr>
          <w:rFonts w:hint="cs"/>
          <w:rtl/>
        </w:rPr>
        <w:t xml:space="preserve"> </w:t>
      </w:r>
      <w:r>
        <w:rPr>
          <w:rFonts w:hint="cs"/>
          <w:rtl/>
        </w:rPr>
        <w:t xml:space="preserve">מבטא </w:t>
      </w:r>
      <w:r w:rsidRPr="009F06B6">
        <w:rPr>
          <w:rFonts w:hint="cs"/>
          <w:rtl/>
        </w:rPr>
        <w:t>סוגי שיתוף</w:t>
      </w:r>
      <w:r>
        <w:rPr>
          <w:rFonts w:hint="cs"/>
          <w:rtl/>
        </w:rPr>
        <w:t xml:space="preserve"> שמוכרים ב</w:t>
      </w:r>
      <w:r w:rsidRPr="009F06B6">
        <w:rPr>
          <w:rFonts w:hint="cs"/>
          <w:rtl/>
        </w:rPr>
        <w:t>דין הכללי</w:t>
      </w:r>
      <w:r>
        <w:rPr>
          <w:rFonts w:hint="cs"/>
          <w:rtl/>
        </w:rPr>
        <w:t xml:space="preserve">, על ענפיו השונים, </w:t>
      </w:r>
      <w:r w:rsidRPr="009F06B6">
        <w:rPr>
          <w:rFonts w:hint="cs"/>
          <w:rtl/>
        </w:rPr>
        <w:t>"</w:t>
      </w:r>
      <w:r w:rsidRPr="009F06B6">
        <w:rPr>
          <w:rtl/>
        </w:rPr>
        <w:t>תוך התייחסות למערכת היחסים המיוחדת של השותפות הנובעת מחיי הנישואין, כשם שבמישורי משפט אחרים מגמשת את עצמה הפרשנות המשפטית לסיטואציות המיוחדות שבהן מיושם הדין הרלוואנטי"</w:t>
      </w:r>
      <w:r w:rsidRPr="009F06B6">
        <w:rPr>
          <w:rFonts w:hint="cs"/>
          <w:rtl/>
        </w:rPr>
        <w:t xml:space="preserve"> (עניין </w:t>
      </w:r>
      <w:r w:rsidRPr="00056A96">
        <w:rPr>
          <w:rFonts w:cs="Miriam" w:hint="cs"/>
          <w:b/>
          <w:spacing w:val="0"/>
          <w:szCs w:val="24"/>
          <w:rtl/>
        </w:rPr>
        <w:t xml:space="preserve">יעקובי </w:t>
      </w:r>
      <w:proofErr w:type="spellStart"/>
      <w:r w:rsidRPr="00056A96">
        <w:rPr>
          <w:rFonts w:cs="Miriam" w:hint="cs"/>
          <w:b/>
          <w:spacing w:val="0"/>
          <w:szCs w:val="24"/>
          <w:rtl/>
        </w:rPr>
        <w:t>וקנובלר</w:t>
      </w:r>
      <w:proofErr w:type="spellEnd"/>
      <w:r w:rsidRPr="009F06B6">
        <w:rPr>
          <w:rFonts w:hint="cs"/>
          <w:rtl/>
        </w:rPr>
        <w:t>, בעמ' 621).</w:t>
      </w:r>
      <w:r w:rsidRPr="00056A96">
        <w:rPr>
          <w:rFonts w:ascii="Century" w:hAnsi="Century" w:hint="cs"/>
          <w:rtl/>
        </w:rPr>
        <w:t xml:space="preserve"> </w:t>
      </w:r>
    </w:p>
    <w:p w:rsidR="00FA3A86" w:rsidRPr="005F3AD9" w:rsidRDefault="00FA3A86" w:rsidP="00FA3A86">
      <w:pPr>
        <w:pStyle w:val="Ruller4"/>
        <w:numPr>
          <w:ilvl w:val="0"/>
          <w:numId w:val="0"/>
        </w:numPr>
        <w:rPr>
          <w:rtl/>
        </w:rPr>
      </w:pPr>
    </w:p>
    <w:p w:rsidR="00FA3A86" w:rsidRPr="005F3AD9" w:rsidRDefault="00FA3A86" w:rsidP="00FA3A86">
      <w:pPr>
        <w:pStyle w:val="Ruller4"/>
      </w:pPr>
      <w:r w:rsidRPr="005F3AD9">
        <w:rPr>
          <w:rFonts w:hint="cs"/>
          <w:rtl/>
        </w:rPr>
        <w:t xml:space="preserve">בעניין </w:t>
      </w:r>
      <w:r w:rsidRPr="005F3AD9">
        <w:rPr>
          <w:rFonts w:ascii="Century" w:hAnsi="Century" w:cs="Miriam" w:hint="cs"/>
          <w:b/>
          <w:spacing w:val="0"/>
          <w:sz w:val="22"/>
          <w:szCs w:val="24"/>
          <w:rtl/>
        </w:rPr>
        <w:t>אבו-רומי</w:t>
      </w:r>
      <w:r w:rsidRPr="005F3AD9">
        <w:rPr>
          <w:rFonts w:ascii="Century" w:hAnsi="Century" w:hint="cs"/>
          <w:sz w:val="22"/>
          <w:rtl/>
        </w:rPr>
        <w:t xml:space="preserve"> </w:t>
      </w:r>
      <w:r w:rsidRPr="005F3AD9">
        <w:rPr>
          <w:rFonts w:hint="cs"/>
          <w:rtl/>
        </w:rPr>
        <w:t>ה</w:t>
      </w:r>
      <w:r>
        <w:rPr>
          <w:rFonts w:hint="cs"/>
          <w:rtl/>
        </w:rPr>
        <w:t>ודגש,</w:t>
      </w:r>
      <w:r w:rsidRPr="005F3AD9">
        <w:rPr>
          <w:rFonts w:hint="cs"/>
          <w:rtl/>
        </w:rPr>
        <w:t xml:space="preserve"> עם זאת</w:t>
      </w:r>
      <w:r>
        <w:rPr>
          <w:rFonts w:hint="cs"/>
          <w:rtl/>
        </w:rPr>
        <w:t>,</w:t>
      </w:r>
      <w:r w:rsidRPr="005F3AD9">
        <w:rPr>
          <w:rFonts w:hint="cs"/>
          <w:rtl/>
        </w:rPr>
        <w:t xml:space="preserve"> כי לא כל מערכת זוגית כוללת </w:t>
      </w:r>
      <w:r w:rsidRPr="005F3AD9">
        <w:rPr>
          <w:rFonts w:ascii="Century" w:hAnsi="Century" w:cs="Miriam"/>
          <w:b/>
          <w:spacing w:val="0"/>
          <w:sz w:val="22"/>
          <w:szCs w:val="24"/>
          <w:rtl/>
        </w:rPr>
        <w:t>בהכרח</w:t>
      </w:r>
      <w:r w:rsidRPr="005F3AD9">
        <w:rPr>
          <w:rFonts w:hint="cs"/>
          <w:rtl/>
        </w:rPr>
        <w:t xml:space="preserve"> שיתוף בנכסים חיצוניים. וכדברי השופטת </w:t>
      </w:r>
      <w:proofErr w:type="spellStart"/>
      <w:r w:rsidRPr="005F3AD9">
        <w:rPr>
          <w:rFonts w:ascii="Century" w:hAnsi="Century" w:cs="Miriam" w:hint="cs"/>
          <w:b/>
          <w:spacing w:val="0"/>
          <w:sz w:val="22"/>
          <w:szCs w:val="24"/>
          <w:rtl/>
        </w:rPr>
        <w:t>שטרסברג</w:t>
      </w:r>
      <w:proofErr w:type="spellEnd"/>
      <w:r w:rsidRPr="005F3AD9">
        <w:rPr>
          <w:rFonts w:ascii="Century" w:hAnsi="Century" w:cs="Miriam" w:hint="cs"/>
          <w:b/>
          <w:spacing w:val="0"/>
          <w:sz w:val="22"/>
          <w:szCs w:val="24"/>
          <w:rtl/>
        </w:rPr>
        <w:t>-כהן</w:t>
      </w:r>
      <w:r w:rsidRPr="005F3AD9">
        <w:rPr>
          <w:rFonts w:hint="cs"/>
          <w:rtl/>
        </w:rPr>
        <w:t>:</w:t>
      </w:r>
    </w:p>
    <w:p w:rsidR="00FA3A86" w:rsidRPr="005F3AD9" w:rsidRDefault="00FA3A86" w:rsidP="00FA3A86">
      <w:pPr>
        <w:pStyle w:val="Ruller4"/>
        <w:numPr>
          <w:ilvl w:val="0"/>
          <w:numId w:val="0"/>
        </w:numPr>
        <w:rPr>
          <w:rtl/>
        </w:rPr>
      </w:pPr>
    </w:p>
    <w:p w:rsidR="00FA3A86" w:rsidRPr="005F3AD9" w:rsidRDefault="00FA3A86" w:rsidP="00FA3A86">
      <w:pPr>
        <w:pStyle w:val="Ruller5"/>
      </w:pPr>
      <w:r w:rsidRPr="005F3AD9">
        <w:rPr>
          <w:rFonts w:hint="cs"/>
          <w:rtl/>
        </w:rPr>
        <w:t>"</w:t>
      </w:r>
      <w:r w:rsidRPr="005F3AD9">
        <w:rPr>
          <w:rtl/>
        </w:rPr>
        <w:t>לא די בעצם קיומם של חיי נישואין משותפים, אף שהיו ממושכים, כדי לקבוע שיתוף בדירת מגורים מכוח דין כללי, שאם תאמר כן,</w:t>
      </w:r>
      <w:r w:rsidRPr="005F3AD9">
        <w:rPr>
          <w:rFonts w:hint="cs"/>
          <w:rtl/>
        </w:rPr>
        <w:t xml:space="preserve"> נ</w:t>
      </w:r>
      <w:r w:rsidRPr="005F3AD9">
        <w:rPr>
          <w:rtl/>
        </w:rPr>
        <w:t>מצאתָ</w:t>
      </w:r>
      <w:r w:rsidRPr="005F3AD9">
        <w:rPr>
          <w:rFonts w:hint="cs"/>
          <w:rtl/>
        </w:rPr>
        <w:t xml:space="preserve"> </w:t>
      </w:r>
      <w:r w:rsidRPr="005F3AD9">
        <w:rPr>
          <w:rtl/>
        </w:rPr>
        <w:t xml:space="preserve">מכניס בדלת אחורית את חזקת השיתוף, שלשיטתי איננה חלה במקביל לחוק יחסי ממון. סעיף 4 לחוק יחסי ממון קובע מפורשות, כי </w:t>
      </w:r>
      <w:r w:rsidRPr="005F3AD9">
        <w:rPr>
          <w:rFonts w:hint="cs"/>
          <w:rtl/>
        </w:rPr>
        <w:t>'</w:t>
      </w:r>
      <w:r w:rsidRPr="005F3AD9">
        <w:rPr>
          <w:rtl/>
        </w:rPr>
        <w:t xml:space="preserve">אין </w:t>
      </w:r>
      <w:r w:rsidRPr="005F3AD9">
        <w:rPr>
          <w:rFonts w:ascii="Century" w:hAnsi="Century" w:cs="Miriam"/>
          <w:b/>
          <w:szCs w:val="24"/>
          <w:rtl/>
        </w:rPr>
        <w:t>בכריתת</w:t>
      </w:r>
      <w:r w:rsidRPr="005F3AD9">
        <w:rPr>
          <w:rtl/>
        </w:rPr>
        <w:t xml:space="preserve"> הנישואין או </w:t>
      </w:r>
      <w:r w:rsidRPr="005F3AD9">
        <w:rPr>
          <w:rFonts w:ascii="Century" w:hAnsi="Century" w:cs="Miriam"/>
          <w:b/>
          <w:szCs w:val="24"/>
          <w:rtl/>
        </w:rPr>
        <w:t>בקיומם</w:t>
      </w:r>
      <w:r w:rsidRPr="005F3AD9">
        <w:rPr>
          <w:rtl/>
        </w:rPr>
        <w:t xml:space="preserve"> כשלעצמם כדי לפגוע </w:t>
      </w:r>
      <w:proofErr w:type="spellStart"/>
      <w:r w:rsidRPr="005F3AD9">
        <w:rPr>
          <w:rtl/>
        </w:rPr>
        <w:t>בקנינים</w:t>
      </w:r>
      <w:proofErr w:type="spellEnd"/>
      <w:r w:rsidRPr="005F3AD9">
        <w:rPr>
          <w:rtl/>
        </w:rPr>
        <w:t xml:space="preserve"> של בני הזוג, להקנות לאחד מהם זכויות בנכסי השני או להטיל עליו אחריות לחובות השני</w:t>
      </w:r>
      <w:r w:rsidRPr="005F3AD9">
        <w:rPr>
          <w:rFonts w:hint="cs"/>
          <w:rtl/>
        </w:rPr>
        <w:t>'</w:t>
      </w:r>
      <w:r w:rsidRPr="005F3AD9">
        <w:rPr>
          <w:rtl/>
        </w:rPr>
        <w:t xml:space="preserve"> (ההדגשות שלי - </w:t>
      </w:r>
      <w:proofErr w:type="spellStart"/>
      <w:r w:rsidRPr="005F3AD9">
        <w:rPr>
          <w:rtl/>
        </w:rPr>
        <w:t>ט.ש.כ</w:t>
      </w:r>
      <w:proofErr w:type="spellEnd"/>
      <w:r w:rsidRPr="005F3AD9">
        <w:rPr>
          <w:rtl/>
        </w:rPr>
        <w:t>.). על מנת שתוקננה זכויות בדירת מגורים הרשומה על שם בן הזוג האחד לבן הזוג השני, על האחרון להראות נסיבות עובדתיות בנוסף לעצם קיום הנישואין מהן ניתן להסיק - מכוח הדין הכללי - הקניית זכויות בדירת המגורי</w:t>
      </w:r>
      <w:r w:rsidRPr="005F3AD9">
        <w:rPr>
          <w:rFonts w:hint="cs"/>
          <w:rtl/>
        </w:rPr>
        <w:t>ם" (</w:t>
      </w:r>
      <w:r w:rsidRPr="005F3AD9">
        <w:rPr>
          <w:rFonts w:ascii="Century" w:hAnsi="Century" w:cs="Miriam" w:hint="cs"/>
          <w:b/>
          <w:spacing w:val="0"/>
          <w:szCs w:val="24"/>
          <w:rtl/>
        </w:rPr>
        <w:t>שם</w:t>
      </w:r>
      <w:r w:rsidRPr="005F3AD9">
        <w:rPr>
          <w:rFonts w:hint="cs"/>
          <w:rtl/>
        </w:rPr>
        <w:t>, בעמ' 183; ה</w:t>
      </w:r>
      <w:r>
        <w:rPr>
          <w:rFonts w:hint="cs"/>
          <w:rtl/>
        </w:rPr>
        <w:t>ה</w:t>
      </w:r>
      <w:r w:rsidRPr="005F3AD9">
        <w:rPr>
          <w:rFonts w:hint="cs"/>
          <w:rtl/>
        </w:rPr>
        <w:t>דגשות במקור).</w:t>
      </w:r>
    </w:p>
    <w:p w:rsidR="00FA3A86" w:rsidRPr="005F3AD9" w:rsidRDefault="00FA3A86" w:rsidP="00FA3A86">
      <w:pPr>
        <w:pStyle w:val="Ruller41"/>
      </w:pPr>
    </w:p>
    <w:p w:rsidR="00FA3A86" w:rsidRPr="005F3AD9" w:rsidRDefault="00FA3A86" w:rsidP="00FA3A86">
      <w:pPr>
        <w:pStyle w:val="Ruller4"/>
        <w:numPr>
          <w:ilvl w:val="0"/>
          <w:numId w:val="0"/>
        </w:numPr>
        <w:rPr>
          <w:rtl/>
        </w:rPr>
      </w:pPr>
      <w:r w:rsidRPr="005F3AD9">
        <w:rPr>
          <w:rtl/>
        </w:rPr>
        <w:tab/>
      </w:r>
      <w:r w:rsidRPr="005F3AD9">
        <w:rPr>
          <w:rFonts w:hint="cs"/>
          <w:rtl/>
        </w:rPr>
        <w:t xml:space="preserve">בהתאם לכך, הוכר בפסיקה תנאי לתחולת הלכת השיתוף הספציפי, אשר זכה לכינוי "דבר מה נוסף". דרישה זו נותנת ביטוי להבנה כי בחירתם של בני הזוג לשזור את נתיבי חייהם בדרך של נישואין אין משמעה כי הם התכוונו בהכרח לשתף את </w:t>
      </w:r>
      <w:r w:rsidRPr="005F3AD9">
        <w:rPr>
          <w:rFonts w:ascii="Century" w:hAnsi="Century" w:cs="Miriam" w:hint="cs"/>
          <w:b/>
          <w:szCs w:val="24"/>
          <w:rtl/>
        </w:rPr>
        <w:t>כל</w:t>
      </w:r>
      <w:r w:rsidRPr="005F3AD9">
        <w:rPr>
          <w:rFonts w:hint="cs"/>
          <w:rtl/>
        </w:rPr>
        <w:t xml:space="preserve"> נכסיהם זו עם זה. לשם ההכרה בשיתוף בין בני זוג בנכס חיצוני יש, אפוא, להראות כי מתקיימות נסיבות מסוימות ("דבר מה נוסף") מעבר לעצם קיומם של חיי הנישואין. </w:t>
      </w:r>
    </w:p>
    <w:p w:rsidR="00FA3A86" w:rsidRPr="005F3AD9" w:rsidRDefault="00FA3A86" w:rsidP="00FA3A86">
      <w:pPr>
        <w:pStyle w:val="Ruller4"/>
        <w:numPr>
          <w:ilvl w:val="0"/>
          <w:numId w:val="0"/>
        </w:numPr>
        <w:rPr>
          <w:rtl/>
        </w:rPr>
      </w:pPr>
    </w:p>
    <w:p w:rsidR="00FA3A86" w:rsidRDefault="00FA3A86" w:rsidP="00FA3A86">
      <w:pPr>
        <w:pStyle w:val="Ruller4"/>
        <w:rPr>
          <w:rtl/>
        </w:rPr>
      </w:pPr>
      <w:r w:rsidRPr="005F3AD9">
        <w:rPr>
          <w:rFonts w:hint="cs"/>
          <w:rtl/>
        </w:rPr>
        <w:lastRenderedPageBreak/>
        <w:t>באשר למהות הדרישה ל"דבר מה נוסף", בפסיקה הובהר כי מדובר במבחן עובדתי שתלוי בנסיבות המקרה</w:t>
      </w:r>
      <w:r w:rsidRPr="00FB5210">
        <w:rPr>
          <w:rFonts w:hint="cs"/>
          <w:rtl/>
        </w:rPr>
        <w:t xml:space="preserve"> (</w:t>
      </w:r>
      <w:r w:rsidRPr="00FB5210">
        <w:rPr>
          <w:rtl/>
        </w:rPr>
        <w:t xml:space="preserve">בע"מ 4545/09 </w:t>
      </w:r>
      <w:r w:rsidRPr="00A93CFE">
        <w:rPr>
          <w:rFonts w:cs="Miriam"/>
          <w:b/>
          <w:spacing w:val="0"/>
          <w:szCs w:val="24"/>
          <w:rtl/>
        </w:rPr>
        <w:t>פלוני נ' פלונית</w:t>
      </w:r>
      <w:r w:rsidRPr="00FB5210">
        <w:rPr>
          <w:rtl/>
        </w:rPr>
        <w:t>, פסקה 6 (</w:t>
      </w:r>
      <w:r>
        <w:rPr>
          <w:rFonts w:hint="cs"/>
          <w:rtl/>
        </w:rPr>
        <w:t>7.1.2010</w:t>
      </w:r>
      <w:r w:rsidRPr="00FB5210">
        <w:rPr>
          <w:rtl/>
        </w:rPr>
        <w:t xml:space="preserve">); </w:t>
      </w:r>
      <w:r w:rsidRPr="005F3AD9">
        <w:rPr>
          <w:rFonts w:hint="cs"/>
          <w:rtl/>
        </w:rPr>
        <w:t xml:space="preserve"> (</w:t>
      </w:r>
      <w:r w:rsidRPr="005F3AD9">
        <w:rPr>
          <w:rFonts w:hint="eastAsia"/>
          <w:rtl/>
        </w:rPr>
        <w:t>בג</w:t>
      </w:r>
      <w:r w:rsidRPr="005F3AD9">
        <w:rPr>
          <w:rFonts w:hint="cs"/>
          <w:rtl/>
        </w:rPr>
        <w:t>"</w:t>
      </w:r>
      <w:r w:rsidRPr="005F3AD9">
        <w:rPr>
          <w:rFonts w:hint="eastAsia"/>
          <w:rtl/>
        </w:rPr>
        <w:t>ץ</w:t>
      </w:r>
      <w:r w:rsidRPr="005F3AD9">
        <w:rPr>
          <w:rtl/>
        </w:rPr>
        <w:t xml:space="preserve"> 287/16</w:t>
      </w:r>
      <w:r w:rsidRPr="005F3AD9">
        <w:rPr>
          <w:rFonts w:hint="cs"/>
          <w:rtl/>
        </w:rPr>
        <w:t xml:space="preserve"> </w:t>
      </w:r>
      <w:r w:rsidRPr="005F3AD9">
        <w:rPr>
          <w:rFonts w:ascii="Century" w:hAnsi="Century" w:cs="Miriam" w:hint="eastAsia"/>
          <w:b/>
          <w:spacing w:val="0"/>
          <w:sz w:val="22"/>
          <w:szCs w:val="24"/>
          <w:rtl/>
        </w:rPr>
        <w:t>פלוני</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נ</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בית</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הדין</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הרבני</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הגדול</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בירושלים</w:t>
      </w:r>
      <w:r w:rsidRPr="005F3AD9">
        <w:rPr>
          <w:rFonts w:hint="cs"/>
          <w:rtl/>
        </w:rPr>
        <w:t>, פסקה 14 (</w:t>
      </w:r>
      <w:r w:rsidRPr="005F3AD9">
        <w:rPr>
          <w:rFonts w:ascii="FrankRuehl" w:hAnsi="FrankRuehl"/>
          <w:sz w:val="28"/>
          <w:rtl/>
        </w:rPr>
        <w:t>‏27.3.2016</w:t>
      </w:r>
      <w:r w:rsidRPr="005F3AD9">
        <w:rPr>
          <w:rFonts w:hint="cs"/>
          <w:rtl/>
        </w:rPr>
        <w:t xml:space="preserve">) (להלן: </w:t>
      </w:r>
      <w:r w:rsidRPr="005F3AD9">
        <w:rPr>
          <w:rFonts w:ascii="Century" w:hAnsi="Century" w:cs="Miriam" w:hint="eastAsia"/>
          <w:b/>
          <w:spacing w:val="0"/>
          <w:sz w:val="22"/>
          <w:szCs w:val="24"/>
          <w:rtl/>
        </w:rPr>
        <w:t>בג</w:t>
      </w:r>
      <w:r w:rsidRPr="005F3AD9">
        <w:rPr>
          <w:rFonts w:ascii="Century" w:hAnsi="Century" w:cs="Miriam"/>
          <w:b/>
          <w:spacing w:val="0"/>
          <w:sz w:val="22"/>
          <w:szCs w:val="24"/>
          <w:rtl/>
        </w:rPr>
        <w:t>"</w:t>
      </w:r>
      <w:r w:rsidRPr="005F3AD9">
        <w:rPr>
          <w:rFonts w:ascii="Century" w:hAnsi="Century" w:cs="Miriam" w:hint="eastAsia"/>
          <w:b/>
          <w:spacing w:val="0"/>
          <w:sz w:val="22"/>
          <w:szCs w:val="24"/>
          <w:rtl/>
        </w:rPr>
        <w:t>ץ</w:t>
      </w:r>
      <w:r w:rsidRPr="005F3AD9">
        <w:rPr>
          <w:rFonts w:ascii="Century" w:hAnsi="Century" w:cs="Miriam"/>
          <w:b/>
          <w:spacing w:val="0"/>
          <w:sz w:val="22"/>
          <w:szCs w:val="24"/>
          <w:rtl/>
        </w:rPr>
        <w:t xml:space="preserve"> 287/16</w:t>
      </w:r>
      <w:r w:rsidRPr="005F3AD9">
        <w:rPr>
          <w:rFonts w:hint="cs"/>
          <w:rtl/>
        </w:rPr>
        <w:t xml:space="preserve">)). </w:t>
      </w:r>
      <w:r w:rsidRPr="005F3AD9">
        <w:rPr>
          <w:rFonts w:ascii="Arial TUR" w:hAnsi="Arial TUR" w:hint="cs"/>
          <w:rtl/>
        </w:rPr>
        <w:t>לאורך השנים הועלו בפסיקה נסיבות עובדתיות שונות ש</w:t>
      </w:r>
      <w:r>
        <w:rPr>
          <w:rFonts w:ascii="Arial TUR" w:hAnsi="Arial TUR" w:hint="cs"/>
          <w:rtl/>
        </w:rPr>
        <w:t xml:space="preserve">נקבע כי יש לשקול </w:t>
      </w:r>
      <w:r w:rsidRPr="005F3AD9">
        <w:rPr>
          <w:rFonts w:ascii="Arial TUR" w:hAnsi="Arial TUR" w:hint="cs"/>
          <w:rtl/>
        </w:rPr>
        <w:t xml:space="preserve">בעת יציקת תוכן </w:t>
      </w:r>
      <w:r>
        <w:rPr>
          <w:rFonts w:ascii="Arial TUR" w:hAnsi="Arial TUR" w:hint="cs"/>
          <w:rtl/>
        </w:rPr>
        <w:t>ל</w:t>
      </w:r>
      <w:r w:rsidRPr="005F3AD9">
        <w:rPr>
          <w:rFonts w:ascii="Arial TUR" w:hAnsi="Arial TUR" w:hint="cs"/>
          <w:rtl/>
        </w:rPr>
        <w:t xml:space="preserve">דרישת ה"דבר מה הנוסף" (ראו, בין היתר: </w:t>
      </w:r>
      <w:r w:rsidRPr="005F31F7">
        <w:rPr>
          <w:rFonts w:ascii="Arial TUR" w:hAnsi="Arial TUR"/>
          <w:rtl/>
        </w:rPr>
        <w:t>ע"א 7750</w:t>
      </w:r>
      <w:r>
        <w:rPr>
          <w:rFonts w:ascii="Arial TUR" w:hAnsi="Arial TUR" w:hint="cs"/>
          <w:rtl/>
        </w:rPr>
        <w:t>/</w:t>
      </w:r>
      <w:r w:rsidRPr="005F31F7">
        <w:rPr>
          <w:rFonts w:ascii="Arial TUR" w:hAnsi="Arial TUR"/>
          <w:rtl/>
        </w:rPr>
        <w:t xml:space="preserve">10 </w:t>
      </w:r>
      <w:r w:rsidRPr="00422503">
        <w:rPr>
          <w:rFonts w:ascii="Century" w:hAnsi="Century" w:cs="Miriam"/>
          <w:b/>
          <w:spacing w:val="0"/>
          <w:sz w:val="22"/>
          <w:szCs w:val="24"/>
          <w:rtl/>
        </w:rPr>
        <w:t xml:space="preserve">בן </w:t>
      </w:r>
      <w:proofErr w:type="spellStart"/>
      <w:r w:rsidRPr="00422503">
        <w:rPr>
          <w:rFonts w:ascii="Century" w:hAnsi="Century" w:cs="Miriam"/>
          <w:b/>
          <w:spacing w:val="0"/>
          <w:sz w:val="22"/>
          <w:szCs w:val="24"/>
          <w:rtl/>
        </w:rPr>
        <w:t>גיאת</w:t>
      </w:r>
      <w:proofErr w:type="spellEnd"/>
      <w:r w:rsidRPr="00422503">
        <w:rPr>
          <w:rFonts w:ascii="Century" w:hAnsi="Century" w:cs="Miriam"/>
          <w:b/>
          <w:spacing w:val="0"/>
          <w:sz w:val="22"/>
          <w:szCs w:val="24"/>
          <w:rtl/>
        </w:rPr>
        <w:t xml:space="preserve"> נ' הכשרת היישוב ביטוח בע"מ</w:t>
      </w:r>
      <w:r>
        <w:rPr>
          <w:rFonts w:ascii="Arial TUR" w:hAnsi="Arial TUR" w:hint="cs"/>
          <w:rtl/>
        </w:rPr>
        <w:t xml:space="preserve">, פסקה 13 לחוות דעתו של השופט </w:t>
      </w:r>
      <w:r w:rsidRPr="00422503">
        <w:rPr>
          <w:rFonts w:ascii="Century" w:hAnsi="Century" w:cs="Miriam" w:hint="eastAsia"/>
          <w:b/>
          <w:spacing w:val="0"/>
          <w:sz w:val="22"/>
          <w:szCs w:val="24"/>
          <w:rtl/>
        </w:rPr>
        <w:t>עמית</w:t>
      </w:r>
      <w:r>
        <w:rPr>
          <w:rFonts w:ascii="Arial TUR" w:hAnsi="Arial TUR" w:hint="cs"/>
          <w:rtl/>
        </w:rPr>
        <w:t xml:space="preserve"> (11.8.2011) (להלן: </w:t>
      </w:r>
      <w:r w:rsidRPr="00422503">
        <w:rPr>
          <w:rFonts w:ascii="Century" w:hAnsi="Century" w:cs="Miriam" w:hint="eastAsia"/>
          <w:b/>
          <w:spacing w:val="0"/>
          <w:sz w:val="22"/>
          <w:szCs w:val="24"/>
          <w:rtl/>
        </w:rPr>
        <w:t>עניין</w:t>
      </w:r>
      <w:r w:rsidRPr="00422503">
        <w:rPr>
          <w:rFonts w:ascii="Century" w:hAnsi="Century" w:cs="Miriam"/>
          <w:b/>
          <w:spacing w:val="0"/>
          <w:sz w:val="22"/>
          <w:szCs w:val="24"/>
          <w:rtl/>
        </w:rPr>
        <w:t xml:space="preserve"> </w:t>
      </w:r>
      <w:r w:rsidRPr="005F3AD9">
        <w:rPr>
          <w:rFonts w:ascii="Century" w:hAnsi="Century" w:cs="Miriam" w:hint="eastAsia"/>
          <w:b/>
          <w:spacing w:val="0"/>
          <w:sz w:val="22"/>
          <w:szCs w:val="24"/>
          <w:rtl/>
        </w:rPr>
        <w:t>בן</w:t>
      </w:r>
      <w:r w:rsidRPr="005F3AD9">
        <w:rPr>
          <w:rFonts w:ascii="Century" w:hAnsi="Century" w:cs="Miriam"/>
          <w:b/>
          <w:spacing w:val="0"/>
          <w:sz w:val="22"/>
          <w:szCs w:val="24"/>
          <w:rtl/>
        </w:rPr>
        <w:t xml:space="preserve"> </w:t>
      </w:r>
      <w:proofErr w:type="spellStart"/>
      <w:r w:rsidRPr="005F3AD9">
        <w:rPr>
          <w:rFonts w:ascii="Century" w:hAnsi="Century" w:cs="Miriam" w:hint="eastAsia"/>
          <w:b/>
          <w:spacing w:val="0"/>
          <w:sz w:val="22"/>
          <w:szCs w:val="24"/>
          <w:rtl/>
        </w:rPr>
        <w:t>גיאת</w:t>
      </w:r>
      <w:proofErr w:type="spellEnd"/>
      <w:r>
        <w:rPr>
          <w:rFonts w:ascii="Arial TUR" w:hAnsi="Arial TUR" w:hint="cs"/>
          <w:rtl/>
        </w:rPr>
        <w:t>)</w:t>
      </w:r>
      <w:r w:rsidRPr="005F3AD9">
        <w:rPr>
          <w:rFonts w:ascii="Arial TUR" w:hAnsi="Arial TUR" w:hint="cs"/>
          <w:rtl/>
        </w:rPr>
        <w:t xml:space="preserve">; </w:t>
      </w:r>
      <w:r w:rsidRPr="005F3AD9">
        <w:rPr>
          <w:rFonts w:ascii="Arial TUR" w:hAnsi="Arial TUR" w:hint="eastAsia"/>
          <w:rtl/>
        </w:rPr>
        <w:t>בע</w:t>
      </w:r>
      <w:r w:rsidRPr="005F3AD9">
        <w:rPr>
          <w:rFonts w:ascii="Arial TUR" w:hAnsi="Arial TUR" w:hint="cs"/>
          <w:rtl/>
        </w:rPr>
        <w:t>"</w:t>
      </w:r>
      <w:r w:rsidRPr="005F3AD9">
        <w:rPr>
          <w:rFonts w:ascii="Arial TUR" w:hAnsi="Arial TUR" w:hint="eastAsia"/>
          <w:rtl/>
        </w:rPr>
        <w:t>מ</w:t>
      </w:r>
      <w:r w:rsidRPr="005F3AD9">
        <w:rPr>
          <w:rFonts w:ascii="Arial TUR" w:hAnsi="Arial TUR" w:hint="cs"/>
          <w:rtl/>
        </w:rPr>
        <w:t xml:space="preserve"> </w:t>
      </w:r>
      <w:r w:rsidRPr="005F3AD9">
        <w:rPr>
          <w:rFonts w:ascii="Arial TUR" w:hAnsi="Arial TUR"/>
          <w:rtl/>
        </w:rPr>
        <w:t>1398/11</w:t>
      </w:r>
      <w:r w:rsidRPr="005F3AD9">
        <w:rPr>
          <w:rFonts w:ascii="Arial TUR" w:hAnsi="Arial TUR" w:hint="cs"/>
          <w:rtl/>
        </w:rPr>
        <w:t xml:space="preserve"> </w:t>
      </w:r>
      <w:r w:rsidRPr="005F3AD9">
        <w:rPr>
          <w:rFonts w:ascii="Century" w:hAnsi="Century" w:cs="Miriam" w:hint="eastAsia"/>
          <w:b/>
          <w:spacing w:val="0"/>
          <w:sz w:val="22"/>
          <w:szCs w:val="24"/>
          <w:rtl/>
        </w:rPr>
        <w:t>אלמונית</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נ</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אלמוני</w:t>
      </w:r>
      <w:r>
        <w:rPr>
          <w:rFonts w:ascii="Arial TUR" w:hAnsi="Arial TUR" w:hint="cs"/>
          <w:rtl/>
        </w:rPr>
        <w:t>, פסקאות 21-17</w:t>
      </w:r>
      <w:r w:rsidRPr="005F3AD9">
        <w:rPr>
          <w:rFonts w:ascii="Arial TUR" w:hAnsi="Arial TUR" w:hint="cs"/>
          <w:rtl/>
        </w:rPr>
        <w:t xml:space="preserve"> </w:t>
      </w:r>
      <w:r>
        <w:rPr>
          <w:rFonts w:ascii="Arial TUR" w:hAnsi="Arial TUR" w:hint="cs"/>
          <w:rtl/>
        </w:rPr>
        <w:t xml:space="preserve">לחוות דעתו של השופט </w:t>
      </w:r>
      <w:r w:rsidRPr="00422503">
        <w:rPr>
          <w:rFonts w:ascii="Century" w:hAnsi="Century" w:cs="Miriam" w:hint="eastAsia"/>
          <w:b/>
          <w:spacing w:val="0"/>
          <w:sz w:val="22"/>
          <w:szCs w:val="24"/>
          <w:rtl/>
        </w:rPr>
        <w:t>י</w:t>
      </w:r>
      <w:r w:rsidRPr="00422503">
        <w:rPr>
          <w:rFonts w:ascii="Century" w:hAnsi="Century" w:cs="Miriam"/>
          <w:b/>
          <w:spacing w:val="0"/>
          <w:sz w:val="22"/>
          <w:szCs w:val="24"/>
          <w:rtl/>
        </w:rPr>
        <w:t xml:space="preserve">' </w:t>
      </w:r>
      <w:proofErr w:type="spellStart"/>
      <w:r w:rsidRPr="00422503">
        <w:rPr>
          <w:rFonts w:ascii="Century" w:hAnsi="Century" w:cs="Miriam" w:hint="eastAsia"/>
          <w:b/>
          <w:spacing w:val="0"/>
          <w:sz w:val="22"/>
          <w:szCs w:val="24"/>
          <w:rtl/>
        </w:rPr>
        <w:t>דנציגר</w:t>
      </w:r>
      <w:proofErr w:type="spellEnd"/>
      <w:r>
        <w:rPr>
          <w:rFonts w:ascii="Arial TUR" w:hAnsi="Arial TUR" w:hint="cs"/>
          <w:rtl/>
        </w:rPr>
        <w:t xml:space="preserve"> </w:t>
      </w:r>
      <w:r w:rsidRPr="005F3AD9">
        <w:rPr>
          <w:rFonts w:ascii="Arial TUR" w:hAnsi="Arial TUR" w:hint="cs"/>
          <w:rtl/>
        </w:rPr>
        <w:t>(</w:t>
      </w:r>
      <w:r w:rsidRPr="005F3AD9">
        <w:rPr>
          <w:rFonts w:ascii="FrankRuehl" w:hAnsi="FrankRuehl"/>
          <w:sz w:val="28"/>
          <w:rtl/>
        </w:rPr>
        <w:t>26.12.2012</w:t>
      </w:r>
      <w:r w:rsidRPr="005F3AD9">
        <w:rPr>
          <w:rFonts w:ascii="Arial TUR" w:hAnsi="Arial TUR" w:hint="cs"/>
          <w:rtl/>
        </w:rPr>
        <w:t xml:space="preserve">) (להלן: </w:t>
      </w:r>
      <w:r w:rsidRPr="005F3AD9">
        <w:rPr>
          <w:rFonts w:ascii="Century" w:hAnsi="Century" w:cs="Miriam" w:hint="cs"/>
          <w:b/>
          <w:spacing w:val="0"/>
          <w:sz w:val="22"/>
          <w:szCs w:val="24"/>
          <w:rtl/>
        </w:rPr>
        <w:t xml:space="preserve">עניין </w:t>
      </w:r>
      <w:r w:rsidRPr="005F3AD9">
        <w:rPr>
          <w:rFonts w:ascii="Century" w:hAnsi="Century" w:cs="Miriam" w:hint="eastAsia"/>
          <w:b/>
          <w:spacing w:val="0"/>
          <w:sz w:val="22"/>
          <w:szCs w:val="24"/>
          <w:rtl/>
        </w:rPr>
        <w:t>אלמונית</w:t>
      </w:r>
      <w:r w:rsidRPr="005F3AD9">
        <w:rPr>
          <w:rFonts w:ascii="Arial TUR" w:hAnsi="Arial TUR" w:hint="cs"/>
          <w:rtl/>
        </w:rPr>
        <w:t xml:space="preserve">); </w:t>
      </w:r>
      <w:r w:rsidRPr="005F3AD9">
        <w:rPr>
          <w:rFonts w:ascii="Arial TUR" w:hAnsi="Arial TUR" w:hint="eastAsia"/>
          <w:rtl/>
        </w:rPr>
        <w:t>בג</w:t>
      </w:r>
      <w:r w:rsidRPr="005F3AD9">
        <w:rPr>
          <w:rFonts w:ascii="Arial TUR" w:hAnsi="Arial TUR" w:hint="cs"/>
          <w:rtl/>
        </w:rPr>
        <w:t>"</w:t>
      </w:r>
      <w:r w:rsidRPr="005F3AD9">
        <w:rPr>
          <w:rFonts w:ascii="Arial TUR" w:hAnsi="Arial TUR" w:hint="eastAsia"/>
          <w:rtl/>
        </w:rPr>
        <w:t>ץ</w:t>
      </w:r>
      <w:r w:rsidRPr="005F3AD9">
        <w:rPr>
          <w:rFonts w:ascii="Arial TUR" w:hAnsi="Arial TUR"/>
          <w:rtl/>
        </w:rPr>
        <w:t xml:space="preserve"> 287/16</w:t>
      </w:r>
      <w:r>
        <w:rPr>
          <w:rFonts w:ascii="Arial TUR" w:hAnsi="Arial TUR" w:hint="cs"/>
          <w:rtl/>
        </w:rPr>
        <w:t>, פסקה 14</w:t>
      </w:r>
      <w:r w:rsidRPr="005F3AD9">
        <w:rPr>
          <w:rFonts w:ascii="Arial TUR" w:hAnsi="Arial TUR" w:hint="cs"/>
          <w:rtl/>
        </w:rPr>
        <w:t xml:space="preserve">; </w:t>
      </w:r>
      <w:r w:rsidRPr="005F3AD9">
        <w:rPr>
          <w:rFonts w:ascii="Arial TUR" w:hAnsi="Arial TUR" w:hint="eastAsia"/>
          <w:rtl/>
        </w:rPr>
        <w:t>בע</w:t>
      </w:r>
      <w:r w:rsidRPr="005F3AD9">
        <w:rPr>
          <w:rFonts w:ascii="Arial TUR" w:hAnsi="Arial TUR" w:hint="cs"/>
          <w:rtl/>
        </w:rPr>
        <w:t>"</w:t>
      </w:r>
      <w:r w:rsidRPr="005F3AD9">
        <w:rPr>
          <w:rFonts w:ascii="Arial TUR" w:hAnsi="Arial TUR" w:hint="eastAsia"/>
          <w:rtl/>
        </w:rPr>
        <w:t>מ</w:t>
      </w:r>
      <w:r w:rsidRPr="005F3AD9">
        <w:rPr>
          <w:rFonts w:ascii="Arial TUR" w:hAnsi="Arial TUR"/>
          <w:rtl/>
        </w:rPr>
        <w:t xml:space="preserve"> 1059/17</w:t>
      </w:r>
      <w:r w:rsidRPr="005F3AD9">
        <w:rPr>
          <w:rFonts w:ascii="Arial TUR" w:hAnsi="Arial TUR" w:hint="cs"/>
          <w:rtl/>
        </w:rPr>
        <w:t xml:space="preserve"> </w:t>
      </w:r>
      <w:r w:rsidRPr="005F3AD9">
        <w:rPr>
          <w:rFonts w:ascii="Century" w:hAnsi="Century" w:cs="Miriam" w:hint="eastAsia"/>
          <w:b/>
          <w:spacing w:val="0"/>
          <w:sz w:val="22"/>
          <w:szCs w:val="24"/>
          <w:rtl/>
        </w:rPr>
        <w:t>פלוני</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נ</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פלונית</w:t>
      </w:r>
      <w:r w:rsidRPr="00422503">
        <w:rPr>
          <w:rFonts w:ascii="FrankRuehl" w:hAnsi="FrankRuehl"/>
          <w:sz w:val="28"/>
          <w:rtl/>
        </w:rPr>
        <w:t xml:space="preserve">, </w:t>
      </w:r>
      <w:r>
        <w:rPr>
          <w:rFonts w:ascii="FrankRuehl" w:hAnsi="FrankRuehl" w:hint="cs"/>
          <w:sz w:val="28"/>
          <w:rtl/>
        </w:rPr>
        <w:t>פסקה ו'</w:t>
      </w:r>
      <w:r w:rsidRPr="00422503">
        <w:rPr>
          <w:rFonts w:ascii="FrankRuehl" w:hAnsi="FrankRuehl"/>
          <w:sz w:val="28"/>
          <w:rtl/>
        </w:rPr>
        <w:t xml:space="preserve"> (</w:t>
      </w:r>
      <w:r w:rsidRPr="005F3AD9">
        <w:rPr>
          <w:rFonts w:ascii="FrankRuehl" w:hAnsi="FrankRuehl"/>
          <w:sz w:val="28"/>
          <w:rtl/>
        </w:rPr>
        <w:t>‏9.2.2017</w:t>
      </w:r>
      <w:r w:rsidRPr="005F3AD9">
        <w:rPr>
          <w:rFonts w:ascii="Arial TUR" w:hAnsi="Arial TUR" w:hint="cs"/>
          <w:rtl/>
        </w:rPr>
        <w:t xml:space="preserve">) (להלן: </w:t>
      </w:r>
      <w:r w:rsidRPr="005F3AD9">
        <w:rPr>
          <w:rFonts w:ascii="Century" w:hAnsi="Century" w:cs="Miriam" w:hint="eastAsia"/>
          <w:b/>
          <w:spacing w:val="0"/>
          <w:sz w:val="22"/>
          <w:szCs w:val="24"/>
          <w:rtl/>
        </w:rPr>
        <w:t>בע</w:t>
      </w:r>
      <w:r w:rsidRPr="005F3AD9">
        <w:rPr>
          <w:rFonts w:ascii="Century" w:hAnsi="Century" w:cs="Miriam"/>
          <w:b/>
          <w:spacing w:val="0"/>
          <w:sz w:val="22"/>
          <w:szCs w:val="24"/>
          <w:rtl/>
        </w:rPr>
        <w:t>"מ 1059/17</w:t>
      </w:r>
      <w:r w:rsidRPr="005F3AD9">
        <w:rPr>
          <w:rFonts w:ascii="Arial TUR" w:hAnsi="Arial TUR" w:hint="cs"/>
          <w:rtl/>
        </w:rPr>
        <w:t xml:space="preserve">); </w:t>
      </w:r>
      <w:r w:rsidRPr="005F3AD9">
        <w:rPr>
          <w:rFonts w:ascii="Arial TUR" w:hAnsi="Arial TUR" w:hint="eastAsia"/>
          <w:rtl/>
        </w:rPr>
        <w:t>בע</w:t>
      </w:r>
      <w:r w:rsidRPr="005F3AD9">
        <w:rPr>
          <w:rFonts w:ascii="Arial TUR" w:hAnsi="Arial TUR" w:hint="cs"/>
          <w:rtl/>
        </w:rPr>
        <w:t>"מ</w:t>
      </w:r>
      <w:r w:rsidRPr="005F3AD9">
        <w:rPr>
          <w:rFonts w:ascii="Arial TUR" w:hAnsi="Arial TUR"/>
          <w:rtl/>
        </w:rPr>
        <w:t xml:space="preserve"> 10734/06</w:t>
      </w:r>
      <w:r w:rsidRPr="005F3AD9">
        <w:rPr>
          <w:rFonts w:ascii="Arial TUR" w:hAnsi="Arial TUR" w:hint="cs"/>
          <w:rtl/>
        </w:rPr>
        <w:t xml:space="preserve"> </w:t>
      </w:r>
      <w:r w:rsidRPr="005F3AD9">
        <w:rPr>
          <w:rFonts w:ascii="Century" w:hAnsi="Century" w:cs="Miriam" w:hint="eastAsia"/>
          <w:b/>
          <w:spacing w:val="0"/>
          <w:sz w:val="22"/>
          <w:szCs w:val="24"/>
          <w:rtl/>
        </w:rPr>
        <w:t>פלוני</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נ</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פלונית</w:t>
      </w:r>
      <w:r w:rsidRPr="00422503">
        <w:rPr>
          <w:rFonts w:ascii="FrankRuehl" w:hAnsi="FrankRuehl"/>
          <w:sz w:val="28"/>
          <w:rtl/>
        </w:rPr>
        <w:t xml:space="preserve">, </w:t>
      </w:r>
      <w:r w:rsidRPr="00422503">
        <w:rPr>
          <w:rFonts w:ascii="FrankRuehl" w:hAnsi="FrankRuehl" w:hint="eastAsia"/>
          <w:sz w:val="28"/>
          <w:rtl/>
        </w:rPr>
        <w:t>פסקה</w:t>
      </w:r>
      <w:r w:rsidRPr="00422503">
        <w:rPr>
          <w:rFonts w:ascii="FrankRuehl" w:hAnsi="FrankRuehl"/>
          <w:sz w:val="28"/>
          <w:rtl/>
        </w:rPr>
        <w:t xml:space="preserve"> </w:t>
      </w:r>
      <w:r w:rsidRPr="00422503">
        <w:rPr>
          <w:rFonts w:ascii="FrankRuehl" w:hAnsi="FrankRuehl" w:hint="eastAsia"/>
          <w:sz w:val="28"/>
          <w:rtl/>
        </w:rPr>
        <w:t>ה</w:t>
      </w:r>
      <w:r w:rsidRPr="00422503">
        <w:rPr>
          <w:rFonts w:ascii="FrankRuehl" w:hAnsi="FrankRuehl"/>
          <w:sz w:val="28"/>
          <w:rtl/>
        </w:rPr>
        <w:t>'</w:t>
      </w:r>
      <w:r w:rsidRPr="005F3AD9">
        <w:rPr>
          <w:rFonts w:ascii="Arial TUR" w:hAnsi="Arial TUR" w:hint="cs"/>
          <w:rtl/>
        </w:rPr>
        <w:t xml:space="preserve"> (</w:t>
      </w:r>
      <w:r w:rsidRPr="005F3AD9">
        <w:rPr>
          <w:rFonts w:ascii="FrankRuehl" w:hAnsi="FrankRuehl"/>
          <w:sz w:val="28"/>
          <w:rtl/>
        </w:rPr>
        <w:t>14.3.</w:t>
      </w:r>
      <w:r w:rsidRPr="005F3AD9">
        <w:rPr>
          <w:rFonts w:ascii="FrankRuehl" w:hAnsi="FrankRuehl" w:hint="cs"/>
          <w:sz w:val="28"/>
          <w:rtl/>
        </w:rPr>
        <w:t>20</w:t>
      </w:r>
      <w:r w:rsidRPr="005F3AD9">
        <w:rPr>
          <w:rFonts w:ascii="FrankRuehl" w:hAnsi="FrankRuehl"/>
          <w:sz w:val="28"/>
          <w:rtl/>
        </w:rPr>
        <w:t>07</w:t>
      </w:r>
      <w:r w:rsidRPr="005F3AD9">
        <w:rPr>
          <w:rFonts w:ascii="Arial TUR" w:hAnsi="Arial TUR" w:hint="cs"/>
          <w:rtl/>
        </w:rPr>
        <w:t xml:space="preserve">) (להלן: </w:t>
      </w:r>
      <w:r w:rsidRPr="005F3AD9">
        <w:rPr>
          <w:rFonts w:ascii="Century" w:hAnsi="Century" w:cs="Miriam" w:hint="eastAsia"/>
          <w:b/>
          <w:spacing w:val="0"/>
          <w:sz w:val="22"/>
          <w:szCs w:val="24"/>
          <w:rtl/>
        </w:rPr>
        <w:t>בע</w:t>
      </w:r>
      <w:r w:rsidRPr="005F3AD9">
        <w:rPr>
          <w:rFonts w:ascii="Century" w:hAnsi="Century" w:cs="Miriam"/>
          <w:b/>
          <w:spacing w:val="0"/>
          <w:sz w:val="22"/>
          <w:szCs w:val="24"/>
          <w:rtl/>
        </w:rPr>
        <w:t>"מ 10734/06</w:t>
      </w:r>
      <w:r w:rsidRPr="005F3AD9">
        <w:rPr>
          <w:rFonts w:ascii="Arial TUR" w:hAnsi="Arial TUR" w:hint="cs"/>
          <w:rtl/>
        </w:rPr>
        <w:t xml:space="preserve">); </w:t>
      </w:r>
      <w:r w:rsidRPr="005F3AD9">
        <w:rPr>
          <w:rFonts w:ascii="Arial TUR" w:hAnsi="Arial TUR" w:hint="eastAsia"/>
          <w:rtl/>
        </w:rPr>
        <w:t>בע</w:t>
      </w:r>
      <w:r w:rsidRPr="005F3AD9">
        <w:rPr>
          <w:rFonts w:ascii="Arial TUR" w:hAnsi="Arial TUR" w:hint="cs"/>
          <w:rtl/>
        </w:rPr>
        <w:t>"</w:t>
      </w:r>
      <w:r w:rsidRPr="005F3AD9">
        <w:rPr>
          <w:rFonts w:ascii="Arial TUR" w:hAnsi="Arial TUR" w:hint="eastAsia"/>
          <w:rtl/>
        </w:rPr>
        <w:t>מ</w:t>
      </w:r>
      <w:r w:rsidRPr="005F3AD9">
        <w:rPr>
          <w:rFonts w:ascii="Arial TUR" w:hAnsi="Arial TUR"/>
          <w:rtl/>
        </w:rPr>
        <w:t xml:space="preserve"> 1477/13 </w:t>
      </w:r>
      <w:r w:rsidRPr="005F3AD9">
        <w:rPr>
          <w:rFonts w:ascii="Century" w:hAnsi="Century" w:cs="Miriam" w:hint="eastAsia"/>
          <w:b/>
          <w:spacing w:val="0"/>
          <w:sz w:val="22"/>
          <w:szCs w:val="24"/>
          <w:rtl/>
        </w:rPr>
        <w:t>פלונית</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נ</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פלוני</w:t>
      </w:r>
      <w:r w:rsidRPr="00422503">
        <w:rPr>
          <w:rFonts w:ascii="FrankRuehl" w:hAnsi="FrankRuehl"/>
          <w:sz w:val="28"/>
          <w:rtl/>
        </w:rPr>
        <w:t xml:space="preserve">, </w:t>
      </w:r>
      <w:r w:rsidRPr="00422503">
        <w:rPr>
          <w:rFonts w:ascii="FrankRuehl" w:hAnsi="FrankRuehl" w:hint="eastAsia"/>
          <w:sz w:val="28"/>
          <w:rtl/>
        </w:rPr>
        <w:t>פסקה</w:t>
      </w:r>
      <w:r w:rsidRPr="00422503">
        <w:rPr>
          <w:rFonts w:ascii="FrankRuehl" w:hAnsi="FrankRuehl"/>
          <w:sz w:val="28"/>
          <w:rtl/>
        </w:rPr>
        <w:t xml:space="preserve"> 4</w:t>
      </w:r>
      <w:r w:rsidRPr="005F3AD9">
        <w:rPr>
          <w:rFonts w:ascii="Arial TUR" w:hAnsi="Arial TUR" w:hint="cs"/>
          <w:rtl/>
        </w:rPr>
        <w:t xml:space="preserve"> (</w:t>
      </w:r>
      <w:r w:rsidRPr="005F3AD9">
        <w:rPr>
          <w:rFonts w:ascii="FrankRuehl" w:hAnsi="FrankRuehl"/>
          <w:rtl/>
        </w:rPr>
        <w:t>6.8.2013</w:t>
      </w:r>
      <w:r w:rsidRPr="005F3AD9">
        <w:rPr>
          <w:rFonts w:ascii="Arial TUR" w:hAnsi="Arial TUR" w:hint="cs"/>
          <w:rtl/>
        </w:rPr>
        <w:t xml:space="preserve">); וכן ראו </w:t>
      </w:r>
      <w:r w:rsidRPr="005F3AD9">
        <w:rPr>
          <w:rFonts w:ascii="FrankRuehl" w:hAnsi="FrankRuehl"/>
          <w:rtl/>
        </w:rPr>
        <w:t xml:space="preserve">תיק </w:t>
      </w:r>
      <w:r w:rsidRPr="005F3AD9">
        <w:rPr>
          <w:rFonts w:ascii="FrankRuehl" w:hAnsi="FrankRuehl" w:hint="cs"/>
          <w:rtl/>
        </w:rPr>
        <w:t xml:space="preserve">(גדול) </w:t>
      </w:r>
      <w:r w:rsidRPr="005F3AD9">
        <w:rPr>
          <w:rFonts w:ascii="FrankRuehl" w:hAnsi="FrankRuehl"/>
          <w:rtl/>
        </w:rPr>
        <w:t>883179/2</w:t>
      </w:r>
      <w:r w:rsidRPr="005F3AD9">
        <w:rPr>
          <w:rFonts w:ascii="FrankRuehl" w:hAnsi="FrankRuehl" w:hint="cs"/>
          <w:rtl/>
        </w:rPr>
        <w:t xml:space="preserve"> </w:t>
      </w:r>
      <w:r w:rsidRPr="005F3AD9">
        <w:rPr>
          <w:rFonts w:ascii="Century" w:hAnsi="Century" w:cs="Miriam" w:hint="cs"/>
          <w:b/>
          <w:spacing w:val="0"/>
          <w:sz w:val="22"/>
          <w:szCs w:val="24"/>
          <w:rtl/>
        </w:rPr>
        <w:t>פלונית נ' פלוני</w:t>
      </w:r>
      <w:r w:rsidRPr="005F3AD9">
        <w:rPr>
          <w:rFonts w:ascii="Arial TUR" w:hAnsi="Arial TUR" w:hint="cs"/>
          <w:rtl/>
        </w:rPr>
        <w:t xml:space="preserve"> (28.11.2016); </w:t>
      </w:r>
      <w:r w:rsidRPr="005F3AD9">
        <w:rPr>
          <w:rFonts w:ascii="Arial TUR" w:hAnsi="Arial TUR" w:hint="eastAsia"/>
          <w:rtl/>
        </w:rPr>
        <w:t>תיק</w:t>
      </w:r>
      <w:r w:rsidRPr="005F3AD9">
        <w:rPr>
          <w:rFonts w:ascii="Arial TUR" w:hAnsi="Arial TUR" w:hint="cs"/>
          <w:rtl/>
        </w:rPr>
        <w:t xml:space="preserve"> (גדול) </w:t>
      </w:r>
      <w:r w:rsidRPr="005F3AD9">
        <w:rPr>
          <w:rFonts w:ascii="Arial TUR" w:hAnsi="Arial TUR"/>
          <w:rtl/>
        </w:rPr>
        <w:t>842067/5</w:t>
      </w:r>
      <w:r w:rsidRPr="005F3AD9">
        <w:rPr>
          <w:rFonts w:ascii="Century" w:hAnsi="Century"/>
          <w:rtl/>
        </w:rPr>
        <w:t xml:space="preserve"> </w:t>
      </w:r>
      <w:r w:rsidRPr="005F3AD9">
        <w:rPr>
          <w:rFonts w:ascii="Century" w:hAnsi="Century" w:cs="Miriam"/>
          <w:b/>
          <w:spacing w:val="0"/>
          <w:sz w:val="22"/>
          <w:szCs w:val="24"/>
          <w:rtl/>
        </w:rPr>
        <w:t>פלוני נ' פלונית</w:t>
      </w:r>
      <w:r w:rsidRPr="005F3AD9">
        <w:rPr>
          <w:rFonts w:ascii="Century" w:hAnsi="Century"/>
          <w:rtl/>
        </w:rPr>
        <w:t xml:space="preserve"> </w:t>
      </w:r>
      <w:r w:rsidRPr="005F3AD9">
        <w:rPr>
          <w:rFonts w:ascii="Arial TUR" w:hAnsi="Arial TUR" w:hint="cs"/>
          <w:rtl/>
        </w:rPr>
        <w:t xml:space="preserve">(29.5.2017)). </w:t>
      </w:r>
      <w:r w:rsidRPr="005F3AD9">
        <w:rPr>
          <w:rFonts w:hint="cs"/>
          <w:rtl/>
        </w:rPr>
        <w:t xml:space="preserve">לצד זאת, הודגש בפסיקה כי ביסודה של הלכת השיתוף הספציפי עומדת מידה מסוימת של "עמימות אינהרנטית" (בג"ץ 2533/11 </w:t>
      </w:r>
      <w:r w:rsidRPr="007A06B6">
        <w:rPr>
          <w:rFonts w:cs="Miriam"/>
          <w:b/>
          <w:spacing w:val="0"/>
          <w:sz w:val="22"/>
          <w:szCs w:val="24"/>
          <w:rtl/>
        </w:rPr>
        <w:t>פלונית נ' בית הדין הרבני הגדול לערעורים</w:t>
      </w:r>
      <w:r w:rsidRPr="005F3AD9">
        <w:rPr>
          <w:rFonts w:hint="cs"/>
          <w:rtl/>
        </w:rPr>
        <w:t xml:space="preserve">, פסקה ח' לפסק דינו של השופט (כתוארו אז) </w:t>
      </w:r>
      <w:r w:rsidRPr="00422503">
        <w:rPr>
          <w:rFonts w:cs="Miriam" w:hint="eastAsia"/>
          <w:b/>
          <w:spacing w:val="0"/>
          <w:sz w:val="22"/>
          <w:szCs w:val="24"/>
          <w:rtl/>
        </w:rPr>
        <w:t>א</w:t>
      </w:r>
      <w:r w:rsidRPr="00422503">
        <w:rPr>
          <w:rFonts w:cs="Miriam"/>
          <w:b/>
          <w:spacing w:val="0"/>
          <w:sz w:val="22"/>
          <w:szCs w:val="24"/>
          <w:rtl/>
        </w:rPr>
        <w:t xml:space="preserve">' </w:t>
      </w:r>
      <w:r w:rsidRPr="007A06B6">
        <w:rPr>
          <w:rFonts w:cs="Miriam" w:hint="eastAsia"/>
          <w:b/>
          <w:spacing w:val="0"/>
          <w:sz w:val="22"/>
          <w:szCs w:val="24"/>
          <w:rtl/>
        </w:rPr>
        <w:t>רובינשטיין</w:t>
      </w:r>
      <w:r w:rsidRPr="005F3AD9">
        <w:rPr>
          <w:rFonts w:hint="cs"/>
          <w:rtl/>
        </w:rPr>
        <w:t xml:space="preserve"> (</w:t>
      </w:r>
      <w:r w:rsidRPr="007A06B6">
        <w:rPr>
          <w:rFonts w:ascii="FrankRuehl" w:hAnsi="FrankRuehl"/>
          <w:rtl/>
        </w:rPr>
        <w:t>‏26.10.2011</w:t>
      </w:r>
      <w:r w:rsidRPr="005F3AD9">
        <w:rPr>
          <w:rFonts w:hint="cs"/>
          <w:rtl/>
        </w:rPr>
        <w:t>)</w:t>
      </w:r>
      <w:r>
        <w:rPr>
          <w:rFonts w:hint="cs"/>
          <w:rtl/>
        </w:rPr>
        <w:t xml:space="preserve"> (להלן: </w:t>
      </w:r>
      <w:r w:rsidRPr="00AE6FBD">
        <w:rPr>
          <w:rFonts w:cs="Miriam" w:hint="cs"/>
          <w:b/>
          <w:spacing w:val="0"/>
          <w:sz w:val="22"/>
          <w:szCs w:val="24"/>
          <w:rtl/>
        </w:rPr>
        <w:t>בג"ץ 2533/11</w:t>
      </w:r>
      <w:r>
        <w:rPr>
          <w:rFonts w:hint="cs"/>
          <w:rtl/>
        </w:rPr>
        <w:t>)</w:t>
      </w:r>
      <w:r w:rsidRPr="005F3AD9">
        <w:rPr>
          <w:rFonts w:hint="cs"/>
          <w:rtl/>
        </w:rPr>
        <w:t xml:space="preserve">), ולפיכך לא ניתן לקבוע רשימה סגורה של קריטריונים לתחולתה (בע"מ 10734/06, פסקה ה'). </w:t>
      </w:r>
    </w:p>
    <w:p w:rsidR="00FA3A86" w:rsidRDefault="00FA3A86" w:rsidP="00FA3A86">
      <w:pPr>
        <w:pStyle w:val="Ruller4"/>
        <w:numPr>
          <w:ilvl w:val="0"/>
          <w:numId w:val="0"/>
        </w:numPr>
        <w:rPr>
          <w:rtl/>
        </w:rPr>
      </w:pPr>
    </w:p>
    <w:p w:rsidR="00FA3A86" w:rsidRPr="005F3AD9" w:rsidRDefault="00FA3A86" w:rsidP="00FA3A86">
      <w:pPr>
        <w:pStyle w:val="Ruller4"/>
        <w:rPr>
          <w:rtl/>
        </w:rPr>
      </w:pPr>
      <w:r w:rsidRPr="005F3AD9">
        <w:rPr>
          <w:rFonts w:hint="cs"/>
          <w:rtl/>
        </w:rPr>
        <w:t xml:space="preserve">בהכללה, ניתן לחלק את השיקולים שנמנו בפסיקה עד כה לשתי קטגוריות עיקריות: </w:t>
      </w:r>
      <w:r w:rsidRPr="005F3AD9">
        <w:rPr>
          <w:rFonts w:cs="Miriam" w:hint="cs"/>
          <w:b/>
          <w:spacing w:val="0"/>
          <w:sz w:val="22"/>
          <w:szCs w:val="24"/>
          <w:rtl/>
        </w:rPr>
        <w:t>שיקולים הקשורים בנכס</w:t>
      </w:r>
      <w:r w:rsidRPr="005F3AD9">
        <w:rPr>
          <w:rFonts w:cs="Miriam" w:hint="cs"/>
          <w:b/>
          <w:szCs w:val="24"/>
          <w:rtl/>
        </w:rPr>
        <w:t xml:space="preserve"> </w:t>
      </w:r>
      <w:r w:rsidRPr="005F3AD9">
        <w:rPr>
          <w:rFonts w:hint="cs"/>
          <w:rtl/>
        </w:rPr>
        <w:t xml:space="preserve">שלגביו נטענת כוונת שיתוף, לצד </w:t>
      </w:r>
      <w:r w:rsidRPr="005F3AD9">
        <w:rPr>
          <w:rFonts w:cs="Miriam" w:hint="cs"/>
          <w:b/>
          <w:spacing w:val="0"/>
          <w:sz w:val="22"/>
          <w:szCs w:val="24"/>
          <w:rtl/>
        </w:rPr>
        <w:t>שיקולים הקשורים בבני הזוג</w:t>
      </w:r>
      <w:r w:rsidRPr="005F3AD9">
        <w:rPr>
          <w:rFonts w:hint="cs"/>
          <w:rtl/>
        </w:rPr>
        <w:t xml:space="preserve"> עצמם</w:t>
      </w:r>
      <w:r>
        <w:rPr>
          <w:rFonts w:hint="cs"/>
          <w:rtl/>
        </w:rPr>
        <w:t xml:space="preserve">. </w:t>
      </w:r>
      <w:r w:rsidRPr="005F3AD9">
        <w:rPr>
          <w:rFonts w:hint="cs"/>
          <w:rtl/>
        </w:rPr>
        <w:t xml:space="preserve">בין השיקולים הקשורים בנכס ניתן למנות את מקור הנכס (אם נקנה או התקבל כמתנה או כירושה, וככל שנקנה, מי מימן את הרכישה); את השאלה אם הנכס הגיע לידי בעליו לפני הנישואין או במהלכם; את השאלה אם ניתנו לבן הזוג </w:t>
      </w:r>
      <w:r>
        <w:rPr>
          <w:rFonts w:hint="cs"/>
          <w:rtl/>
        </w:rPr>
        <w:t>הטוען לשיתוף</w:t>
      </w:r>
      <w:r w:rsidRPr="005F3AD9">
        <w:rPr>
          <w:rFonts w:hint="cs"/>
          <w:rtl/>
        </w:rPr>
        <w:t xml:space="preserve"> בטוחות כגון הערת אזהרה; את התנהלותם הכספית-כלכלית של בני הזוג באשר לנכס, למשל אם לקחו משכנתא במשותף</w:t>
      </w:r>
      <w:r>
        <w:rPr>
          <w:rFonts w:hint="cs"/>
          <w:rtl/>
        </w:rPr>
        <w:t xml:space="preserve"> למימון הרכישה או הבנייה</w:t>
      </w:r>
      <w:r w:rsidRPr="005F3AD9">
        <w:rPr>
          <w:rFonts w:hint="cs"/>
          <w:rtl/>
        </w:rPr>
        <w:t>; את שאלת קיומן של השקעות כספיות בנכס מטעם בן הזוג הטוען לשיתוף; את השתתפותם של שני בני הזוג (בין בכסף ובין בעמל) בשיפוץ משמעותי שבוצע בנכס, בתכנונו או בבנייתו</w:t>
      </w:r>
      <w:r>
        <w:rPr>
          <w:rFonts w:hint="cs"/>
          <w:rtl/>
        </w:rPr>
        <w:t>; הבטחות או מצגים אקטיביים מצד בן הזוג הרשום כלפי משנהו</w:t>
      </w:r>
      <w:r w:rsidRPr="005F3AD9">
        <w:rPr>
          <w:rFonts w:hint="cs"/>
          <w:rtl/>
        </w:rPr>
        <w:t xml:space="preserve">; וככל שמדובר בבית המגורים של בני הזוג </w:t>
      </w:r>
      <w:r>
        <w:rPr>
          <w:rtl/>
        </w:rPr>
        <w:t>–</w:t>
      </w:r>
      <w:r w:rsidRPr="005F3AD9">
        <w:rPr>
          <w:rFonts w:hint="cs"/>
          <w:rtl/>
        </w:rPr>
        <w:t xml:space="preserve"> את משך הזמן שבו התגוררו בני הזוג בנכס. </w:t>
      </w:r>
      <w:r w:rsidRPr="00313834">
        <w:rPr>
          <w:rFonts w:ascii="Arial TUR" w:hAnsi="Arial TUR" w:hint="cs"/>
          <w:rtl/>
        </w:rPr>
        <w:t>במסגרת הקטגוריה השנייה, שעניינה שיקולים הקשורים בבני הזוג, התחשבה הפסיקה במשך נישואיהם של בני הזוג; באופי יחסיהם ובשאלה אם התקיימה אפילו מידה חלקית של הרמוניה, "</w:t>
      </w:r>
      <w:r w:rsidRPr="00313834">
        <w:rPr>
          <w:rFonts w:ascii="Arial TUR" w:hAnsi="Arial TUR" w:hint="eastAsia"/>
          <w:rtl/>
        </w:rPr>
        <w:t>גם</w:t>
      </w:r>
      <w:r w:rsidRPr="00313834">
        <w:rPr>
          <w:rFonts w:ascii="Arial TUR" w:hAnsi="Arial TUR"/>
          <w:rtl/>
        </w:rPr>
        <w:t xml:space="preserve"> </w:t>
      </w:r>
      <w:r w:rsidRPr="00313834">
        <w:rPr>
          <w:rFonts w:ascii="Arial TUR" w:hAnsi="Arial TUR" w:hint="eastAsia"/>
          <w:rtl/>
        </w:rPr>
        <w:t>אם</w:t>
      </w:r>
      <w:r w:rsidRPr="00313834">
        <w:rPr>
          <w:rFonts w:ascii="Arial TUR" w:hAnsi="Arial TUR"/>
          <w:rtl/>
        </w:rPr>
        <w:t xml:space="preserve"> </w:t>
      </w:r>
      <w:r w:rsidRPr="00313834">
        <w:rPr>
          <w:rFonts w:ascii="Arial TUR" w:hAnsi="Arial TUR" w:hint="eastAsia"/>
          <w:rtl/>
        </w:rPr>
        <w:t>לא</w:t>
      </w:r>
      <w:r w:rsidRPr="00313834">
        <w:rPr>
          <w:rFonts w:ascii="Arial TUR" w:hAnsi="Arial TUR"/>
          <w:rtl/>
        </w:rPr>
        <w:t xml:space="preserve"> </w:t>
      </w:r>
      <w:r w:rsidRPr="00313834">
        <w:rPr>
          <w:rFonts w:ascii="Arial TUR" w:hAnsi="Arial TUR" w:hint="eastAsia"/>
          <w:rtl/>
        </w:rPr>
        <w:t>היו</w:t>
      </w:r>
      <w:r w:rsidRPr="00313834">
        <w:rPr>
          <w:rFonts w:ascii="Arial TUR" w:hAnsi="Arial TUR"/>
          <w:rtl/>
        </w:rPr>
        <w:t xml:space="preserve"> </w:t>
      </w:r>
      <w:r w:rsidRPr="00313834">
        <w:rPr>
          <w:rFonts w:ascii="Arial TUR" w:hAnsi="Arial TUR" w:hint="eastAsia"/>
          <w:rtl/>
        </w:rPr>
        <w:t>החיים</w:t>
      </w:r>
      <w:r w:rsidRPr="00313834">
        <w:rPr>
          <w:rFonts w:ascii="Arial TUR" w:hAnsi="Arial TUR"/>
          <w:rtl/>
        </w:rPr>
        <w:t xml:space="preserve"> </w:t>
      </w:r>
      <w:r w:rsidRPr="00313834">
        <w:rPr>
          <w:rFonts w:ascii="Arial TUR" w:hAnsi="Arial TUR" w:hint="cs"/>
          <w:rtl/>
        </w:rPr>
        <w:t>'ג</w:t>
      </w:r>
      <w:r w:rsidRPr="00313834">
        <w:rPr>
          <w:rFonts w:ascii="Arial TUR" w:hAnsi="Arial TUR" w:hint="eastAsia"/>
          <w:rtl/>
        </w:rPr>
        <w:t>ן</w:t>
      </w:r>
      <w:r w:rsidRPr="00313834">
        <w:rPr>
          <w:rFonts w:ascii="Arial TUR" w:hAnsi="Arial TUR"/>
          <w:rtl/>
        </w:rPr>
        <w:t xml:space="preserve"> </w:t>
      </w:r>
      <w:r w:rsidRPr="00313834">
        <w:rPr>
          <w:rFonts w:ascii="Arial TUR" w:hAnsi="Arial TUR" w:hint="eastAsia"/>
          <w:rtl/>
        </w:rPr>
        <w:t>של</w:t>
      </w:r>
      <w:r w:rsidRPr="00313834">
        <w:rPr>
          <w:rFonts w:ascii="Arial TUR" w:hAnsi="Arial TUR"/>
          <w:rtl/>
        </w:rPr>
        <w:t xml:space="preserve"> </w:t>
      </w:r>
      <w:r w:rsidRPr="00313834">
        <w:rPr>
          <w:rFonts w:ascii="Arial TUR" w:hAnsi="Arial TUR" w:hint="eastAsia"/>
          <w:rtl/>
        </w:rPr>
        <w:t>ורדים</w:t>
      </w:r>
      <w:r w:rsidRPr="00313834">
        <w:rPr>
          <w:rFonts w:ascii="Arial TUR" w:hAnsi="Arial TUR" w:hint="cs"/>
          <w:rtl/>
        </w:rPr>
        <w:t>'</w:t>
      </w:r>
      <w:r w:rsidRPr="00313834">
        <w:rPr>
          <w:rFonts w:ascii="Arial TUR" w:hAnsi="Arial TUR"/>
          <w:rtl/>
        </w:rPr>
        <w:t>"</w:t>
      </w:r>
      <w:r w:rsidRPr="00313834">
        <w:rPr>
          <w:rFonts w:ascii="Arial TUR" w:hAnsi="Arial TUR" w:hint="cs"/>
          <w:rtl/>
        </w:rPr>
        <w:t xml:space="preserve"> (בע"מ 1059/17, פסקה ז'</w:t>
      </w:r>
      <w:r>
        <w:rPr>
          <w:rFonts w:ascii="Arial TUR" w:hAnsi="Arial TUR" w:hint="cs"/>
          <w:rtl/>
        </w:rPr>
        <w:t xml:space="preserve">; וראו גם עניין </w:t>
      </w:r>
      <w:r w:rsidRPr="00422503">
        <w:rPr>
          <w:rFonts w:cs="Miriam" w:hint="eastAsia"/>
          <w:b/>
          <w:spacing w:val="0"/>
          <w:sz w:val="22"/>
          <w:szCs w:val="24"/>
          <w:rtl/>
        </w:rPr>
        <w:t>אלמונית</w:t>
      </w:r>
      <w:r>
        <w:rPr>
          <w:rFonts w:ascii="Arial TUR" w:hAnsi="Arial TUR" w:hint="cs"/>
          <w:rtl/>
        </w:rPr>
        <w:t xml:space="preserve">, פסקה 27 לחוות דעתו של השופט </w:t>
      </w:r>
      <w:proofErr w:type="spellStart"/>
      <w:r w:rsidRPr="00422503">
        <w:rPr>
          <w:rFonts w:cs="Miriam" w:hint="eastAsia"/>
          <w:b/>
          <w:spacing w:val="0"/>
          <w:sz w:val="22"/>
          <w:szCs w:val="24"/>
          <w:rtl/>
        </w:rPr>
        <w:t>דנציגר</w:t>
      </w:r>
      <w:proofErr w:type="spellEnd"/>
      <w:r w:rsidRPr="00422503">
        <w:rPr>
          <w:rFonts w:cs="Miriam"/>
          <w:b/>
          <w:spacing w:val="0"/>
          <w:sz w:val="22"/>
          <w:szCs w:val="24"/>
          <w:rtl/>
        </w:rPr>
        <w:t xml:space="preserve"> </w:t>
      </w:r>
      <w:r>
        <w:rPr>
          <w:rFonts w:ascii="Arial TUR" w:hAnsi="Arial TUR" w:hint="cs"/>
          <w:rtl/>
        </w:rPr>
        <w:t xml:space="preserve">ופסקה 2 לחוות דעתו של השופט </w:t>
      </w:r>
      <w:r w:rsidRPr="00422503">
        <w:rPr>
          <w:rFonts w:cs="Miriam" w:hint="eastAsia"/>
          <w:b/>
          <w:spacing w:val="0"/>
          <w:sz w:val="22"/>
          <w:szCs w:val="24"/>
          <w:rtl/>
        </w:rPr>
        <w:t>צ</w:t>
      </w:r>
      <w:r w:rsidRPr="00422503">
        <w:rPr>
          <w:rFonts w:cs="Miriam"/>
          <w:b/>
          <w:spacing w:val="0"/>
          <w:sz w:val="22"/>
          <w:szCs w:val="24"/>
          <w:rtl/>
        </w:rPr>
        <w:t xml:space="preserve">' </w:t>
      </w:r>
      <w:r w:rsidRPr="00422503">
        <w:rPr>
          <w:rFonts w:cs="Miriam" w:hint="eastAsia"/>
          <w:b/>
          <w:spacing w:val="0"/>
          <w:sz w:val="22"/>
          <w:szCs w:val="24"/>
          <w:rtl/>
        </w:rPr>
        <w:t>זילברטל</w:t>
      </w:r>
      <w:r w:rsidRPr="00313834">
        <w:rPr>
          <w:rFonts w:ascii="Arial TUR" w:hAnsi="Arial TUR" w:hint="cs"/>
          <w:rtl/>
        </w:rPr>
        <w:t xml:space="preserve">); בהתנהלותם הכלכלית של בני הזוג ובשאלת קיומה של "אווירת שיתוף" ביניהם; בשאלה </w:t>
      </w:r>
      <w:r w:rsidRPr="00313834">
        <w:rPr>
          <w:rFonts w:ascii="Arial TUR" w:hAnsi="Arial TUR" w:hint="cs"/>
          <w:rtl/>
        </w:rPr>
        <w:lastRenderedPageBreak/>
        <w:t>אם לבן הזוג הטוען לשיתוף יש נכס חיצוני אחר שנותר רשום על שמו; ובשאלת קיומם של ילדים משותפים.</w:t>
      </w:r>
      <w:r w:rsidRPr="005F3AD9">
        <w:rPr>
          <w:rFonts w:hint="cs"/>
          <w:rtl/>
        </w:rPr>
        <w:t xml:space="preserve"> </w:t>
      </w:r>
      <w:r>
        <w:rPr>
          <w:rFonts w:hint="cs"/>
          <w:rtl/>
        </w:rPr>
        <w:t xml:space="preserve">עוד נקבע בפסיקה כי </w:t>
      </w:r>
      <w:r w:rsidRPr="005F3AD9">
        <w:rPr>
          <w:rFonts w:hint="cs"/>
          <w:rtl/>
        </w:rPr>
        <w:t xml:space="preserve">הנטל להוכחת כוונת שיתוף בנכס ספציפי מונח לפתחו של בן הזוג הטוען לשיתוף, וזאת מכוח הכלל "המוציא מחברו עליו הראיה" (עניין </w:t>
      </w:r>
      <w:r w:rsidRPr="00313834">
        <w:rPr>
          <w:rFonts w:ascii="Century" w:hAnsi="Century" w:cs="Miriam" w:hint="cs"/>
          <w:b/>
          <w:spacing w:val="0"/>
          <w:sz w:val="22"/>
          <w:szCs w:val="24"/>
          <w:rtl/>
        </w:rPr>
        <w:t>אלמונית</w:t>
      </w:r>
      <w:r w:rsidRPr="005F3AD9">
        <w:rPr>
          <w:rFonts w:hint="cs"/>
          <w:rtl/>
        </w:rPr>
        <w:t xml:space="preserve">, פסקה 14 לפסק דינו של השופט </w:t>
      </w:r>
      <w:r w:rsidRPr="00313834">
        <w:rPr>
          <w:rFonts w:ascii="Century" w:hAnsi="Century" w:cs="Miriam" w:hint="cs"/>
          <w:b/>
          <w:spacing w:val="0"/>
          <w:sz w:val="22"/>
          <w:szCs w:val="24"/>
          <w:rtl/>
        </w:rPr>
        <w:t xml:space="preserve">י' </w:t>
      </w:r>
      <w:proofErr w:type="spellStart"/>
      <w:r w:rsidRPr="00313834">
        <w:rPr>
          <w:rFonts w:ascii="Century" w:hAnsi="Century" w:cs="Miriam" w:hint="cs"/>
          <w:b/>
          <w:spacing w:val="0"/>
          <w:sz w:val="22"/>
          <w:szCs w:val="24"/>
          <w:rtl/>
        </w:rPr>
        <w:t>דנציגר</w:t>
      </w:r>
      <w:proofErr w:type="spellEnd"/>
      <w:r w:rsidRPr="005F3AD9">
        <w:rPr>
          <w:rFonts w:hint="cs"/>
          <w:rtl/>
        </w:rPr>
        <w:t xml:space="preserve">). </w:t>
      </w:r>
    </w:p>
    <w:p w:rsidR="00FA3A86" w:rsidRPr="005F3AD9" w:rsidRDefault="00FA3A86" w:rsidP="00FA3A86">
      <w:pPr>
        <w:pStyle w:val="Ruller41"/>
        <w:rPr>
          <w:rtl/>
        </w:rPr>
      </w:pPr>
    </w:p>
    <w:p w:rsidR="00FA3A86" w:rsidRPr="005F3AD9" w:rsidRDefault="00FA3A86" w:rsidP="00FA3A86">
      <w:pPr>
        <w:pStyle w:val="Ruller4"/>
        <w:rPr>
          <w:rtl/>
        </w:rPr>
      </w:pPr>
      <w:r w:rsidRPr="005F3AD9">
        <w:rPr>
          <w:rFonts w:hint="cs"/>
          <w:rtl/>
        </w:rPr>
        <w:t>חשיבות מיוחדת הוקנתה לאורך השנים ל</w:t>
      </w:r>
      <w:r>
        <w:rPr>
          <w:rFonts w:hint="cs"/>
          <w:rtl/>
        </w:rPr>
        <w:t xml:space="preserve">היות הנכס הספציפי </w:t>
      </w:r>
      <w:r w:rsidRPr="005F3AD9">
        <w:rPr>
          <w:rFonts w:hint="cs"/>
          <w:rtl/>
        </w:rPr>
        <w:t>בית המגורים של בני הזוג, מתוך תפישה לפיה בית המגורים אינו נכס ככל הנכסים ואין לראות בו "רכוש על דרך הסתם" (</w:t>
      </w:r>
      <w:r>
        <w:rPr>
          <w:rFonts w:hint="cs"/>
          <w:rtl/>
        </w:rPr>
        <w:t xml:space="preserve">השוו: </w:t>
      </w:r>
      <w:r w:rsidRPr="005F3AD9">
        <w:rPr>
          <w:rFonts w:hint="eastAsia"/>
          <w:rtl/>
        </w:rPr>
        <w:t>רע</w:t>
      </w:r>
      <w:r w:rsidRPr="005F3AD9">
        <w:rPr>
          <w:rFonts w:hint="cs"/>
          <w:rtl/>
        </w:rPr>
        <w:t>"</w:t>
      </w:r>
      <w:r w:rsidRPr="005F3AD9">
        <w:rPr>
          <w:rFonts w:hint="eastAsia"/>
          <w:rtl/>
        </w:rPr>
        <w:t>א</w:t>
      </w:r>
      <w:r w:rsidRPr="005F3AD9">
        <w:rPr>
          <w:rtl/>
        </w:rPr>
        <w:t xml:space="preserve"> 7112/93 </w:t>
      </w:r>
      <w:proofErr w:type="spellStart"/>
      <w:r w:rsidRPr="005F3AD9">
        <w:rPr>
          <w:rFonts w:cs="Miriam" w:hint="eastAsia"/>
          <w:b/>
          <w:spacing w:val="0"/>
          <w:szCs w:val="24"/>
          <w:rtl/>
        </w:rPr>
        <w:t>צודלר</w:t>
      </w:r>
      <w:proofErr w:type="spellEnd"/>
      <w:r w:rsidRPr="005F3AD9">
        <w:rPr>
          <w:rFonts w:cs="Miriam"/>
          <w:b/>
          <w:spacing w:val="0"/>
          <w:szCs w:val="24"/>
          <w:rtl/>
        </w:rPr>
        <w:t xml:space="preserve"> </w:t>
      </w:r>
      <w:r w:rsidRPr="005F3AD9">
        <w:rPr>
          <w:rFonts w:cs="Miriam" w:hint="eastAsia"/>
          <w:b/>
          <w:spacing w:val="0"/>
          <w:szCs w:val="24"/>
          <w:rtl/>
        </w:rPr>
        <w:t>נ</w:t>
      </w:r>
      <w:r w:rsidRPr="005F3AD9">
        <w:rPr>
          <w:rFonts w:cs="Miriam"/>
          <w:b/>
          <w:spacing w:val="0"/>
          <w:szCs w:val="24"/>
          <w:rtl/>
        </w:rPr>
        <w:t xml:space="preserve">' </w:t>
      </w:r>
      <w:r w:rsidRPr="005F3AD9">
        <w:rPr>
          <w:rFonts w:cs="Miriam" w:hint="eastAsia"/>
          <w:b/>
          <w:spacing w:val="0"/>
          <w:szCs w:val="24"/>
          <w:rtl/>
        </w:rPr>
        <w:t>יוסף</w:t>
      </w:r>
      <w:r w:rsidRPr="005F3AD9">
        <w:rPr>
          <w:rFonts w:hint="cs"/>
          <w:rtl/>
        </w:rPr>
        <w:t>, פ"ד</w:t>
      </w:r>
      <w:r w:rsidRPr="005F3AD9">
        <w:rPr>
          <w:rtl/>
        </w:rPr>
        <w:t xml:space="preserve"> </w:t>
      </w:r>
      <w:r w:rsidRPr="005F3AD9">
        <w:rPr>
          <w:rFonts w:hint="eastAsia"/>
          <w:rtl/>
        </w:rPr>
        <w:t>מח</w:t>
      </w:r>
      <w:r w:rsidRPr="005F3AD9">
        <w:rPr>
          <w:rtl/>
        </w:rPr>
        <w:t>(5) 550</w:t>
      </w:r>
      <w:r w:rsidRPr="005F3AD9">
        <w:rPr>
          <w:rFonts w:hint="cs"/>
          <w:rtl/>
        </w:rPr>
        <w:t xml:space="preserve">, </w:t>
      </w:r>
      <w:r>
        <w:rPr>
          <w:rFonts w:hint="cs"/>
          <w:rtl/>
        </w:rPr>
        <w:t xml:space="preserve">566 </w:t>
      </w:r>
      <w:r w:rsidRPr="005F3AD9">
        <w:rPr>
          <w:rFonts w:hint="cs"/>
          <w:rtl/>
        </w:rPr>
        <w:t xml:space="preserve">(1994)). מלומדים שונים סבורים כי בית המגורים הוא נכס הקשור בנימי אישיותו של בעליו, עד כדי כך שחלק מזהותו העצמית משתקף בנכס זה, שהופך לחלק </w:t>
      </w:r>
      <w:proofErr w:type="spellStart"/>
      <w:r w:rsidRPr="005F3AD9">
        <w:rPr>
          <w:rFonts w:hint="cs"/>
          <w:rtl/>
        </w:rPr>
        <w:t>מה"אני</w:t>
      </w:r>
      <w:proofErr w:type="spellEnd"/>
      <w:r w:rsidRPr="005F3AD9">
        <w:rPr>
          <w:rFonts w:hint="cs"/>
          <w:rtl/>
        </w:rPr>
        <w:t xml:space="preserve">" </w:t>
      </w:r>
      <w:r w:rsidRPr="000419D3">
        <w:rPr>
          <w:rFonts w:hint="eastAsia"/>
          <w:rtl/>
        </w:rPr>
        <w:t>שלו</w:t>
      </w:r>
      <w:r w:rsidRPr="000419D3">
        <w:rPr>
          <w:rtl/>
        </w:rPr>
        <w:t xml:space="preserve"> (</w:t>
      </w:r>
      <w:r w:rsidRPr="000419D3">
        <w:rPr>
          <w:rFonts w:hint="eastAsia"/>
          <w:rtl/>
        </w:rPr>
        <w:t>חנוך</w:t>
      </w:r>
      <w:r w:rsidRPr="000419D3">
        <w:rPr>
          <w:rtl/>
        </w:rPr>
        <w:t xml:space="preserve"> </w:t>
      </w:r>
      <w:r w:rsidRPr="000419D3">
        <w:rPr>
          <w:rFonts w:hint="eastAsia"/>
          <w:rtl/>
        </w:rPr>
        <w:t>דגן</w:t>
      </w:r>
      <w:r w:rsidRPr="000419D3">
        <w:rPr>
          <w:rFonts w:cs="Miriam"/>
          <w:b/>
          <w:spacing w:val="0"/>
          <w:szCs w:val="24"/>
          <w:rtl/>
        </w:rPr>
        <w:t xml:space="preserve"> </w:t>
      </w:r>
      <w:r w:rsidRPr="000419D3">
        <w:rPr>
          <w:rFonts w:cs="Miriam" w:hint="eastAsia"/>
          <w:b/>
          <w:spacing w:val="0"/>
          <w:szCs w:val="24"/>
          <w:rtl/>
        </w:rPr>
        <w:t>קניין</w:t>
      </w:r>
      <w:r w:rsidRPr="000419D3">
        <w:rPr>
          <w:rFonts w:cs="Miriam"/>
          <w:b/>
          <w:spacing w:val="0"/>
          <w:szCs w:val="24"/>
          <w:rtl/>
        </w:rPr>
        <w:t xml:space="preserve"> </w:t>
      </w:r>
      <w:r w:rsidRPr="000419D3">
        <w:rPr>
          <w:rFonts w:cs="Miriam" w:hint="eastAsia"/>
          <w:b/>
          <w:spacing w:val="0"/>
          <w:szCs w:val="24"/>
          <w:rtl/>
        </w:rPr>
        <w:t>על</w:t>
      </w:r>
      <w:r w:rsidRPr="000419D3">
        <w:rPr>
          <w:rFonts w:cs="Miriam"/>
          <w:b/>
          <w:spacing w:val="0"/>
          <w:szCs w:val="24"/>
          <w:rtl/>
        </w:rPr>
        <w:t xml:space="preserve"> </w:t>
      </w:r>
      <w:r w:rsidRPr="000419D3">
        <w:rPr>
          <w:rFonts w:cs="Miriam" w:hint="eastAsia"/>
          <w:b/>
          <w:spacing w:val="0"/>
          <w:szCs w:val="24"/>
          <w:rtl/>
        </w:rPr>
        <w:t>פרשת</w:t>
      </w:r>
      <w:r w:rsidRPr="000419D3">
        <w:rPr>
          <w:rFonts w:cs="Miriam"/>
          <w:b/>
          <w:spacing w:val="0"/>
          <w:szCs w:val="24"/>
          <w:rtl/>
        </w:rPr>
        <w:t xml:space="preserve"> </w:t>
      </w:r>
      <w:r w:rsidRPr="000419D3">
        <w:rPr>
          <w:rFonts w:cs="Miriam" w:hint="eastAsia"/>
          <w:b/>
          <w:spacing w:val="0"/>
          <w:szCs w:val="24"/>
          <w:rtl/>
        </w:rPr>
        <w:t>דרכים</w:t>
      </w:r>
      <w:r w:rsidRPr="000419D3">
        <w:rPr>
          <w:rtl/>
        </w:rPr>
        <w:t xml:space="preserve"> 371 (2005);</w:t>
      </w:r>
      <w:r w:rsidRPr="005F3AD9">
        <w:rPr>
          <w:rFonts w:hint="cs"/>
          <w:rtl/>
        </w:rPr>
        <w:t xml:space="preserve"> להרחבה ראו </w:t>
      </w:r>
      <w:r w:rsidRPr="005F3AD9">
        <w:rPr>
          <w:rFonts w:ascii="Times New Roman" w:hAnsi="Times New Roman" w:cs="Times New Roman"/>
          <w:szCs w:val="32"/>
        </w:rPr>
        <w:t>Margaret J</w:t>
      </w:r>
      <w:r>
        <w:rPr>
          <w:rFonts w:ascii="Times New Roman" w:hAnsi="Times New Roman" w:cs="Times New Roman"/>
          <w:szCs w:val="32"/>
        </w:rPr>
        <w:t>ane</w:t>
      </w:r>
      <w:r w:rsidRPr="005F3AD9">
        <w:rPr>
          <w:rFonts w:ascii="Times New Roman" w:hAnsi="Times New Roman" w:cs="Times New Roman"/>
          <w:szCs w:val="32"/>
        </w:rPr>
        <w:t xml:space="preserve"> </w:t>
      </w:r>
      <w:proofErr w:type="spellStart"/>
      <w:r w:rsidRPr="005F3AD9">
        <w:rPr>
          <w:rFonts w:ascii="Times New Roman" w:hAnsi="Times New Roman" w:cs="Times New Roman"/>
          <w:szCs w:val="32"/>
        </w:rPr>
        <w:t>Radin</w:t>
      </w:r>
      <w:proofErr w:type="spellEnd"/>
      <w:r w:rsidRPr="005F3AD9">
        <w:rPr>
          <w:rFonts w:ascii="Times New Roman" w:hAnsi="Times New Roman" w:cs="Times New Roman"/>
          <w:szCs w:val="32"/>
        </w:rPr>
        <w:t xml:space="preserve">, </w:t>
      </w:r>
      <w:r w:rsidRPr="005F3AD9">
        <w:rPr>
          <w:rFonts w:ascii="Times New Roman" w:hAnsi="Times New Roman" w:cs="Times New Roman"/>
          <w:i/>
          <w:iCs/>
          <w:szCs w:val="32"/>
        </w:rPr>
        <w:t>Property as Personhood</w:t>
      </w:r>
      <w:r w:rsidRPr="005F3AD9">
        <w:rPr>
          <w:rFonts w:ascii="Times New Roman" w:hAnsi="Times New Roman" w:cs="Times New Roman"/>
          <w:szCs w:val="32"/>
        </w:rPr>
        <w:t xml:space="preserve">, 34 </w:t>
      </w:r>
      <w:r w:rsidRPr="005F3AD9">
        <w:rPr>
          <w:rFonts w:ascii="Times New Roman" w:hAnsi="Times New Roman" w:cs="Times New Roman"/>
          <w:smallCaps/>
          <w:szCs w:val="32"/>
        </w:rPr>
        <w:t>Stan. L. Rev</w:t>
      </w:r>
      <w:r w:rsidRPr="005F3AD9">
        <w:rPr>
          <w:rFonts w:ascii="Times New Roman" w:hAnsi="Times New Roman" w:cs="Times New Roman"/>
          <w:szCs w:val="32"/>
        </w:rPr>
        <w:t>. 957, 99</w:t>
      </w:r>
      <w:r>
        <w:rPr>
          <w:rFonts w:ascii="Times New Roman" w:hAnsi="Times New Roman" w:cs="Times New Roman"/>
          <w:szCs w:val="32"/>
        </w:rPr>
        <w:t>1</w:t>
      </w:r>
      <w:r w:rsidRPr="005F3AD9">
        <w:rPr>
          <w:rFonts w:ascii="Times New Roman" w:hAnsi="Times New Roman" w:cs="Times New Roman"/>
          <w:szCs w:val="32"/>
        </w:rPr>
        <w:t>-993 (1982)</w:t>
      </w:r>
      <w:r w:rsidRPr="005F3AD9">
        <w:rPr>
          <w:rFonts w:hint="cs"/>
          <w:rtl/>
        </w:rPr>
        <w:t xml:space="preserve">). בהתאם, בפסיקה </w:t>
      </w:r>
      <w:r>
        <w:rPr>
          <w:rFonts w:hint="cs"/>
          <w:rtl/>
        </w:rPr>
        <w:t xml:space="preserve">הובעה העמדה </w:t>
      </w:r>
      <w:r w:rsidRPr="005F3AD9">
        <w:rPr>
          <w:rFonts w:hint="cs"/>
          <w:rtl/>
        </w:rPr>
        <w:t xml:space="preserve">כי </w:t>
      </w:r>
      <w:r w:rsidRPr="005F3AD9">
        <w:rPr>
          <w:rtl/>
        </w:rPr>
        <w:t xml:space="preserve">בית המגורים </w:t>
      </w:r>
      <w:r w:rsidRPr="005F3AD9">
        <w:rPr>
          <w:rFonts w:hint="cs"/>
          <w:rtl/>
        </w:rPr>
        <w:t xml:space="preserve">מרכזי הוא </w:t>
      </w:r>
      <w:r w:rsidRPr="005F3AD9">
        <w:rPr>
          <w:rtl/>
        </w:rPr>
        <w:t>לאישיות הפרט ולהגשמתו העצמית</w:t>
      </w:r>
      <w:r w:rsidRPr="005F3AD9">
        <w:rPr>
          <w:rFonts w:hint="cs"/>
          <w:rtl/>
        </w:rPr>
        <w:t xml:space="preserve"> (חוות דעתו של השופט (כתוארו אז) </w:t>
      </w:r>
      <w:r w:rsidRPr="005F3AD9">
        <w:rPr>
          <w:rFonts w:cs="Miriam" w:hint="eastAsia"/>
          <w:b/>
          <w:szCs w:val="24"/>
          <w:rtl/>
        </w:rPr>
        <w:t>א</w:t>
      </w:r>
      <w:r w:rsidRPr="005F3AD9">
        <w:rPr>
          <w:rFonts w:cs="Miriam"/>
          <w:b/>
          <w:szCs w:val="24"/>
          <w:rtl/>
        </w:rPr>
        <w:t xml:space="preserve">' </w:t>
      </w:r>
      <w:r w:rsidRPr="005F3AD9">
        <w:rPr>
          <w:rFonts w:cs="Miriam" w:hint="eastAsia"/>
          <w:b/>
          <w:szCs w:val="24"/>
          <w:rtl/>
        </w:rPr>
        <w:t>ריבלין</w:t>
      </w:r>
      <w:r w:rsidRPr="005F3AD9">
        <w:rPr>
          <w:rFonts w:hint="cs"/>
          <w:rtl/>
        </w:rPr>
        <w:t xml:space="preserve"> ב</w:t>
      </w:r>
      <w:r w:rsidRPr="005F3AD9">
        <w:rPr>
          <w:rtl/>
        </w:rPr>
        <w:t>בג"ץ 9098/01</w:t>
      </w:r>
      <w:r w:rsidRPr="005F3AD9">
        <w:rPr>
          <w:rFonts w:hint="cs"/>
          <w:rtl/>
        </w:rPr>
        <w:t xml:space="preserve"> </w:t>
      </w:r>
      <w:proofErr w:type="spellStart"/>
      <w:r w:rsidRPr="005F3AD9">
        <w:rPr>
          <w:rFonts w:cs="Miriam"/>
          <w:b/>
          <w:spacing w:val="0"/>
          <w:szCs w:val="24"/>
          <w:rtl/>
        </w:rPr>
        <w:t>גניס</w:t>
      </w:r>
      <w:proofErr w:type="spellEnd"/>
      <w:r w:rsidRPr="005F3AD9">
        <w:rPr>
          <w:rFonts w:cs="Miriam"/>
          <w:b/>
          <w:spacing w:val="0"/>
          <w:szCs w:val="24"/>
          <w:rtl/>
        </w:rPr>
        <w:t xml:space="preserve"> נ' משרד הבינוי והשיכון</w:t>
      </w:r>
      <w:r w:rsidRPr="005F3AD9">
        <w:rPr>
          <w:rFonts w:hint="cs"/>
          <w:rtl/>
        </w:rPr>
        <w:t xml:space="preserve">, פ"ד </w:t>
      </w:r>
      <w:r w:rsidRPr="005F3AD9">
        <w:rPr>
          <w:rFonts w:ascii="Arimo" w:hAnsi="Arimo"/>
          <w:rtl/>
        </w:rPr>
        <w:t>נט(4) 241</w:t>
      </w:r>
      <w:r w:rsidRPr="005F3AD9">
        <w:rPr>
          <w:rFonts w:hint="cs"/>
          <w:rtl/>
        </w:rPr>
        <w:t xml:space="preserve">, 290-289 (2004)); וכי </w:t>
      </w:r>
      <w:r w:rsidRPr="005F3AD9">
        <w:rPr>
          <w:rtl/>
        </w:rPr>
        <w:t>הבית הוא אחד הנכסים הח</w:t>
      </w:r>
      <w:r w:rsidRPr="005F3AD9">
        <w:rPr>
          <w:rFonts w:hint="cs"/>
          <w:rtl/>
        </w:rPr>
        <w:t>ו</w:t>
      </w:r>
      <w:r w:rsidRPr="005F3AD9">
        <w:rPr>
          <w:rtl/>
        </w:rPr>
        <w:t>מריים החשובים ביותר שיש לאדם, ואולי החשוב שבהם</w:t>
      </w:r>
      <w:r w:rsidRPr="005F3AD9">
        <w:rPr>
          <w:rFonts w:hint="cs"/>
          <w:rtl/>
        </w:rPr>
        <w:t xml:space="preserve"> (</w:t>
      </w:r>
      <w:r w:rsidRPr="005F3AD9">
        <w:rPr>
          <w:rtl/>
        </w:rPr>
        <w:t xml:space="preserve">רע"א 6339/97 </w:t>
      </w:r>
      <w:r w:rsidRPr="005F3AD9">
        <w:rPr>
          <w:rFonts w:cs="Miriam"/>
          <w:b/>
          <w:spacing w:val="0"/>
          <w:szCs w:val="24"/>
          <w:rtl/>
        </w:rPr>
        <w:t>רוקר נ' סלומון</w:t>
      </w:r>
      <w:r w:rsidRPr="005F3AD9">
        <w:rPr>
          <w:rFonts w:hint="cs"/>
          <w:rtl/>
        </w:rPr>
        <w:t xml:space="preserve">, פ"ד </w:t>
      </w:r>
      <w:proofErr w:type="spellStart"/>
      <w:r w:rsidRPr="005F3AD9">
        <w:rPr>
          <w:rFonts w:ascii="Arimo" w:hAnsi="Arimo"/>
          <w:rtl/>
        </w:rPr>
        <w:t>נה</w:t>
      </w:r>
      <w:proofErr w:type="spellEnd"/>
      <w:r w:rsidRPr="005F3AD9">
        <w:rPr>
          <w:rFonts w:ascii="Arimo" w:hAnsi="Arimo"/>
          <w:rtl/>
        </w:rPr>
        <w:t>(1) 199</w:t>
      </w:r>
      <w:r w:rsidRPr="005F3AD9">
        <w:rPr>
          <w:rFonts w:ascii="Arimo" w:hAnsi="Arimo" w:hint="cs"/>
          <w:rtl/>
        </w:rPr>
        <w:t xml:space="preserve">, </w:t>
      </w:r>
      <w:r w:rsidRPr="005F3AD9">
        <w:rPr>
          <w:rFonts w:hint="cs"/>
          <w:rtl/>
        </w:rPr>
        <w:t xml:space="preserve">245 (1999)). בכל הנוגע להקשר הייחודי של היחסים הזוגיים, היטיב להגדיר זאת הנשיא (בדימ') </w:t>
      </w:r>
      <w:r w:rsidRPr="005F3AD9">
        <w:rPr>
          <w:rFonts w:cs="Miriam" w:hint="cs"/>
          <w:b/>
          <w:spacing w:val="0"/>
          <w:szCs w:val="24"/>
          <w:rtl/>
        </w:rPr>
        <w:t>א' ברק</w:t>
      </w:r>
      <w:r w:rsidRPr="005F3AD9">
        <w:rPr>
          <w:rFonts w:hint="cs"/>
          <w:rtl/>
        </w:rPr>
        <w:t>:</w:t>
      </w:r>
    </w:p>
    <w:p w:rsidR="00FA3A86" w:rsidRPr="005F3AD9" w:rsidRDefault="00FA3A86" w:rsidP="00FA3A86">
      <w:pPr>
        <w:tabs>
          <w:tab w:val="left" w:pos="800"/>
        </w:tabs>
        <w:jc w:val="both"/>
        <w:rPr>
          <w:rFonts w:ascii="Garamond" w:hAnsi="Garamond"/>
          <w:sz w:val="24"/>
          <w:rtl/>
        </w:rPr>
      </w:pPr>
    </w:p>
    <w:p w:rsidR="00FA3A86" w:rsidRPr="002253B5" w:rsidRDefault="00FA3A86" w:rsidP="00FA3A86">
      <w:pPr>
        <w:ind w:left="1644" w:right="1276"/>
        <w:jc w:val="both"/>
        <w:rPr>
          <w:rFonts w:ascii="Garamond" w:hAnsi="Garamond" w:cs="FrankRuehl"/>
          <w:spacing w:val="10"/>
          <w:sz w:val="24"/>
          <w:szCs w:val="28"/>
          <w:rtl/>
        </w:rPr>
      </w:pPr>
      <w:r w:rsidRPr="002253B5">
        <w:rPr>
          <w:rFonts w:ascii="Garamond" w:hAnsi="Garamond" w:cs="FrankRuehl" w:hint="cs"/>
          <w:spacing w:val="10"/>
          <w:sz w:val="24"/>
          <w:szCs w:val="28"/>
          <w:rtl/>
        </w:rPr>
        <w:t>"</w:t>
      </w:r>
      <w:r w:rsidRPr="002253B5">
        <w:rPr>
          <w:rFonts w:ascii="Garamond" w:hAnsi="Garamond" w:cs="FrankRuehl"/>
          <w:spacing w:val="10"/>
          <w:sz w:val="24"/>
          <w:szCs w:val="28"/>
          <w:rtl/>
        </w:rPr>
        <w:t>דירת המגורים המשותפת של בני הזוג מחייבת התייחסות שונה מזו של כלל הזכויות והחובות של בני הזוג. לדירת המגורים שמור בדין מעמד מיוחד. דירת המגורים היא נכס הקשור באופן ישיר לנישואיהם של בני הזוג. הזכויות בו משפיעות באופן הדוק על רווחת המשפחה כולה</w:t>
      </w:r>
      <w:r>
        <w:rPr>
          <w:rFonts w:ascii="Garamond" w:hAnsi="Garamond" w:cs="FrankRuehl" w:hint="cs"/>
          <w:spacing w:val="10"/>
          <w:sz w:val="24"/>
          <w:szCs w:val="28"/>
          <w:rtl/>
        </w:rPr>
        <w:t xml:space="preserve"> </w:t>
      </w:r>
      <w:r>
        <w:rPr>
          <w:rFonts w:ascii="Garamond" w:hAnsi="Garamond" w:cs="FrankRuehl"/>
          <w:spacing w:val="10"/>
          <w:sz w:val="24"/>
          <w:szCs w:val="28"/>
          <w:rtl/>
        </w:rPr>
        <w:t>–</w:t>
      </w:r>
      <w:r w:rsidRPr="002253B5">
        <w:rPr>
          <w:rFonts w:ascii="Garamond" w:hAnsi="Garamond" w:cs="FrankRuehl"/>
          <w:spacing w:val="10"/>
          <w:sz w:val="24"/>
          <w:szCs w:val="28"/>
          <w:rtl/>
        </w:rPr>
        <w:t xml:space="preserve"> בני הזוג כמו גם ילדיהם. דירת המגורים המשפחתית היא, על</w:t>
      </w:r>
      <w:r>
        <w:rPr>
          <w:rFonts w:ascii="Garamond" w:hAnsi="Garamond" w:cs="FrankRuehl" w:hint="cs"/>
          <w:spacing w:val="10"/>
          <w:sz w:val="24"/>
          <w:szCs w:val="28"/>
          <w:rtl/>
        </w:rPr>
        <w:t xml:space="preserve"> </w:t>
      </w:r>
      <w:r w:rsidRPr="002253B5">
        <w:rPr>
          <w:rFonts w:ascii="Garamond" w:hAnsi="Garamond" w:cs="FrankRuehl"/>
          <w:spacing w:val="10"/>
          <w:sz w:val="24"/>
          <w:szCs w:val="28"/>
          <w:rtl/>
        </w:rPr>
        <w:t>פי</w:t>
      </w:r>
      <w:r>
        <w:rPr>
          <w:rFonts w:ascii="Garamond" w:hAnsi="Garamond" w:cs="FrankRuehl" w:hint="cs"/>
          <w:spacing w:val="10"/>
          <w:sz w:val="24"/>
          <w:szCs w:val="28"/>
          <w:rtl/>
        </w:rPr>
        <w:t xml:space="preserve"> </w:t>
      </w:r>
      <w:r w:rsidRPr="002253B5">
        <w:rPr>
          <w:rFonts w:ascii="Garamond" w:hAnsi="Garamond" w:cs="FrankRuehl"/>
          <w:spacing w:val="10"/>
          <w:sz w:val="24"/>
          <w:szCs w:val="28"/>
          <w:rtl/>
        </w:rPr>
        <w:t xml:space="preserve">רוב, חלק </w:t>
      </w:r>
      <w:r>
        <w:rPr>
          <w:rFonts w:ascii="Garamond" w:hAnsi="Garamond" w:cs="FrankRuehl" w:hint="cs"/>
          <w:spacing w:val="10"/>
          <w:sz w:val="24"/>
          <w:szCs w:val="28"/>
          <w:rtl/>
        </w:rPr>
        <w:t xml:space="preserve">רציני </w:t>
      </w:r>
      <w:r w:rsidRPr="002253B5">
        <w:rPr>
          <w:rFonts w:ascii="Garamond" w:hAnsi="Garamond" w:cs="FrankRuehl"/>
          <w:spacing w:val="10"/>
          <w:sz w:val="24"/>
          <w:szCs w:val="28"/>
          <w:rtl/>
        </w:rPr>
        <w:t xml:space="preserve">מרכושם של בני הזוג. היא המקום </w:t>
      </w:r>
      <w:r>
        <w:rPr>
          <w:rFonts w:ascii="Garamond" w:hAnsi="Garamond" w:cs="FrankRuehl" w:hint="cs"/>
          <w:spacing w:val="10"/>
          <w:sz w:val="24"/>
          <w:szCs w:val="28"/>
          <w:rtl/>
        </w:rPr>
        <w:t>ש</w:t>
      </w:r>
      <w:r w:rsidRPr="002253B5">
        <w:rPr>
          <w:rFonts w:ascii="Garamond" w:hAnsi="Garamond" w:cs="FrankRuehl"/>
          <w:spacing w:val="10"/>
          <w:sz w:val="24"/>
          <w:szCs w:val="28"/>
          <w:rtl/>
        </w:rPr>
        <w:t xml:space="preserve">בו מתממשים חיי הנישואין. היא תעמוד בלב סכסוך גירושין אם יפרוץ. אכן </w:t>
      </w:r>
      <w:r w:rsidRPr="002253B5">
        <w:rPr>
          <w:rFonts w:ascii="Garamond" w:hAnsi="Garamond" w:cs="FrankRuehl" w:hint="cs"/>
          <w:spacing w:val="10"/>
          <w:sz w:val="24"/>
          <w:szCs w:val="28"/>
          <w:rtl/>
        </w:rPr>
        <w:t>'</w:t>
      </w:r>
      <w:r w:rsidRPr="002253B5">
        <w:rPr>
          <w:rFonts w:ascii="Garamond" w:hAnsi="Garamond" w:cs="FrankRuehl"/>
          <w:spacing w:val="10"/>
          <w:sz w:val="24"/>
          <w:szCs w:val="28"/>
          <w:rtl/>
        </w:rPr>
        <w:t>דירת המגורים היא נכס משפחתי מובהק, לעתים הנכס המשמעותי ביותר של בני הזוג ולעתים אף היחידי</w:t>
      </w:r>
      <w:r w:rsidRPr="002253B5">
        <w:rPr>
          <w:rFonts w:ascii="Garamond" w:hAnsi="Garamond" w:cs="FrankRuehl" w:hint="cs"/>
          <w:spacing w:val="10"/>
          <w:sz w:val="24"/>
          <w:szCs w:val="28"/>
          <w:rtl/>
        </w:rPr>
        <w:t>'</w:t>
      </w:r>
      <w:r w:rsidRPr="002253B5">
        <w:rPr>
          <w:rFonts w:ascii="Garamond" w:hAnsi="Garamond" w:cs="FrankRuehl"/>
          <w:spacing w:val="10"/>
          <w:sz w:val="24"/>
          <w:szCs w:val="28"/>
          <w:rtl/>
        </w:rPr>
        <w:t xml:space="preserve"> (השופטת ט' </w:t>
      </w:r>
      <w:proofErr w:type="spellStart"/>
      <w:r w:rsidRPr="002253B5">
        <w:rPr>
          <w:rFonts w:ascii="Garamond" w:hAnsi="Garamond" w:cs="FrankRuehl"/>
          <w:spacing w:val="10"/>
          <w:sz w:val="24"/>
          <w:szCs w:val="28"/>
          <w:rtl/>
        </w:rPr>
        <w:t>שטרסברג</w:t>
      </w:r>
      <w:proofErr w:type="spellEnd"/>
      <w:r w:rsidRPr="002253B5">
        <w:rPr>
          <w:rFonts w:ascii="Garamond" w:hAnsi="Garamond" w:cs="FrankRuehl"/>
          <w:spacing w:val="10"/>
          <w:sz w:val="24"/>
          <w:szCs w:val="28"/>
          <w:rtl/>
        </w:rPr>
        <w:t xml:space="preserve">-כהן </w:t>
      </w:r>
      <w:proofErr w:type="spellStart"/>
      <w:r w:rsidRPr="002253B5">
        <w:rPr>
          <w:rFonts w:ascii="Garamond" w:hAnsi="Garamond" w:cs="FrankRuehl"/>
          <w:spacing w:val="10"/>
          <w:sz w:val="24"/>
          <w:szCs w:val="28"/>
          <w:rtl/>
        </w:rPr>
        <w:t>ב</w:t>
      </w:r>
      <w:r w:rsidRPr="002253B5">
        <w:rPr>
          <w:rFonts w:ascii="Garamond" w:hAnsi="Garamond" w:cs="FrankRuehl" w:hint="cs"/>
          <w:spacing w:val="10"/>
          <w:sz w:val="24"/>
          <w:szCs w:val="28"/>
          <w:rtl/>
        </w:rPr>
        <w:t>רע"א</w:t>
      </w:r>
      <w:proofErr w:type="spellEnd"/>
      <w:r w:rsidRPr="002253B5">
        <w:rPr>
          <w:rFonts w:ascii="Garamond" w:hAnsi="Garamond" w:cs="FrankRuehl"/>
          <w:spacing w:val="10"/>
          <w:sz w:val="24"/>
          <w:szCs w:val="28"/>
          <w:rtl/>
        </w:rPr>
        <w:t xml:space="preserve"> 8672/00 </w:t>
      </w:r>
      <w:r w:rsidRPr="002253B5">
        <w:rPr>
          <w:rFonts w:ascii="Garamond" w:hAnsi="Garamond" w:cs="Miriam" w:hint="eastAsia"/>
          <w:spacing w:val="10"/>
          <w:sz w:val="22"/>
          <w:rtl/>
        </w:rPr>
        <w:t>אבו</w:t>
      </w:r>
      <w:r w:rsidRPr="002253B5">
        <w:rPr>
          <w:rFonts w:ascii="Garamond" w:hAnsi="Garamond" w:cs="Miriam"/>
          <w:spacing w:val="10"/>
          <w:sz w:val="22"/>
          <w:rtl/>
        </w:rPr>
        <w:t xml:space="preserve"> </w:t>
      </w:r>
      <w:r w:rsidRPr="002253B5">
        <w:rPr>
          <w:rFonts w:ascii="Garamond" w:hAnsi="Garamond" w:cs="Miriam" w:hint="eastAsia"/>
          <w:spacing w:val="10"/>
          <w:sz w:val="22"/>
          <w:rtl/>
        </w:rPr>
        <w:t>רומי</w:t>
      </w:r>
      <w:r w:rsidRPr="002253B5">
        <w:rPr>
          <w:rFonts w:ascii="Garamond" w:hAnsi="Garamond" w:cs="Miriam"/>
          <w:spacing w:val="10"/>
          <w:sz w:val="22"/>
          <w:rtl/>
        </w:rPr>
        <w:t xml:space="preserve"> </w:t>
      </w:r>
      <w:r w:rsidRPr="002253B5">
        <w:rPr>
          <w:rFonts w:ascii="Garamond" w:hAnsi="Garamond" w:cs="Miriam" w:hint="eastAsia"/>
          <w:spacing w:val="10"/>
          <w:sz w:val="22"/>
          <w:rtl/>
        </w:rPr>
        <w:t>נ</w:t>
      </w:r>
      <w:r w:rsidRPr="002253B5">
        <w:rPr>
          <w:rFonts w:ascii="Garamond" w:hAnsi="Garamond" w:cs="Miriam" w:hint="cs"/>
          <w:spacing w:val="10"/>
          <w:sz w:val="22"/>
          <w:rtl/>
        </w:rPr>
        <w:t>'</w:t>
      </w:r>
      <w:r w:rsidRPr="002253B5">
        <w:rPr>
          <w:rFonts w:ascii="Garamond" w:hAnsi="Garamond" w:cs="Miriam"/>
          <w:spacing w:val="10"/>
          <w:sz w:val="22"/>
          <w:rtl/>
        </w:rPr>
        <w:t xml:space="preserve"> </w:t>
      </w:r>
      <w:r w:rsidRPr="002253B5">
        <w:rPr>
          <w:rFonts w:ascii="Garamond" w:hAnsi="Garamond" w:cs="Miriam" w:hint="eastAsia"/>
          <w:spacing w:val="10"/>
          <w:sz w:val="22"/>
          <w:rtl/>
        </w:rPr>
        <w:t>אבו</w:t>
      </w:r>
      <w:r w:rsidRPr="002253B5">
        <w:rPr>
          <w:rFonts w:ascii="Garamond" w:hAnsi="Garamond" w:cs="Miriam"/>
          <w:spacing w:val="10"/>
          <w:sz w:val="22"/>
          <w:rtl/>
        </w:rPr>
        <w:t xml:space="preserve"> </w:t>
      </w:r>
      <w:r w:rsidRPr="002253B5">
        <w:rPr>
          <w:rFonts w:ascii="Garamond" w:hAnsi="Garamond" w:cs="Miriam" w:hint="eastAsia"/>
          <w:spacing w:val="10"/>
          <w:sz w:val="22"/>
          <w:rtl/>
        </w:rPr>
        <w:t>רומי</w:t>
      </w:r>
      <w:r w:rsidRPr="002253B5">
        <w:rPr>
          <w:rFonts w:ascii="Garamond" w:hAnsi="Garamond" w:cs="Miriam" w:hint="cs"/>
          <w:spacing w:val="10"/>
          <w:sz w:val="22"/>
          <w:rtl/>
        </w:rPr>
        <w:t>;</w:t>
      </w:r>
      <w:r w:rsidRPr="002253B5">
        <w:rPr>
          <w:rFonts w:ascii="Garamond" w:hAnsi="Garamond" w:cs="FrankRuehl" w:hint="cs"/>
          <w:spacing w:val="10"/>
          <w:sz w:val="24"/>
          <w:szCs w:val="28"/>
          <w:rtl/>
        </w:rPr>
        <w:t xml:space="preserve"> [...]). </w:t>
      </w:r>
      <w:r w:rsidRPr="002253B5">
        <w:rPr>
          <w:rFonts w:ascii="Garamond" w:hAnsi="Garamond" w:cs="FrankRuehl"/>
          <w:spacing w:val="10"/>
          <w:sz w:val="24"/>
          <w:szCs w:val="28"/>
          <w:rtl/>
        </w:rPr>
        <w:t xml:space="preserve">דירת המגורים </w:t>
      </w:r>
      <w:r w:rsidRPr="002253B5">
        <w:rPr>
          <w:rFonts w:ascii="Garamond" w:hAnsi="Garamond" w:cs="FrankRuehl" w:hint="cs"/>
          <w:spacing w:val="10"/>
          <w:sz w:val="24"/>
          <w:szCs w:val="28"/>
          <w:rtl/>
        </w:rPr>
        <w:t>היא</w:t>
      </w:r>
      <w:r w:rsidRPr="002253B5">
        <w:rPr>
          <w:rFonts w:ascii="Garamond" w:hAnsi="Garamond" w:cs="FrankRuehl"/>
          <w:spacing w:val="10"/>
          <w:sz w:val="24"/>
          <w:szCs w:val="28"/>
          <w:rtl/>
        </w:rPr>
        <w:t xml:space="preserve">, בדרך כלל, מבטחו </w:t>
      </w:r>
      <w:proofErr w:type="spellStart"/>
      <w:r w:rsidRPr="002253B5">
        <w:rPr>
          <w:rFonts w:ascii="Garamond" w:hAnsi="Garamond" w:cs="FrankRuehl"/>
          <w:spacing w:val="10"/>
          <w:sz w:val="24"/>
          <w:szCs w:val="28"/>
          <w:rtl/>
        </w:rPr>
        <w:t>הרכושי</w:t>
      </w:r>
      <w:proofErr w:type="spellEnd"/>
      <w:r w:rsidRPr="002253B5">
        <w:rPr>
          <w:rFonts w:ascii="Garamond" w:hAnsi="Garamond" w:cs="FrankRuehl"/>
          <w:spacing w:val="10"/>
          <w:sz w:val="24"/>
          <w:szCs w:val="28"/>
          <w:rtl/>
        </w:rPr>
        <w:t xml:space="preserve"> העיקרי של הצד החלש</w:t>
      </w:r>
      <w:r w:rsidRPr="002253B5">
        <w:rPr>
          <w:rFonts w:ascii="Garamond" w:hAnsi="Garamond" w:cs="FrankRuehl" w:hint="cs"/>
          <w:spacing w:val="10"/>
          <w:sz w:val="24"/>
          <w:szCs w:val="28"/>
          <w:rtl/>
        </w:rPr>
        <w:t xml:space="preserve"> [...]" (</w:t>
      </w:r>
      <w:r w:rsidRPr="00521E8B">
        <w:rPr>
          <w:rFonts w:ascii="Garamond" w:hAnsi="Garamond" w:cs="FrankRuehl"/>
          <w:spacing w:val="10"/>
          <w:sz w:val="24"/>
          <w:szCs w:val="28"/>
          <w:rtl/>
        </w:rPr>
        <w:t>רע"א 8791</w:t>
      </w:r>
      <w:r>
        <w:rPr>
          <w:rFonts w:ascii="Garamond" w:hAnsi="Garamond" w:cs="FrankRuehl" w:hint="cs"/>
          <w:spacing w:val="10"/>
          <w:sz w:val="24"/>
          <w:szCs w:val="28"/>
          <w:rtl/>
        </w:rPr>
        <w:t>/</w:t>
      </w:r>
      <w:r w:rsidRPr="00521E8B">
        <w:rPr>
          <w:rFonts w:ascii="Garamond" w:hAnsi="Garamond" w:cs="FrankRuehl"/>
          <w:spacing w:val="10"/>
          <w:sz w:val="24"/>
          <w:szCs w:val="28"/>
          <w:rtl/>
        </w:rPr>
        <w:t xml:space="preserve">00 </w:t>
      </w:r>
      <w:r w:rsidRPr="00422503">
        <w:rPr>
          <w:rFonts w:ascii="Garamond" w:hAnsi="Garamond" w:cs="Miriam" w:hint="eastAsia"/>
          <w:spacing w:val="10"/>
          <w:sz w:val="22"/>
          <w:rtl/>
        </w:rPr>
        <w:t>שלם</w:t>
      </w:r>
      <w:r w:rsidRPr="00422503">
        <w:rPr>
          <w:rFonts w:ascii="Garamond" w:hAnsi="Garamond" w:cs="Miriam"/>
          <w:spacing w:val="10"/>
          <w:sz w:val="22"/>
          <w:rtl/>
        </w:rPr>
        <w:t xml:space="preserve"> </w:t>
      </w:r>
      <w:r w:rsidRPr="00422503">
        <w:rPr>
          <w:rFonts w:ascii="Garamond" w:hAnsi="Garamond" w:cs="Miriam" w:hint="eastAsia"/>
          <w:spacing w:val="10"/>
          <w:sz w:val="22"/>
          <w:rtl/>
        </w:rPr>
        <w:t>נ</w:t>
      </w:r>
      <w:r w:rsidRPr="00422503">
        <w:rPr>
          <w:rFonts w:ascii="Garamond" w:hAnsi="Garamond" w:cs="Miriam"/>
          <w:spacing w:val="10"/>
          <w:sz w:val="22"/>
          <w:rtl/>
        </w:rPr>
        <w:t xml:space="preserve">' </w:t>
      </w:r>
      <w:proofErr w:type="spellStart"/>
      <w:r w:rsidRPr="00422503">
        <w:rPr>
          <w:rFonts w:ascii="Garamond" w:hAnsi="Garamond" w:cs="Miriam" w:hint="eastAsia"/>
          <w:spacing w:val="10"/>
          <w:sz w:val="22"/>
          <w:rtl/>
        </w:rPr>
        <w:t>טווינקו</w:t>
      </w:r>
      <w:proofErr w:type="spellEnd"/>
      <w:r w:rsidRPr="00422503">
        <w:rPr>
          <w:rFonts w:ascii="Garamond" w:hAnsi="Garamond" w:cs="Miriam"/>
          <w:spacing w:val="10"/>
          <w:sz w:val="22"/>
          <w:rtl/>
        </w:rPr>
        <w:t xml:space="preserve"> </w:t>
      </w:r>
      <w:r w:rsidRPr="00422503">
        <w:rPr>
          <w:rFonts w:ascii="Garamond" w:hAnsi="Garamond" w:cs="Miriam" w:hint="eastAsia"/>
          <w:spacing w:val="10"/>
          <w:sz w:val="22"/>
          <w:rtl/>
        </w:rPr>
        <w:t>בע</w:t>
      </w:r>
      <w:r w:rsidRPr="00422503">
        <w:rPr>
          <w:rFonts w:ascii="Garamond" w:hAnsi="Garamond" w:cs="Miriam"/>
          <w:spacing w:val="10"/>
          <w:sz w:val="22"/>
          <w:rtl/>
        </w:rPr>
        <w:t>"</w:t>
      </w:r>
      <w:r w:rsidRPr="00422503">
        <w:rPr>
          <w:rFonts w:ascii="Garamond" w:hAnsi="Garamond" w:cs="Miriam" w:hint="eastAsia"/>
          <w:spacing w:val="10"/>
          <w:sz w:val="22"/>
          <w:rtl/>
        </w:rPr>
        <w:t>מ</w:t>
      </w:r>
      <w:r w:rsidRPr="00521E8B">
        <w:rPr>
          <w:rFonts w:ascii="Garamond" w:hAnsi="Garamond" w:cs="FrankRuehl"/>
          <w:spacing w:val="10"/>
          <w:sz w:val="24"/>
          <w:szCs w:val="28"/>
          <w:rtl/>
        </w:rPr>
        <w:t xml:space="preserve">, </w:t>
      </w:r>
      <w:r>
        <w:rPr>
          <w:rFonts w:ascii="Garamond" w:hAnsi="Garamond" w:cs="FrankRuehl" w:hint="cs"/>
          <w:spacing w:val="10"/>
          <w:sz w:val="24"/>
          <w:szCs w:val="28"/>
          <w:rtl/>
        </w:rPr>
        <w:t xml:space="preserve">פ"ד </w:t>
      </w:r>
      <w:r w:rsidRPr="00521E8B">
        <w:rPr>
          <w:rFonts w:ascii="Garamond" w:hAnsi="Garamond" w:cs="FrankRuehl"/>
          <w:spacing w:val="10"/>
          <w:sz w:val="24"/>
          <w:szCs w:val="28"/>
          <w:rtl/>
        </w:rPr>
        <w:t>סב(1) 165</w:t>
      </w:r>
      <w:r>
        <w:rPr>
          <w:rFonts w:ascii="Garamond" w:hAnsi="Garamond" w:cs="FrankRuehl" w:hint="cs"/>
          <w:spacing w:val="10"/>
          <w:sz w:val="24"/>
          <w:szCs w:val="28"/>
          <w:rtl/>
        </w:rPr>
        <w:t>,</w:t>
      </w:r>
      <w:r w:rsidRPr="002253B5">
        <w:rPr>
          <w:rFonts w:ascii="Garamond" w:hAnsi="Garamond" w:cs="FrankRuehl" w:hint="cs"/>
          <w:spacing w:val="10"/>
          <w:sz w:val="24"/>
          <w:szCs w:val="28"/>
          <w:rtl/>
        </w:rPr>
        <w:t xml:space="preserve"> 195</w:t>
      </w:r>
      <w:r>
        <w:rPr>
          <w:rFonts w:ascii="Garamond" w:hAnsi="Garamond" w:cs="FrankRuehl" w:hint="cs"/>
          <w:spacing w:val="10"/>
          <w:sz w:val="24"/>
          <w:szCs w:val="28"/>
          <w:rtl/>
        </w:rPr>
        <w:t xml:space="preserve"> (2006)</w:t>
      </w:r>
      <w:r w:rsidRPr="002253B5">
        <w:rPr>
          <w:rFonts w:ascii="Garamond" w:hAnsi="Garamond" w:cs="FrankRuehl" w:hint="cs"/>
          <w:spacing w:val="10"/>
          <w:sz w:val="24"/>
          <w:szCs w:val="28"/>
          <w:rtl/>
        </w:rPr>
        <w:t>).</w:t>
      </w:r>
    </w:p>
    <w:p w:rsidR="00FA3A86" w:rsidRPr="002253B5" w:rsidRDefault="00FA3A86" w:rsidP="00FA3A86">
      <w:pPr>
        <w:tabs>
          <w:tab w:val="left" w:pos="800"/>
        </w:tabs>
        <w:jc w:val="both"/>
        <w:rPr>
          <w:rFonts w:ascii="Garamond" w:hAnsi="Garamond" w:cs="FrankRuehl"/>
          <w:spacing w:val="10"/>
          <w:sz w:val="24"/>
          <w:szCs w:val="28"/>
          <w:rtl/>
        </w:rPr>
      </w:pPr>
    </w:p>
    <w:p w:rsidR="00FA3A86" w:rsidRPr="002253B5" w:rsidRDefault="00FA3A86" w:rsidP="00FA3A86">
      <w:pPr>
        <w:tabs>
          <w:tab w:val="left" w:pos="800"/>
        </w:tabs>
        <w:spacing w:line="360" w:lineRule="auto"/>
        <w:jc w:val="both"/>
        <w:rPr>
          <w:rFonts w:ascii="Garamond" w:hAnsi="Garamond" w:cs="FrankRuehl"/>
          <w:spacing w:val="10"/>
          <w:sz w:val="24"/>
          <w:szCs w:val="28"/>
          <w:rtl/>
        </w:rPr>
      </w:pPr>
      <w:r w:rsidRPr="002253B5">
        <w:rPr>
          <w:rFonts w:ascii="Garamond" w:hAnsi="Garamond" w:cs="FrankRuehl"/>
          <w:spacing w:val="10"/>
          <w:sz w:val="24"/>
          <w:szCs w:val="28"/>
          <w:rtl/>
        </w:rPr>
        <w:tab/>
      </w:r>
      <w:r w:rsidRPr="002253B5">
        <w:rPr>
          <w:rFonts w:ascii="Garamond" w:hAnsi="Garamond" w:cs="FrankRuehl" w:hint="cs"/>
          <w:spacing w:val="10"/>
          <w:sz w:val="24"/>
          <w:szCs w:val="28"/>
          <w:rtl/>
        </w:rPr>
        <w:t>על רקע זה, דירת המגורים הוכתרה בעבר כ"</w:t>
      </w:r>
      <w:r w:rsidRPr="002253B5">
        <w:rPr>
          <w:rFonts w:ascii="Garamond" w:hAnsi="Garamond" w:cs="FrankRuehl"/>
          <w:spacing w:val="10"/>
          <w:sz w:val="24"/>
          <w:szCs w:val="28"/>
          <w:rtl/>
        </w:rPr>
        <w:t>גולת הכותרת של חזקת השיתוף</w:t>
      </w:r>
      <w:r w:rsidRPr="002253B5">
        <w:rPr>
          <w:rFonts w:ascii="Garamond" w:hAnsi="Garamond" w:cs="FrankRuehl" w:hint="cs"/>
          <w:spacing w:val="10"/>
          <w:sz w:val="24"/>
          <w:szCs w:val="28"/>
          <w:rtl/>
        </w:rPr>
        <w:t>" (</w:t>
      </w:r>
      <w:r w:rsidRPr="002253B5">
        <w:rPr>
          <w:rFonts w:ascii="Garamond" w:hAnsi="Garamond" w:cs="FrankRuehl"/>
          <w:spacing w:val="10"/>
          <w:sz w:val="24"/>
          <w:szCs w:val="28"/>
          <w:rtl/>
        </w:rPr>
        <w:t>ע</w:t>
      </w:r>
      <w:r w:rsidRPr="002253B5">
        <w:rPr>
          <w:rFonts w:ascii="Garamond" w:hAnsi="Garamond" w:cs="FrankRuehl" w:hint="cs"/>
          <w:spacing w:val="10"/>
          <w:sz w:val="24"/>
          <w:szCs w:val="28"/>
          <w:rtl/>
        </w:rPr>
        <w:t>"</w:t>
      </w:r>
      <w:r w:rsidRPr="002253B5">
        <w:rPr>
          <w:rFonts w:ascii="Garamond" w:hAnsi="Garamond" w:cs="FrankRuehl"/>
          <w:spacing w:val="10"/>
          <w:sz w:val="24"/>
          <w:szCs w:val="28"/>
          <w:rtl/>
        </w:rPr>
        <w:t xml:space="preserve">א 806/93 </w:t>
      </w:r>
      <w:r w:rsidRPr="0095786E">
        <w:rPr>
          <w:rFonts w:ascii="Garamond" w:hAnsi="Garamond" w:cs="Miriam"/>
          <w:spacing w:val="10"/>
          <w:sz w:val="22"/>
          <w:rtl/>
        </w:rPr>
        <w:t>הדרי נ' הדרי</w:t>
      </w:r>
      <w:r w:rsidRPr="002253B5">
        <w:rPr>
          <w:rFonts w:ascii="Garamond" w:hAnsi="Garamond" w:cs="FrankRuehl"/>
          <w:spacing w:val="10"/>
          <w:sz w:val="24"/>
          <w:szCs w:val="28"/>
          <w:rtl/>
        </w:rPr>
        <w:t>,</w:t>
      </w:r>
      <w:r w:rsidRPr="002253B5">
        <w:rPr>
          <w:rFonts w:ascii="Garamond" w:hAnsi="Garamond" w:cs="FrankRuehl" w:hint="cs"/>
          <w:spacing w:val="10"/>
          <w:sz w:val="24"/>
          <w:szCs w:val="28"/>
          <w:rtl/>
        </w:rPr>
        <w:t xml:space="preserve"> פ"ד</w:t>
      </w:r>
      <w:r w:rsidRPr="002253B5">
        <w:rPr>
          <w:rFonts w:ascii="Garamond" w:hAnsi="Garamond" w:cs="FrankRuehl"/>
          <w:spacing w:val="10"/>
          <w:sz w:val="24"/>
          <w:szCs w:val="28"/>
          <w:rtl/>
        </w:rPr>
        <w:t xml:space="preserve"> מח(3) 685</w:t>
      </w:r>
      <w:r w:rsidRPr="002253B5">
        <w:rPr>
          <w:rFonts w:ascii="Garamond" w:hAnsi="Garamond" w:cs="FrankRuehl" w:hint="cs"/>
          <w:spacing w:val="10"/>
          <w:sz w:val="24"/>
          <w:szCs w:val="28"/>
          <w:rtl/>
        </w:rPr>
        <w:t xml:space="preserve">, 690 (1994)), ומעמדה המיוחד נשתמר גם בפסיקה אשר עסקה בהלכת השיתוף הספציפי (ראו פסקה 5 לחוות דעתו של השופט </w:t>
      </w:r>
      <w:r w:rsidRPr="00447A5D">
        <w:rPr>
          <w:rFonts w:ascii="Garamond" w:hAnsi="Garamond" w:cs="Miriam" w:hint="cs"/>
          <w:spacing w:val="10"/>
          <w:sz w:val="22"/>
          <w:rtl/>
        </w:rPr>
        <w:t xml:space="preserve">ע' </w:t>
      </w:r>
      <w:proofErr w:type="spellStart"/>
      <w:r w:rsidRPr="00447A5D">
        <w:rPr>
          <w:rFonts w:ascii="Garamond" w:hAnsi="Garamond" w:cs="Miriam" w:hint="cs"/>
          <w:spacing w:val="10"/>
          <w:sz w:val="22"/>
          <w:rtl/>
        </w:rPr>
        <w:t>פוגלמן</w:t>
      </w:r>
      <w:proofErr w:type="spellEnd"/>
      <w:r w:rsidRPr="00447A5D">
        <w:rPr>
          <w:rFonts w:ascii="Garamond" w:hAnsi="Garamond" w:cs="FrankRuehl" w:hint="cs"/>
          <w:spacing w:val="10"/>
          <w:sz w:val="22"/>
          <w:rtl/>
        </w:rPr>
        <w:t xml:space="preserve"> </w:t>
      </w:r>
      <w:r w:rsidRPr="002253B5">
        <w:rPr>
          <w:rFonts w:ascii="Garamond" w:hAnsi="Garamond" w:cs="FrankRuehl" w:hint="cs"/>
          <w:spacing w:val="10"/>
          <w:sz w:val="24"/>
          <w:szCs w:val="28"/>
          <w:rtl/>
        </w:rPr>
        <w:t xml:space="preserve">בעניין </w:t>
      </w:r>
      <w:r w:rsidRPr="00E50610">
        <w:rPr>
          <w:rFonts w:ascii="Garamond" w:hAnsi="Garamond" w:cs="Miriam" w:hint="cs"/>
          <w:spacing w:val="10"/>
          <w:sz w:val="22"/>
          <w:rtl/>
        </w:rPr>
        <w:t xml:space="preserve">בן </w:t>
      </w:r>
      <w:proofErr w:type="spellStart"/>
      <w:r w:rsidRPr="00E50610">
        <w:rPr>
          <w:rFonts w:ascii="Garamond" w:hAnsi="Garamond" w:cs="Miriam" w:hint="cs"/>
          <w:spacing w:val="10"/>
          <w:sz w:val="22"/>
          <w:rtl/>
        </w:rPr>
        <w:t>גיאת</w:t>
      </w:r>
      <w:proofErr w:type="spellEnd"/>
      <w:r w:rsidRPr="002253B5">
        <w:rPr>
          <w:rFonts w:ascii="Garamond" w:hAnsi="Garamond" w:cs="FrankRuehl" w:hint="cs"/>
          <w:spacing w:val="10"/>
          <w:sz w:val="24"/>
          <w:szCs w:val="28"/>
          <w:rtl/>
        </w:rPr>
        <w:t xml:space="preserve">; ופסקה 13 לפסק דינו של השופט </w:t>
      </w:r>
      <w:r w:rsidRPr="00BF66B3">
        <w:rPr>
          <w:rFonts w:ascii="Garamond" w:hAnsi="Garamond" w:cs="Miriam" w:hint="eastAsia"/>
          <w:spacing w:val="10"/>
          <w:sz w:val="22"/>
          <w:rtl/>
        </w:rPr>
        <w:t>עמית</w:t>
      </w:r>
      <w:r w:rsidRPr="00BF66B3">
        <w:rPr>
          <w:rFonts w:ascii="Garamond" w:hAnsi="Garamond" w:cs="Miriam" w:hint="cs"/>
          <w:spacing w:val="10"/>
          <w:sz w:val="22"/>
          <w:rtl/>
        </w:rPr>
        <w:t xml:space="preserve"> </w:t>
      </w:r>
      <w:r w:rsidRPr="002253B5">
        <w:rPr>
          <w:rFonts w:ascii="Garamond" w:hAnsi="Garamond" w:cs="FrankRuehl" w:hint="cs"/>
          <w:spacing w:val="10"/>
          <w:sz w:val="24"/>
          <w:szCs w:val="28"/>
          <w:rtl/>
        </w:rPr>
        <w:t>שם</w:t>
      </w:r>
      <w:r w:rsidRPr="002253B5">
        <w:rPr>
          <w:rFonts w:ascii="Garamond" w:hAnsi="Garamond" w:cs="FrankRuehl"/>
          <w:spacing w:val="10"/>
          <w:sz w:val="24"/>
          <w:szCs w:val="28"/>
          <w:rtl/>
        </w:rPr>
        <w:t>)</w:t>
      </w:r>
      <w:r w:rsidRPr="002253B5">
        <w:rPr>
          <w:rFonts w:ascii="Garamond" w:hAnsi="Garamond" w:cs="FrankRuehl" w:hint="cs"/>
          <w:spacing w:val="10"/>
          <w:sz w:val="24"/>
          <w:szCs w:val="28"/>
          <w:rtl/>
        </w:rPr>
        <w:t xml:space="preserve">. </w:t>
      </w:r>
      <w:r>
        <w:rPr>
          <w:rFonts w:ascii="Garamond" w:hAnsi="Garamond" w:cs="FrankRuehl" w:hint="cs"/>
          <w:spacing w:val="10"/>
          <w:sz w:val="24"/>
          <w:szCs w:val="28"/>
          <w:rtl/>
        </w:rPr>
        <w:t xml:space="preserve">בעניין </w:t>
      </w:r>
      <w:r w:rsidRPr="00BF66B3">
        <w:rPr>
          <w:rFonts w:ascii="Century" w:hAnsi="Century" w:cs="Miriam" w:hint="cs"/>
          <w:b/>
          <w:sz w:val="22"/>
          <w:rtl/>
        </w:rPr>
        <w:t>אבו-רומי</w:t>
      </w:r>
      <w:r>
        <w:rPr>
          <w:rFonts w:ascii="Garamond" w:hAnsi="Garamond" w:cs="FrankRuehl" w:hint="cs"/>
          <w:spacing w:val="10"/>
          <w:sz w:val="24"/>
          <w:szCs w:val="28"/>
          <w:rtl/>
        </w:rPr>
        <w:t xml:space="preserve"> </w:t>
      </w:r>
      <w:r>
        <w:rPr>
          <w:rFonts w:ascii="Garamond" w:hAnsi="Garamond" w:cs="FrankRuehl" w:hint="cs"/>
          <w:spacing w:val="10"/>
          <w:sz w:val="24"/>
          <w:szCs w:val="28"/>
          <w:rtl/>
        </w:rPr>
        <w:lastRenderedPageBreak/>
        <w:t xml:space="preserve">הודגש בפרט כי </w:t>
      </w:r>
      <w:r w:rsidRPr="00BF66B3">
        <w:rPr>
          <w:rFonts w:ascii="Garamond" w:hAnsi="Garamond" w:cs="FrankRuehl"/>
          <w:spacing w:val="10"/>
          <w:sz w:val="24"/>
          <w:szCs w:val="28"/>
          <w:rtl/>
        </w:rPr>
        <w:t xml:space="preserve">"יש טעם להקל על בן הזוג הטוען לבעלות משותפת בדירת המגורים כאשר זו רשומה רק על שם אחד מהם" (עניין </w:t>
      </w:r>
      <w:r w:rsidRPr="00BF66B3">
        <w:rPr>
          <w:rFonts w:ascii="Century" w:hAnsi="Century" w:cs="Miriam"/>
          <w:b/>
          <w:sz w:val="22"/>
          <w:rtl/>
        </w:rPr>
        <w:t>אבו-רומי</w:t>
      </w:r>
      <w:r w:rsidRPr="00BF66B3">
        <w:rPr>
          <w:rFonts w:ascii="Garamond" w:hAnsi="Garamond" w:cs="FrankRuehl"/>
          <w:spacing w:val="10"/>
          <w:sz w:val="24"/>
          <w:szCs w:val="28"/>
          <w:rtl/>
        </w:rPr>
        <w:t>, בעמ' 183</w:t>
      </w:r>
      <w:r>
        <w:rPr>
          <w:rFonts w:ascii="Garamond" w:hAnsi="Garamond" w:cs="FrankRuehl" w:hint="cs"/>
          <w:spacing w:val="10"/>
          <w:sz w:val="24"/>
          <w:szCs w:val="28"/>
          <w:rtl/>
        </w:rPr>
        <w:t>).</w:t>
      </w:r>
    </w:p>
    <w:p w:rsidR="00FA3A86" w:rsidRPr="002253B5" w:rsidRDefault="00FA3A86" w:rsidP="00FA3A86">
      <w:pPr>
        <w:pStyle w:val="Ruller41"/>
        <w:rPr>
          <w:rFonts w:ascii="Garamond" w:hAnsi="Garamond"/>
          <w:sz w:val="24"/>
          <w:rtl/>
        </w:rPr>
      </w:pPr>
    </w:p>
    <w:p w:rsidR="00FA3A86" w:rsidRPr="005F3AD9" w:rsidRDefault="00FA3A86" w:rsidP="00FA3A86">
      <w:pPr>
        <w:pStyle w:val="Ruller4"/>
        <w:rPr>
          <w:rtl/>
        </w:rPr>
      </w:pPr>
      <w:r w:rsidRPr="005F3AD9">
        <w:rPr>
          <w:rFonts w:hint="cs"/>
          <w:rtl/>
        </w:rPr>
        <w:t xml:space="preserve">אמת, </w:t>
      </w:r>
      <w:proofErr w:type="spellStart"/>
      <w:r w:rsidRPr="005F3AD9">
        <w:rPr>
          <w:rFonts w:hint="cs"/>
          <w:rtl/>
        </w:rPr>
        <w:t>כשעסקינן</w:t>
      </w:r>
      <w:proofErr w:type="spellEnd"/>
      <w:r w:rsidRPr="005F3AD9">
        <w:rPr>
          <w:rFonts w:hint="cs"/>
          <w:rtl/>
        </w:rPr>
        <w:t xml:space="preserve"> בזכויות קנייניות בנכס </w:t>
      </w:r>
      <w:r w:rsidRPr="005F3AD9">
        <w:rPr>
          <w:rFonts w:ascii="Century" w:hAnsi="Century" w:cs="Miriam"/>
          <w:b/>
          <w:spacing w:val="0"/>
          <w:sz w:val="22"/>
          <w:szCs w:val="24"/>
          <w:rtl/>
        </w:rPr>
        <w:t>מקרקעין</w:t>
      </w:r>
      <w:r w:rsidRPr="005F3AD9">
        <w:rPr>
          <w:rFonts w:hint="cs"/>
          <w:rtl/>
        </w:rPr>
        <w:t xml:space="preserve">, נוצר לכאורה מכשול בדמות דרישת הכתב ודרישת הרישום הנחוצה להעברת זכויות קניין במקרקעין. הפסיקה </w:t>
      </w:r>
      <w:r>
        <w:rPr>
          <w:rFonts w:hint="cs"/>
          <w:rtl/>
        </w:rPr>
        <w:t>התמודדה עם קושי</w:t>
      </w:r>
      <w:r w:rsidRPr="005F3AD9">
        <w:rPr>
          <w:rFonts w:hint="cs"/>
          <w:rtl/>
        </w:rPr>
        <w:t xml:space="preserve"> זה </w:t>
      </w:r>
      <w:r>
        <w:rPr>
          <w:rFonts w:hint="cs"/>
          <w:rtl/>
        </w:rPr>
        <w:t>בהגדירה את</w:t>
      </w:r>
      <w:r w:rsidRPr="005F3AD9">
        <w:rPr>
          <w:rFonts w:hint="cs"/>
          <w:rtl/>
        </w:rPr>
        <w:t xml:space="preserve"> זכותו של בן הזוג שעמו משותף הנכס "</w:t>
      </w:r>
      <w:r w:rsidRPr="005F3AD9">
        <w:rPr>
          <w:rFonts w:ascii="FrankRuehl" w:hAnsi="FrankRuehl"/>
          <w:color w:val="000000"/>
          <w:sz w:val="28"/>
          <w:rtl/>
        </w:rPr>
        <w:t>זכות מעין-קניינית, זכות של קניין שביושר</w:t>
      </w:r>
      <w:r w:rsidRPr="005F3AD9">
        <w:rPr>
          <w:rFonts w:hint="cs"/>
          <w:rtl/>
        </w:rPr>
        <w:t>", ש</w:t>
      </w:r>
      <w:r>
        <w:rPr>
          <w:rFonts w:hint="cs"/>
          <w:rtl/>
        </w:rPr>
        <w:t xml:space="preserve">יש </w:t>
      </w:r>
      <w:r w:rsidRPr="005F3AD9">
        <w:rPr>
          <w:rFonts w:hint="cs"/>
          <w:rtl/>
        </w:rPr>
        <w:t>בכוחה לגבור על זכויותיהם של צדדים שלישיים</w:t>
      </w:r>
      <w:r>
        <w:rPr>
          <w:rFonts w:hint="cs"/>
          <w:rtl/>
        </w:rPr>
        <w:t>,</w:t>
      </w:r>
      <w:r w:rsidRPr="005F3AD9">
        <w:rPr>
          <w:rFonts w:hint="cs"/>
          <w:rtl/>
        </w:rPr>
        <w:t xml:space="preserve"> למעט בנסיבות ספציפיות</w:t>
      </w:r>
      <w:r>
        <w:rPr>
          <w:rFonts w:hint="cs"/>
          <w:rtl/>
        </w:rPr>
        <w:t xml:space="preserve"> שפורטו</w:t>
      </w:r>
      <w:r w:rsidRPr="005F3AD9">
        <w:rPr>
          <w:rFonts w:hint="cs"/>
          <w:rtl/>
        </w:rPr>
        <w:t xml:space="preserve"> (עניין </w:t>
      </w:r>
      <w:r w:rsidRPr="005F3AD9">
        <w:rPr>
          <w:rFonts w:ascii="Century" w:hAnsi="Century" w:cs="Miriam" w:hint="cs"/>
          <w:b/>
          <w:spacing w:val="0"/>
          <w:sz w:val="22"/>
          <w:szCs w:val="24"/>
          <w:rtl/>
        </w:rPr>
        <w:t xml:space="preserve">בן </w:t>
      </w:r>
      <w:proofErr w:type="spellStart"/>
      <w:r w:rsidRPr="005F3AD9">
        <w:rPr>
          <w:rFonts w:ascii="Century" w:hAnsi="Century" w:cs="Miriam" w:hint="cs"/>
          <w:b/>
          <w:spacing w:val="0"/>
          <w:sz w:val="22"/>
          <w:szCs w:val="24"/>
          <w:rtl/>
        </w:rPr>
        <w:t>גיאת</w:t>
      </w:r>
      <w:proofErr w:type="spellEnd"/>
      <w:r w:rsidRPr="005F3AD9">
        <w:rPr>
          <w:rFonts w:hint="cs"/>
          <w:rtl/>
        </w:rPr>
        <w:t>, פסקה 24 לפסק דינו של השופט</w:t>
      </w:r>
      <w:r w:rsidRPr="005F3AD9">
        <w:rPr>
          <w:rFonts w:ascii="Century" w:hAnsi="Century" w:cs="Miriam" w:hint="cs"/>
          <w:b/>
          <w:spacing w:val="0"/>
          <w:sz w:val="22"/>
          <w:szCs w:val="24"/>
          <w:rtl/>
        </w:rPr>
        <w:t xml:space="preserve"> עמית</w:t>
      </w:r>
      <w:r w:rsidRPr="005F3AD9">
        <w:rPr>
          <w:rFonts w:hint="cs"/>
          <w:rtl/>
        </w:rPr>
        <w:t xml:space="preserve">; כן ראו </w:t>
      </w:r>
      <w:r w:rsidRPr="005F3AD9">
        <w:rPr>
          <w:rFonts w:ascii="Arial TUR" w:hAnsi="Arial TUR" w:hint="eastAsia"/>
          <w:rtl/>
        </w:rPr>
        <w:t>ע</w:t>
      </w:r>
      <w:r w:rsidRPr="005F3AD9">
        <w:rPr>
          <w:rFonts w:ascii="Arial TUR" w:hAnsi="Arial TUR" w:hint="cs"/>
          <w:rtl/>
        </w:rPr>
        <w:t>"</w:t>
      </w:r>
      <w:r w:rsidRPr="005F3AD9">
        <w:rPr>
          <w:rFonts w:ascii="Arial TUR" w:hAnsi="Arial TUR" w:hint="eastAsia"/>
          <w:rtl/>
        </w:rPr>
        <w:t>א</w:t>
      </w:r>
      <w:r w:rsidRPr="005F3AD9">
        <w:rPr>
          <w:rFonts w:ascii="Arial TUR" w:hAnsi="Arial TUR"/>
          <w:rtl/>
        </w:rPr>
        <w:t xml:space="preserve"> 189/95 </w:t>
      </w:r>
      <w:r w:rsidRPr="005F3AD9">
        <w:rPr>
          <w:rFonts w:ascii="Century" w:hAnsi="Century" w:cs="Miriam" w:hint="eastAsia"/>
          <w:b/>
          <w:spacing w:val="0"/>
          <w:sz w:val="22"/>
          <w:szCs w:val="24"/>
          <w:rtl/>
        </w:rPr>
        <w:t>בנק</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אוצר</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החייל</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בע</w:t>
      </w:r>
      <w:r w:rsidRPr="005F3AD9">
        <w:rPr>
          <w:rFonts w:ascii="Century" w:hAnsi="Century" w:cs="Miriam"/>
          <w:b/>
          <w:spacing w:val="0"/>
          <w:sz w:val="22"/>
          <w:szCs w:val="24"/>
          <w:rtl/>
        </w:rPr>
        <w:t>"</w:t>
      </w:r>
      <w:r w:rsidRPr="005F3AD9">
        <w:rPr>
          <w:rFonts w:ascii="Century" w:hAnsi="Century" w:cs="Miriam" w:hint="eastAsia"/>
          <w:b/>
          <w:spacing w:val="0"/>
          <w:sz w:val="22"/>
          <w:szCs w:val="24"/>
          <w:rtl/>
        </w:rPr>
        <w:t>מ</w:t>
      </w:r>
      <w:r w:rsidRPr="005F3AD9">
        <w:rPr>
          <w:rFonts w:ascii="Century" w:hAnsi="Century" w:cs="Miriam" w:hint="cs"/>
          <w:b/>
          <w:spacing w:val="0"/>
          <w:sz w:val="22"/>
          <w:szCs w:val="24"/>
          <w:rtl/>
        </w:rPr>
        <w:t xml:space="preserve"> </w:t>
      </w:r>
      <w:r w:rsidRPr="005F3AD9">
        <w:rPr>
          <w:rFonts w:ascii="Century" w:hAnsi="Century" w:cs="Miriam" w:hint="eastAsia"/>
          <w:b/>
          <w:spacing w:val="0"/>
          <w:sz w:val="22"/>
          <w:szCs w:val="24"/>
          <w:rtl/>
        </w:rPr>
        <w:t>נ</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אהרונוב</w:t>
      </w:r>
      <w:r w:rsidRPr="005F3AD9">
        <w:rPr>
          <w:rFonts w:ascii="Arial TUR" w:hAnsi="Arial TUR"/>
          <w:rtl/>
        </w:rPr>
        <w:t xml:space="preserve">, </w:t>
      </w:r>
      <w:r w:rsidRPr="005F3AD9">
        <w:rPr>
          <w:rFonts w:ascii="Arial TUR" w:hAnsi="Arial TUR" w:hint="cs"/>
          <w:rtl/>
        </w:rPr>
        <w:t xml:space="preserve">פ"ד </w:t>
      </w:r>
      <w:proofErr w:type="spellStart"/>
      <w:r w:rsidRPr="005F3AD9">
        <w:rPr>
          <w:rFonts w:ascii="Arial TUR" w:hAnsi="Arial TUR" w:hint="eastAsia"/>
          <w:rtl/>
        </w:rPr>
        <w:t>נג</w:t>
      </w:r>
      <w:proofErr w:type="spellEnd"/>
      <w:r w:rsidRPr="005F3AD9">
        <w:rPr>
          <w:rFonts w:ascii="Arial TUR" w:hAnsi="Arial TUR"/>
          <w:rtl/>
        </w:rPr>
        <w:t>(4) 199</w:t>
      </w:r>
      <w:r w:rsidRPr="005F3AD9">
        <w:rPr>
          <w:rFonts w:ascii="Arial TUR" w:hAnsi="Arial TUR" w:hint="cs"/>
          <w:rtl/>
        </w:rPr>
        <w:t xml:space="preserve"> (1999) והפסיקה הענפה </w:t>
      </w:r>
      <w:r>
        <w:rPr>
          <w:rFonts w:ascii="Arial TUR" w:hAnsi="Arial TUR" w:hint="cs"/>
          <w:rtl/>
        </w:rPr>
        <w:t xml:space="preserve">המאמצת אותו; </w:t>
      </w:r>
      <w:r w:rsidRPr="005F3AD9">
        <w:rPr>
          <w:rFonts w:ascii="Century" w:hAnsi="Century" w:hint="eastAsia"/>
          <w:rtl/>
        </w:rPr>
        <w:t>יהושע</w:t>
      </w:r>
      <w:r w:rsidRPr="005F3AD9">
        <w:rPr>
          <w:rFonts w:ascii="Century" w:hAnsi="Century"/>
          <w:rtl/>
        </w:rPr>
        <w:t xml:space="preserve"> </w:t>
      </w:r>
      <w:r w:rsidRPr="005F3AD9">
        <w:rPr>
          <w:rFonts w:ascii="Century" w:hAnsi="Century" w:hint="eastAsia"/>
          <w:rtl/>
        </w:rPr>
        <w:t>ויסמן</w:t>
      </w:r>
      <w:r w:rsidRPr="005F3AD9">
        <w:rPr>
          <w:rFonts w:ascii="Century" w:hAnsi="Century" w:cs="Miriam" w:hint="cs"/>
          <w:b/>
          <w:szCs w:val="24"/>
          <w:rtl/>
        </w:rPr>
        <w:t xml:space="preserve"> </w:t>
      </w:r>
      <w:r w:rsidRPr="005F3AD9">
        <w:rPr>
          <w:rFonts w:ascii="Century" w:hAnsi="Century" w:cs="Miriam" w:hint="cs"/>
          <w:b/>
          <w:spacing w:val="0"/>
          <w:sz w:val="22"/>
          <w:szCs w:val="24"/>
          <w:rtl/>
        </w:rPr>
        <w:t xml:space="preserve">דיני קניין </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חלק</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כללי</w:t>
      </w:r>
      <w:r w:rsidRPr="005F3AD9">
        <w:rPr>
          <w:rtl/>
        </w:rPr>
        <w:t xml:space="preserve"> 60</w:t>
      </w:r>
      <w:r>
        <w:rPr>
          <w:rFonts w:hint="cs"/>
          <w:rtl/>
        </w:rPr>
        <w:t xml:space="preserve"> (</w:t>
      </w:r>
      <w:proofErr w:type="spellStart"/>
      <w:r>
        <w:rPr>
          <w:rFonts w:hint="cs"/>
          <w:rtl/>
        </w:rPr>
        <w:t>התשנ"ג</w:t>
      </w:r>
      <w:proofErr w:type="spellEnd"/>
      <w:r>
        <w:rPr>
          <w:rFonts w:hint="cs"/>
          <w:rtl/>
        </w:rPr>
        <w:t>)</w:t>
      </w:r>
      <w:r w:rsidRPr="005F3AD9">
        <w:rPr>
          <w:rtl/>
        </w:rPr>
        <w:t xml:space="preserve">; </w:t>
      </w:r>
      <w:r w:rsidRPr="005F3AD9">
        <w:rPr>
          <w:rFonts w:ascii="Century" w:hAnsi="Century" w:hint="eastAsia"/>
          <w:rtl/>
        </w:rPr>
        <w:t>אבי</w:t>
      </w:r>
      <w:r w:rsidRPr="005F3AD9">
        <w:rPr>
          <w:rFonts w:ascii="Century" w:hAnsi="Century"/>
          <w:rtl/>
        </w:rPr>
        <w:t xml:space="preserve"> </w:t>
      </w:r>
      <w:proofErr w:type="spellStart"/>
      <w:r w:rsidRPr="005F3AD9">
        <w:rPr>
          <w:rFonts w:ascii="Century" w:hAnsi="Century" w:hint="eastAsia"/>
          <w:rtl/>
        </w:rPr>
        <w:t>וינרוט</w:t>
      </w:r>
      <w:proofErr w:type="spellEnd"/>
      <w:r w:rsidRPr="005F3AD9">
        <w:rPr>
          <w:rFonts w:ascii="Century" w:hAnsi="Century" w:cs="Miriam"/>
          <w:b/>
          <w:szCs w:val="24"/>
          <w:rtl/>
        </w:rPr>
        <w:t xml:space="preserve"> </w:t>
      </w:r>
      <w:r w:rsidRPr="005F3AD9">
        <w:rPr>
          <w:rFonts w:ascii="Century" w:hAnsi="Century" w:cs="Miriam" w:hint="eastAsia"/>
          <w:b/>
          <w:spacing w:val="0"/>
          <w:sz w:val="22"/>
          <w:szCs w:val="24"/>
          <w:rtl/>
        </w:rPr>
        <w:t>דיני</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קניין</w:t>
      </w:r>
      <w:r w:rsidRPr="005F3AD9">
        <w:rPr>
          <w:rFonts w:ascii="Century" w:hAnsi="Century" w:cs="Miriam"/>
          <w:b/>
          <w:spacing w:val="0"/>
          <w:sz w:val="22"/>
          <w:szCs w:val="24"/>
          <w:rtl/>
        </w:rPr>
        <w:t xml:space="preserve"> – </w:t>
      </w:r>
      <w:r w:rsidRPr="005F3AD9">
        <w:rPr>
          <w:rFonts w:ascii="Century" w:hAnsi="Century" w:cs="Miriam" w:hint="eastAsia"/>
          <w:b/>
          <w:spacing w:val="0"/>
          <w:sz w:val="22"/>
          <w:szCs w:val="24"/>
          <w:rtl/>
        </w:rPr>
        <w:t>פרקי</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יסוד</w:t>
      </w:r>
      <w:r w:rsidRPr="005F3AD9">
        <w:rPr>
          <w:rtl/>
        </w:rPr>
        <w:t xml:space="preserve"> </w:t>
      </w:r>
      <w:r>
        <w:rPr>
          <w:rFonts w:hint="cs"/>
          <w:rtl/>
        </w:rPr>
        <w:t>14-</w:t>
      </w:r>
      <w:r w:rsidRPr="005F3AD9">
        <w:rPr>
          <w:rtl/>
        </w:rPr>
        <w:t>10 (2016)</w:t>
      </w:r>
      <w:r w:rsidRPr="005F3AD9">
        <w:rPr>
          <w:rFonts w:hint="cs"/>
          <w:rtl/>
        </w:rPr>
        <w:t xml:space="preserve">; </w:t>
      </w:r>
      <w:proofErr w:type="spellStart"/>
      <w:r w:rsidRPr="005F3AD9">
        <w:rPr>
          <w:rFonts w:hint="eastAsia"/>
          <w:rtl/>
        </w:rPr>
        <w:t>מיגל</w:t>
      </w:r>
      <w:proofErr w:type="spellEnd"/>
      <w:r w:rsidRPr="005F3AD9">
        <w:rPr>
          <w:rtl/>
        </w:rPr>
        <w:t xml:space="preserve"> </w:t>
      </w:r>
      <w:proofErr w:type="spellStart"/>
      <w:r w:rsidRPr="005F3AD9">
        <w:rPr>
          <w:rFonts w:hint="eastAsia"/>
          <w:rtl/>
        </w:rPr>
        <w:t>דויטש</w:t>
      </w:r>
      <w:proofErr w:type="spellEnd"/>
      <w:r w:rsidRPr="005F3AD9">
        <w:rPr>
          <w:rtl/>
        </w:rPr>
        <w:t xml:space="preserve"> "</w:t>
      </w:r>
      <w:r w:rsidRPr="005F3AD9">
        <w:rPr>
          <w:rFonts w:hint="eastAsia"/>
          <w:rtl/>
        </w:rPr>
        <w:t>נפילתה</w:t>
      </w:r>
      <w:r w:rsidRPr="005F3AD9">
        <w:rPr>
          <w:rtl/>
        </w:rPr>
        <w:t xml:space="preserve">(?) </w:t>
      </w:r>
      <w:r w:rsidRPr="005F3AD9">
        <w:rPr>
          <w:rFonts w:hint="eastAsia"/>
          <w:rtl/>
        </w:rPr>
        <w:t>ועלייתה</w:t>
      </w:r>
      <w:r w:rsidRPr="005F3AD9">
        <w:rPr>
          <w:rtl/>
        </w:rPr>
        <w:t xml:space="preserve"> </w:t>
      </w:r>
      <w:r w:rsidRPr="005F3AD9">
        <w:rPr>
          <w:rFonts w:hint="eastAsia"/>
          <w:rtl/>
        </w:rPr>
        <w:t>של</w:t>
      </w:r>
      <w:r w:rsidRPr="005F3AD9">
        <w:rPr>
          <w:rtl/>
        </w:rPr>
        <w:t xml:space="preserve"> </w:t>
      </w:r>
      <w:r w:rsidRPr="005F3AD9">
        <w:rPr>
          <w:rFonts w:hint="eastAsia"/>
          <w:rtl/>
        </w:rPr>
        <w:t>הזכות</w:t>
      </w:r>
      <w:r w:rsidRPr="005F3AD9">
        <w:rPr>
          <w:rtl/>
        </w:rPr>
        <w:t xml:space="preserve"> </w:t>
      </w:r>
      <w:r w:rsidRPr="005F3AD9">
        <w:rPr>
          <w:rFonts w:hint="eastAsia"/>
          <w:rtl/>
        </w:rPr>
        <w:t>שביושר</w:t>
      </w:r>
      <w:r w:rsidRPr="005F3AD9">
        <w:rPr>
          <w:rtl/>
        </w:rPr>
        <w:t xml:space="preserve"> </w:t>
      </w:r>
      <w:r w:rsidRPr="005F3AD9">
        <w:rPr>
          <w:rFonts w:hint="eastAsia"/>
          <w:rtl/>
        </w:rPr>
        <w:t>במשפט</w:t>
      </w:r>
      <w:r w:rsidRPr="005F3AD9">
        <w:rPr>
          <w:rtl/>
        </w:rPr>
        <w:t xml:space="preserve"> </w:t>
      </w:r>
      <w:r w:rsidRPr="005F3AD9">
        <w:rPr>
          <w:rFonts w:hint="eastAsia"/>
          <w:rtl/>
        </w:rPr>
        <w:t>הישראלי</w:t>
      </w:r>
      <w:r w:rsidRPr="005F3AD9">
        <w:rPr>
          <w:rtl/>
        </w:rPr>
        <w:t xml:space="preserve"> – </w:t>
      </w:r>
      <w:r w:rsidRPr="005F3AD9">
        <w:rPr>
          <w:rFonts w:hint="eastAsia"/>
          <w:rtl/>
        </w:rPr>
        <w:t>המשפט</w:t>
      </w:r>
      <w:r w:rsidRPr="005F3AD9">
        <w:rPr>
          <w:rtl/>
        </w:rPr>
        <w:t xml:space="preserve"> </w:t>
      </w:r>
      <w:r w:rsidRPr="005F3AD9">
        <w:rPr>
          <w:rFonts w:hint="eastAsia"/>
          <w:rtl/>
        </w:rPr>
        <w:t>בעקבות</w:t>
      </w:r>
      <w:r w:rsidRPr="005F3AD9">
        <w:rPr>
          <w:rtl/>
        </w:rPr>
        <w:t xml:space="preserve"> </w:t>
      </w:r>
      <w:r w:rsidRPr="005F3AD9">
        <w:rPr>
          <w:rFonts w:hint="eastAsia"/>
          <w:rtl/>
        </w:rPr>
        <w:t>המציאות</w:t>
      </w:r>
      <w:r w:rsidRPr="005F3AD9">
        <w:rPr>
          <w:rtl/>
        </w:rPr>
        <w:t xml:space="preserve">" </w:t>
      </w:r>
      <w:r w:rsidRPr="005F3AD9">
        <w:rPr>
          <w:rFonts w:ascii="Century" w:hAnsi="Century" w:cs="Miriam" w:hint="eastAsia"/>
          <w:b/>
          <w:spacing w:val="0"/>
          <w:sz w:val="22"/>
          <w:szCs w:val="24"/>
          <w:rtl/>
        </w:rPr>
        <w:t>עיוני</w:t>
      </w:r>
      <w:r w:rsidRPr="005F3AD9">
        <w:rPr>
          <w:rFonts w:ascii="Century" w:hAnsi="Century" w:cs="Miriam"/>
          <w:b/>
          <w:spacing w:val="0"/>
          <w:sz w:val="22"/>
          <w:szCs w:val="24"/>
          <w:rtl/>
        </w:rPr>
        <w:t xml:space="preserve"> </w:t>
      </w:r>
      <w:r w:rsidRPr="005F3AD9">
        <w:rPr>
          <w:rFonts w:ascii="Century" w:hAnsi="Century" w:cs="Miriam" w:hint="eastAsia"/>
          <w:b/>
          <w:spacing w:val="0"/>
          <w:sz w:val="22"/>
          <w:szCs w:val="24"/>
          <w:rtl/>
        </w:rPr>
        <w:t>משפט</w:t>
      </w:r>
      <w:r w:rsidRPr="005F3AD9">
        <w:rPr>
          <w:rtl/>
        </w:rPr>
        <w:t xml:space="preserve"> </w:t>
      </w:r>
      <w:r w:rsidRPr="005F3AD9">
        <w:rPr>
          <w:rFonts w:hint="eastAsia"/>
          <w:rtl/>
        </w:rPr>
        <w:t>כד</w:t>
      </w:r>
      <w:r w:rsidRPr="005F3AD9">
        <w:rPr>
          <w:rtl/>
        </w:rPr>
        <w:t xml:space="preserve"> 313 (2000)</w:t>
      </w:r>
      <w:r w:rsidRPr="005F3AD9">
        <w:rPr>
          <w:rFonts w:ascii="Arial TUR" w:hAnsi="Arial TUR" w:hint="cs"/>
          <w:rtl/>
        </w:rPr>
        <w:t>)</w:t>
      </w:r>
      <w:r w:rsidRPr="005F3AD9">
        <w:rPr>
          <w:rFonts w:hint="cs"/>
          <w:rtl/>
        </w:rPr>
        <w:t xml:space="preserve">. </w:t>
      </w:r>
    </w:p>
    <w:p w:rsidR="00FA3A86" w:rsidRPr="007A06B6" w:rsidRDefault="00FA3A86" w:rsidP="00FA3A86">
      <w:pPr>
        <w:pStyle w:val="Ruller41"/>
        <w:rPr>
          <w:rtl/>
        </w:rPr>
      </w:pPr>
    </w:p>
    <w:p w:rsidR="00FA3A86" w:rsidRPr="005F3AD9" w:rsidRDefault="00FA3A86" w:rsidP="00FA3A86">
      <w:pPr>
        <w:pStyle w:val="Ruller4"/>
        <w:rPr>
          <w:rtl/>
        </w:rPr>
      </w:pPr>
      <w:r w:rsidRPr="005F3AD9">
        <w:rPr>
          <w:rFonts w:hint="cs"/>
          <w:rtl/>
        </w:rPr>
        <w:t xml:space="preserve">אשר למועד התגבשות הזכות מכוח הלכת השיתוף הספציפי, </w:t>
      </w:r>
      <w:r>
        <w:rPr>
          <w:rFonts w:hint="cs"/>
          <w:rtl/>
        </w:rPr>
        <w:t xml:space="preserve">נפסק כי </w:t>
      </w:r>
      <w:r w:rsidRPr="005F3AD9">
        <w:rPr>
          <w:rFonts w:hint="cs"/>
          <w:rtl/>
        </w:rPr>
        <w:t>זכות זו מתגבשת בשלב מסוים על ציר חיי הנישואין</w:t>
      </w:r>
      <w:r w:rsidRPr="005F3AD9">
        <w:rPr>
          <w:rFonts w:hint="eastAsia"/>
          <w:rtl/>
        </w:rPr>
        <w:t xml:space="preserve"> </w:t>
      </w:r>
      <w:r w:rsidRPr="005F3AD9">
        <w:rPr>
          <w:rFonts w:hint="cs"/>
          <w:rtl/>
        </w:rPr>
        <w:t>(</w:t>
      </w:r>
      <w:r w:rsidRPr="005F3AD9">
        <w:rPr>
          <w:rFonts w:hint="eastAsia"/>
          <w:rtl/>
        </w:rPr>
        <w:t>עניין</w:t>
      </w:r>
      <w:r w:rsidRPr="005F3AD9">
        <w:rPr>
          <w:rtl/>
        </w:rPr>
        <w:t xml:space="preserve"> </w:t>
      </w:r>
      <w:r w:rsidRPr="005F3AD9">
        <w:rPr>
          <w:rFonts w:cs="Miriam" w:hint="eastAsia"/>
          <w:b/>
          <w:spacing w:val="0"/>
          <w:sz w:val="22"/>
          <w:szCs w:val="24"/>
          <w:rtl/>
        </w:rPr>
        <w:t>בן</w:t>
      </w:r>
      <w:r w:rsidRPr="005F3AD9">
        <w:rPr>
          <w:rFonts w:cs="Miriam"/>
          <w:b/>
          <w:spacing w:val="0"/>
          <w:sz w:val="22"/>
          <w:szCs w:val="24"/>
          <w:rtl/>
        </w:rPr>
        <w:t xml:space="preserve"> </w:t>
      </w:r>
      <w:proofErr w:type="spellStart"/>
      <w:r w:rsidRPr="005F3AD9">
        <w:rPr>
          <w:rFonts w:cs="Miriam" w:hint="eastAsia"/>
          <w:b/>
          <w:spacing w:val="0"/>
          <w:sz w:val="22"/>
          <w:szCs w:val="24"/>
          <w:rtl/>
        </w:rPr>
        <w:t>גיאת</w:t>
      </w:r>
      <w:proofErr w:type="spellEnd"/>
      <w:r w:rsidRPr="005F3AD9">
        <w:rPr>
          <w:rFonts w:hint="cs"/>
          <w:rtl/>
        </w:rPr>
        <w:t xml:space="preserve">, </w:t>
      </w:r>
      <w:r>
        <w:rPr>
          <w:rFonts w:hint="cs"/>
          <w:rtl/>
        </w:rPr>
        <w:t>פס</w:t>
      </w:r>
      <w:r w:rsidRPr="005F3AD9">
        <w:rPr>
          <w:rFonts w:hint="cs"/>
          <w:rtl/>
        </w:rPr>
        <w:t xml:space="preserve">קה 24 לפסק דינו של השופט </w:t>
      </w:r>
      <w:r w:rsidRPr="005F3AD9">
        <w:rPr>
          <w:rFonts w:ascii="Century" w:hAnsi="Century" w:cs="Miriam" w:hint="cs"/>
          <w:b/>
          <w:spacing w:val="0"/>
          <w:sz w:val="22"/>
          <w:szCs w:val="24"/>
          <w:rtl/>
        </w:rPr>
        <w:t>עמית</w:t>
      </w:r>
      <w:r w:rsidRPr="005F3AD9">
        <w:rPr>
          <w:rFonts w:hint="cs"/>
          <w:rtl/>
        </w:rPr>
        <w:t>)</w:t>
      </w:r>
      <w:r>
        <w:rPr>
          <w:rFonts w:hint="cs"/>
          <w:rtl/>
        </w:rPr>
        <w:t>.</w:t>
      </w:r>
      <w:r w:rsidRPr="005F3AD9">
        <w:rPr>
          <w:rtl/>
        </w:rPr>
        <w:t xml:space="preserve"> </w:t>
      </w:r>
      <w:r w:rsidRPr="005F3AD9">
        <w:rPr>
          <w:rFonts w:hint="cs"/>
          <w:rtl/>
        </w:rPr>
        <w:t xml:space="preserve">עם זאת, לרוב קשה לעמוד על מועד מדויק </w:t>
      </w:r>
      <w:r>
        <w:rPr>
          <w:rFonts w:hint="cs"/>
          <w:rtl/>
        </w:rPr>
        <w:t>ש</w:t>
      </w:r>
      <w:r w:rsidRPr="005F3AD9">
        <w:rPr>
          <w:rFonts w:hint="cs"/>
          <w:rtl/>
        </w:rPr>
        <w:t xml:space="preserve">בו התגבשה כוונת השיתוף לכלל הסכמה. כך למשל, בעניין </w:t>
      </w:r>
      <w:r w:rsidRPr="007A06B6">
        <w:rPr>
          <w:rFonts w:ascii="Century" w:hAnsi="Century" w:cs="Miriam" w:hint="cs"/>
          <w:b/>
          <w:spacing w:val="0"/>
          <w:sz w:val="22"/>
          <w:szCs w:val="24"/>
          <w:rtl/>
        </w:rPr>
        <w:t xml:space="preserve">בן </w:t>
      </w:r>
      <w:proofErr w:type="spellStart"/>
      <w:r w:rsidRPr="007A06B6">
        <w:rPr>
          <w:rFonts w:ascii="Century" w:hAnsi="Century" w:cs="Miriam" w:hint="cs"/>
          <w:b/>
          <w:spacing w:val="0"/>
          <w:sz w:val="22"/>
          <w:szCs w:val="24"/>
          <w:rtl/>
        </w:rPr>
        <w:t>גיאת</w:t>
      </w:r>
      <w:proofErr w:type="spellEnd"/>
      <w:r w:rsidRPr="005F3AD9">
        <w:rPr>
          <w:rFonts w:hint="cs"/>
          <w:rtl/>
        </w:rPr>
        <w:t xml:space="preserve"> ציין </w:t>
      </w:r>
      <w:r w:rsidRPr="005F3AD9">
        <w:rPr>
          <w:rFonts w:hint="eastAsia"/>
          <w:rtl/>
        </w:rPr>
        <w:t>השופט</w:t>
      </w:r>
      <w:r w:rsidRPr="005F3AD9">
        <w:rPr>
          <w:rtl/>
        </w:rPr>
        <w:t xml:space="preserve"> </w:t>
      </w:r>
      <w:r w:rsidRPr="005F3AD9">
        <w:rPr>
          <w:rFonts w:hint="cs"/>
          <w:rtl/>
        </w:rPr>
        <w:t>(כתוארו אז)</w:t>
      </w:r>
      <w:r w:rsidRPr="005F3AD9">
        <w:rPr>
          <w:rtl/>
        </w:rPr>
        <w:t xml:space="preserve"> </w:t>
      </w:r>
      <w:r w:rsidRPr="005F3AD9">
        <w:rPr>
          <w:rFonts w:cs="Miriam" w:hint="eastAsia"/>
          <w:b/>
          <w:spacing w:val="0"/>
          <w:sz w:val="22"/>
          <w:szCs w:val="24"/>
          <w:rtl/>
        </w:rPr>
        <w:t>רובינשטיין</w:t>
      </w:r>
      <w:r w:rsidRPr="005F3AD9">
        <w:rPr>
          <w:rtl/>
        </w:rPr>
        <w:t xml:space="preserve"> </w:t>
      </w:r>
      <w:r w:rsidRPr="005F3AD9">
        <w:rPr>
          <w:rFonts w:hint="cs"/>
          <w:rtl/>
        </w:rPr>
        <w:t xml:space="preserve">כי </w:t>
      </w:r>
      <w:r w:rsidRPr="005F3AD9">
        <w:rPr>
          <w:rFonts w:hint="eastAsia"/>
          <w:rtl/>
        </w:rPr>
        <w:t>איננ</w:t>
      </w:r>
      <w:r w:rsidRPr="005F3AD9">
        <w:rPr>
          <w:rFonts w:hint="cs"/>
          <w:rtl/>
        </w:rPr>
        <w:t>ו</w:t>
      </w:r>
      <w:r w:rsidRPr="005F3AD9">
        <w:rPr>
          <w:rtl/>
        </w:rPr>
        <w:t xml:space="preserve"> </w:t>
      </w:r>
      <w:r w:rsidRPr="005F3AD9">
        <w:rPr>
          <w:rFonts w:hint="eastAsia"/>
          <w:rtl/>
        </w:rPr>
        <w:t>רואה</w:t>
      </w:r>
      <w:r w:rsidRPr="005F3AD9">
        <w:rPr>
          <w:rtl/>
        </w:rPr>
        <w:t xml:space="preserve"> </w:t>
      </w:r>
      <w:r w:rsidRPr="005F3AD9">
        <w:rPr>
          <w:rFonts w:hint="eastAsia"/>
          <w:rtl/>
        </w:rPr>
        <w:t>צורך</w:t>
      </w:r>
      <w:r w:rsidRPr="005F3AD9">
        <w:rPr>
          <w:rtl/>
        </w:rPr>
        <w:t xml:space="preserve"> </w:t>
      </w:r>
      <w:r w:rsidRPr="005F3AD9">
        <w:rPr>
          <w:rFonts w:hint="eastAsia"/>
          <w:rtl/>
        </w:rPr>
        <w:t>לקבוע</w:t>
      </w:r>
      <w:r w:rsidRPr="005F3AD9">
        <w:rPr>
          <w:rtl/>
        </w:rPr>
        <w:t xml:space="preserve"> </w:t>
      </w:r>
      <w:r w:rsidRPr="005F3AD9">
        <w:rPr>
          <w:rFonts w:hint="eastAsia"/>
          <w:rtl/>
        </w:rPr>
        <w:t>מתי</w:t>
      </w:r>
      <w:r w:rsidRPr="005F3AD9">
        <w:rPr>
          <w:rtl/>
        </w:rPr>
        <w:t xml:space="preserve"> </w:t>
      </w:r>
      <w:r w:rsidRPr="005F3AD9">
        <w:rPr>
          <w:rFonts w:hint="eastAsia"/>
          <w:rtl/>
        </w:rPr>
        <w:t>באה</w:t>
      </w:r>
      <w:r w:rsidRPr="005F3AD9">
        <w:rPr>
          <w:rtl/>
        </w:rPr>
        <w:t xml:space="preserve"> </w:t>
      </w:r>
      <w:r w:rsidRPr="005F3AD9">
        <w:rPr>
          <w:rFonts w:hint="eastAsia"/>
          <w:rtl/>
        </w:rPr>
        <w:t>לעולם</w:t>
      </w:r>
      <w:r w:rsidRPr="005F3AD9">
        <w:rPr>
          <w:rtl/>
        </w:rPr>
        <w:t xml:space="preserve"> </w:t>
      </w:r>
      <w:r w:rsidRPr="005F3AD9">
        <w:rPr>
          <w:rFonts w:hint="eastAsia"/>
          <w:rtl/>
        </w:rPr>
        <w:t>כוונת</w:t>
      </w:r>
      <w:r w:rsidRPr="005F3AD9">
        <w:rPr>
          <w:rtl/>
        </w:rPr>
        <w:t xml:space="preserve"> </w:t>
      </w:r>
      <w:r w:rsidRPr="005F3AD9">
        <w:rPr>
          <w:rFonts w:hint="eastAsia"/>
          <w:rtl/>
        </w:rPr>
        <w:t>השיתוף</w:t>
      </w:r>
      <w:r w:rsidRPr="005F3AD9">
        <w:rPr>
          <w:rtl/>
        </w:rPr>
        <w:t xml:space="preserve"> </w:t>
      </w:r>
      <w:r w:rsidRPr="005F3AD9">
        <w:rPr>
          <w:rFonts w:hint="eastAsia"/>
          <w:rtl/>
        </w:rPr>
        <w:t>בדירה</w:t>
      </w:r>
      <w:r w:rsidRPr="005F3AD9">
        <w:rPr>
          <w:rtl/>
        </w:rPr>
        <w:t>,</w:t>
      </w:r>
      <w:r w:rsidRPr="005F3AD9">
        <w:rPr>
          <w:rFonts w:hint="cs"/>
          <w:rtl/>
        </w:rPr>
        <w:t xml:space="preserve"> והוסיף</w:t>
      </w:r>
      <w:r w:rsidRPr="005F3AD9">
        <w:rPr>
          <w:rtl/>
        </w:rPr>
        <w:t xml:space="preserve"> </w:t>
      </w:r>
      <w:r w:rsidRPr="005F3AD9">
        <w:rPr>
          <w:rFonts w:hint="cs"/>
          <w:rtl/>
        </w:rPr>
        <w:t>"</w:t>
      </w:r>
      <w:r w:rsidRPr="005F3AD9">
        <w:rPr>
          <w:rFonts w:hint="eastAsia"/>
          <w:rtl/>
        </w:rPr>
        <w:t>לענייננו</w:t>
      </w:r>
      <w:r w:rsidRPr="005F3AD9">
        <w:rPr>
          <w:rtl/>
        </w:rPr>
        <w:t xml:space="preserve"> </w:t>
      </w:r>
      <w:r w:rsidRPr="005F3AD9">
        <w:rPr>
          <w:rFonts w:hint="eastAsia"/>
          <w:rtl/>
        </w:rPr>
        <w:t>די</w:t>
      </w:r>
      <w:r w:rsidRPr="005F3AD9">
        <w:rPr>
          <w:rtl/>
        </w:rPr>
        <w:t xml:space="preserve"> </w:t>
      </w:r>
      <w:r w:rsidRPr="005F3AD9">
        <w:rPr>
          <w:rFonts w:hint="eastAsia"/>
          <w:rtl/>
        </w:rPr>
        <w:t>להניח</w:t>
      </w:r>
      <w:r w:rsidRPr="005F3AD9">
        <w:rPr>
          <w:rtl/>
        </w:rPr>
        <w:t xml:space="preserve"> </w:t>
      </w:r>
      <w:r w:rsidRPr="005F3AD9">
        <w:rPr>
          <w:rFonts w:hint="eastAsia"/>
          <w:rtl/>
        </w:rPr>
        <w:t>כי</w:t>
      </w:r>
      <w:r w:rsidRPr="005F3AD9">
        <w:rPr>
          <w:rtl/>
        </w:rPr>
        <w:t xml:space="preserve"> </w:t>
      </w:r>
      <w:r w:rsidRPr="005F3AD9">
        <w:rPr>
          <w:rFonts w:hint="eastAsia"/>
          <w:rtl/>
        </w:rPr>
        <w:t>קדמה</w:t>
      </w:r>
      <w:r w:rsidRPr="005F3AD9">
        <w:rPr>
          <w:rtl/>
        </w:rPr>
        <w:t xml:space="preserve"> </w:t>
      </w:r>
      <w:r w:rsidRPr="005F3AD9">
        <w:rPr>
          <w:rFonts w:hint="eastAsia"/>
          <w:rtl/>
        </w:rPr>
        <w:t>לרישום</w:t>
      </w:r>
      <w:r w:rsidRPr="005F3AD9">
        <w:rPr>
          <w:rtl/>
        </w:rPr>
        <w:t xml:space="preserve"> </w:t>
      </w:r>
      <w:r w:rsidRPr="005F3AD9">
        <w:rPr>
          <w:rFonts w:hint="eastAsia"/>
          <w:rtl/>
        </w:rPr>
        <w:t>המשכנתא</w:t>
      </w:r>
      <w:r w:rsidRPr="005F3AD9">
        <w:rPr>
          <w:rtl/>
        </w:rPr>
        <w:t xml:space="preserve"> </w:t>
      </w:r>
      <w:r w:rsidRPr="005F3AD9">
        <w:rPr>
          <w:rFonts w:hint="eastAsia"/>
          <w:rtl/>
        </w:rPr>
        <w:t>לטובת</w:t>
      </w:r>
      <w:r w:rsidRPr="005F3AD9">
        <w:rPr>
          <w:rtl/>
        </w:rPr>
        <w:t xml:space="preserve"> </w:t>
      </w:r>
      <w:r w:rsidRPr="005F3AD9">
        <w:rPr>
          <w:rFonts w:hint="eastAsia"/>
          <w:rtl/>
        </w:rPr>
        <w:t>המשיבה</w:t>
      </w:r>
      <w:r w:rsidRPr="005F3AD9">
        <w:rPr>
          <w:rtl/>
        </w:rPr>
        <w:t>" (</w:t>
      </w:r>
      <w:r w:rsidRPr="005F3AD9">
        <w:rPr>
          <w:rFonts w:hint="eastAsia"/>
          <w:rtl/>
        </w:rPr>
        <w:t>פסקה</w:t>
      </w:r>
      <w:r w:rsidRPr="005F3AD9">
        <w:rPr>
          <w:rtl/>
        </w:rPr>
        <w:t xml:space="preserve"> </w:t>
      </w:r>
      <w:r w:rsidRPr="005F3AD9">
        <w:rPr>
          <w:rFonts w:hint="eastAsia"/>
          <w:rtl/>
        </w:rPr>
        <w:t>ז</w:t>
      </w:r>
      <w:r w:rsidRPr="005F3AD9">
        <w:rPr>
          <w:rtl/>
        </w:rPr>
        <w:t xml:space="preserve">' </w:t>
      </w:r>
      <w:r w:rsidRPr="005F3AD9">
        <w:rPr>
          <w:rFonts w:hint="eastAsia"/>
          <w:rtl/>
        </w:rPr>
        <w:t>לחוות</w:t>
      </w:r>
      <w:r w:rsidRPr="005F3AD9">
        <w:rPr>
          <w:rtl/>
        </w:rPr>
        <w:t xml:space="preserve"> </w:t>
      </w:r>
      <w:r w:rsidRPr="005F3AD9">
        <w:rPr>
          <w:rFonts w:hint="eastAsia"/>
          <w:rtl/>
        </w:rPr>
        <w:t>דעתו</w:t>
      </w:r>
      <w:r w:rsidRPr="005F3AD9">
        <w:rPr>
          <w:rtl/>
        </w:rPr>
        <w:t xml:space="preserve">). </w:t>
      </w:r>
      <w:r w:rsidRPr="005F3AD9">
        <w:rPr>
          <w:rFonts w:hint="eastAsia"/>
          <w:rtl/>
        </w:rPr>
        <w:t>גם</w:t>
      </w:r>
      <w:r w:rsidRPr="005F3AD9">
        <w:rPr>
          <w:rtl/>
        </w:rPr>
        <w:t xml:space="preserve"> </w:t>
      </w:r>
      <w:r w:rsidRPr="005F3AD9">
        <w:rPr>
          <w:rFonts w:hint="eastAsia"/>
          <w:rtl/>
        </w:rPr>
        <w:t>בע</w:t>
      </w:r>
      <w:r w:rsidRPr="005F3AD9">
        <w:rPr>
          <w:rFonts w:hint="cs"/>
          <w:rtl/>
        </w:rPr>
        <w:t>"</w:t>
      </w:r>
      <w:r w:rsidRPr="005F3AD9">
        <w:rPr>
          <w:rFonts w:hint="eastAsia"/>
          <w:rtl/>
        </w:rPr>
        <w:t>א</w:t>
      </w:r>
      <w:r w:rsidRPr="005F3AD9">
        <w:rPr>
          <w:rtl/>
        </w:rPr>
        <w:t xml:space="preserve"> 7687/04 </w:t>
      </w:r>
      <w:r w:rsidRPr="005F3AD9">
        <w:rPr>
          <w:rFonts w:cs="Miriam" w:hint="eastAsia"/>
          <w:b/>
          <w:spacing w:val="0"/>
          <w:sz w:val="22"/>
          <w:szCs w:val="24"/>
          <w:rtl/>
        </w:rPr>
        <w:t>ששון</w:t>
      </w:r>
      <w:r w:rsidRPr="005F3AD9">
        <w:rPr>
          <w:rFonts w:cs="Miriam"/>
          <w:b/>
          <w:spacing w:val="0"/>
          <w:sz w:val="22"/>
          <w:szCs w:val="24"/>
          <w:rtl/>
        </w:rPr>
        <w:t xml:space="preserve"> </w:t>
      </w:r>
      <w:r w:rsidRPr="005F3AD9">
        <w:rPr>
          <w:rFonts w:cs="Miriam" w:hint="eastAsia"/>
          <w:b/>
          <w:spacing w:val="0"/>
          <w:sz w:val="22"/>
          <w:szCs w:val="24"/>
          <w:rtl/>
        </w:rPr>
        <w:t>נ</w:t>
      </w:r>
      <w:r w:rsidRPr="005F3AD9">
        <w:rPr>
          <w:rFonts w:cs="Miriam"/>
          <w:b/>
          <w:spacing w:val="0"/>
          <w:sz w:val="22"/>
          <w:szCs w:val="24"/>
          <w:rtl/>
        </w:rPr>
        <w:t xml:space="preserve">' </w:t>
      </w:r>
      <w:r w:rsidRPr="005F3AD9">
        <w:rPr>
          <w:rFonts w:cs="Miriam" w:hint="eastAsia"/>
          <w:b/>
          <w:spacing w:val="0"/>
          <w:sz w:val="22"/>
          <w:szCs w:val="24"/>
          <w:rtl/>
        </w:rPr>
        <w:t>ששון</w:t>
      </w:r>
      <w:r w:rsidRPr="005F3AD9">
        <w:rPr>
          <w:rtl/>
        </w:rPr>
        <w:t xml:space="preserve">, </w:t>
      </w:r>
      <w:r w:rsidRPr="005F3AD9">
        <w:rPr>
          <w:rFonts w:hint="cs"/>
          <w:rtl/>
        </w:rPr>
        <w:t xml:space="preserve">פ"ד </w:t>
      </w:r>
      <w:r w:rsidRPr="005F3AD9">
        <w:rPr>
          <w:rFonts w:hint="eastAsia"/>
          <w:rtl/>
        </w:rPr>
        <w:t>נט</w:t>
      </w:r>
      <w:r w:rsidRPr="005F3AD9">
        <w:rPr>
          <w:rtl/>
        </w:rPr>
        <w:t xml:space="preserve">(5) 596 </w:t>
      </w:r>
      <w:r w:rsidRPr="005F3AD9">
        <w:rPr>
          <w:rFonts w:hint="cs"/>
          <w:rtl/>
        </w:rPr>
        <w:t xml:space="preserve">(2005) </w:t>
      </w:r>
      <w:r w:rsidRPr="005F3AD9">
        <w:rPr>
          <w:rFonts w:hint="eastAsia"/>
          <w:rtl/>
        </w:rPr>
        <w:t>התייחס</w:t>
      </w:r>
      <w:r w:rsidRPr="005F3AD9">
        <w:rPr>
          <w:rtl/>
        </w:rPr>
        <w:t xml:space="preserve"> </w:t>
      </w:r>
      <w:r w:rsidRPr="005F3AD9">
        <w:rPr>
          <w:rFonts w:hint="eastAsia"/>
          <w:rtl/>
        </w:rPr>
        <w:t>בית</w:t>
      </w:r>
      <w:r w:rsidRPr="005F3AD9">
        <w:rPr>
          <w:rtl/>
        </w:rPr>
        <w:t xml:space="preserve"> </w:t>
      </w:r>
      <w:r w:rsidRPr="005F3AD9">
        <w:rPr>
          <w:rFonts w:hint="eastAsia"/>
          <w:rtl/>
        </w:rPr>
        <w:t>המשפט</w:t>
      </w:r>
      <w:r w:rsidRPr="005F3AD9">
        <w:rPr>
          <w:rtl/>
        </w:rPr>
        <w:t xml:space="preserve"> </w:t>
      </w:r>
      <w:r w:rsidRPr="005F3AD9">
        <w:rPr>
          <w:rFonts w:hint="eastAsia"/>
          <w:rtl/>
        </w:rPr>
        <w:t>ל</w:t>
      </w:r>
      <w:r w:rsidRPr="005F3AD9">
        <w:rPr>
          <w:rtl/>
        </w:rPr>
        <w:t>"</w:t>
      </w:r>
      <w:r w:rsidRPr="005F3AD9">
        <w:rPr>
          <w:rFonts w:hint="eastAsia"/>
          <w:rtl/>
        </w:rPr>
        <w:t>הסכמה</w:t>
      </w:r>
      <w:r w:rsidRPr="005F3AD9">
        <w:rPr>
          <w:rtl/>
        </w:rPr>
        <w:t xml:space="preserve"> </w:t>
      </w:r>
      <w:r w:rsidRPr="005F3AD9">
        <w:rPr>
          <w:rFonts w:hint="eastAsia"/>
          <w:rtl/>
        </w:rPr>
        <w:t>בין</w:t>
      </w:r>
      <w:r w:rsidRPr="005F3AD9">
        <w:rPr>
          <w:rtl/>
        </w:rPr>
        <w:t xml:space="preserve"> </w:t>
      </w:r>
      <w:r w:rsidRPr="005F3AD9">
        <w:rPr>
          <w:rFonts w:hint="eastAsia"/>
          <w:rtl/>
        </w:rPr>
        <w:t>בני</w:t>
      </w:r>
      <w:r w:rsidRPr="005F3AD9">
        <w:rPr>
          <w:rtl/>
        </w:rPr>
        <w:t>-</w:t>
      </w:r>
      <w:r w:rsidRPr="005F3AD9">
        <w:rPr>
          <w:rFonts w:hint="eastAsia"/>
          <w:rtl/>
        </w:rPr>
        <w:t>הזוג</w:t>
      </w:r>
      <w:r w:rsidRPr="005F3AD9">
        <w:rPr>
          <w:rtl/>
        </w:rPr>
        <w:t xml:space="preserve"> </w:t>
      </w:r>
      <w:r w:rsidRPr="005F3AD9">
        <w:rPr>
          <w:rFonts w:hint="eastAsia"/>
          <w:rtl/>
        </w:rPr>
        <w:t>על</w:t>
      </w:r>
      <w:r w:rsidRPr="005F3AD9">
        <w:rPr>
          <w:rtl/>
        </w:rPr>
        <w:t xml:space="preserve"> </w:t>
      </w:r>
      <w:r w:rsidRPr="005F3AD9">
        <w:rPr>
          <w:rFonts w:hint="eastAsia"/>
          <w:rtl/>
        </w:rPr>
        <w:t>יצירת</w:t>
      </w:r>
      <w:r w:rsidRPr="005F3AD9">
        <w:rPr>
          <w:rtl/>
        </w:rPr>
        <w:t xml:space="preserve"> </w:t>
      </w:r>
      <w:r w:rsidRPr="005F3AD9">
        <w:rPr>
          <w:rFonts w:hint="eastAsia"/>
          <w:rtl/>
        </w:rPr>
        <w:t>שיתוף</w:t>
      </w:r>
      <w:r w:rsidRPr="005F3AD9">
        <w:rPr>
          <w:rtl/>
        </w:rPr>
        <w:t xml:space="preserve"> </w:t>
      </w:r>
      <w:r w:rsidRPr="005F3AD9">
        <w:rPr>
          <w:rFonts w:hint="eastAsia"/>
          <w:rtl/>
        </w:rPr>
        <w:t>בנכס</w:t>
      </w:r>
      <w:r w:rsidRPr="005F3AD9">
        <w:rPr>
          <w:rtl/>
        </w:rPr>
        <w:t xml:space="preserve"> </w:t>
      </w:r>
      <w:r w:rsidRPr="005F3AD9">
        <w:rPr>
          <w:rFonts w:hint="eastAsia"/>
          <w:rtl/>
        </w:rPr>
        <w:t>ספציפי</w:t>
      </w:r>
      <w:r w:rsidRPr="005F3AD9">
        <w:rPr>
          <w:rtl/>
        </w:rPr>
        <w:t xml:space="preserve"> </w:t>
      </w:r>
      <w:r w:rsidRPr="005F3AD9">
        <w:rPr>
          <w:rFonts w:cs="Miriam" w:hint="eastAsia"/>
          <w:b/>
          <w:spacing w:val="0"/>
          <w:sz w:val="22"/>
          <w:szCs w:val="24"/>
          <w:rtl/>
        </w:rPr>
        <w:t>במהלך</w:t>
      </w:r>
      <w:r w:rsidRPr="005F3AD9">
        <w:rPr>
          <w:rFonts w:cs="Miriam"/>
          <w:b/>
          <w:spacing w:val="0"/>
          <w:sz w:val="22"/>
          <w:szCs w:val="24"/>
          <w:rtl/>
        </w:rPr>
        <w:t xml:space="preserve"> </w:t>
      </w:r>
      <w:r w:rsidRPr="005F3AD9">
        <w:rPr>
          <w:rFonts w:cs="Miriam" w:hint="eastAsia"/>
          <w:b/>
          <w:spacing w:val="0"/>
          <w:sz w:val="22"/>
          <w:szCs w:val="24"/>
          <w:rtl/>
        </w:rPr>
        <w:t>החיים</w:t>
      </w:r>
      <w:r w:rsidRPr="005F3AD9">
        <w:rPr>
          <w:rFonts w:cs="Miriam"/>
          <w:b/>
          <w:spacing w:val="0"/>
          <w:sz w:val="22"/>
          <w:szCs w:val="24"/>
          <w:rtl/>
        </w:rPr>
        <w:t xml:space="preserve"> </w:t>
      </w:r>
      <w:r w:rsidRPr="005F3AD9">
        <w:rPr>
          <w:rFonts w:cs="Miriam" w:hint="eastAsia"/>
          <w:b/>
          <w:spacing w:val="0"/>
          <w:sz w:val="22"/>
          <w:szCs w:val="24"/>
          <w:rtl/>
        </w:rPr>
        <w:t>המשותפים</w:t>
      </w:r>
      <w:r w:rsidRPr="005F3AD9">
        <w:rPr>
          <w:rtl/>
        </w:rPr>
        <w:t>" (</w:t>
      </w:r>
      <w:r w:rsidRPr="005F3AD9">
        <w:rPr>
          <w:rFonts w:hint="eastAsia"/>
          <w:rtl/>
        </w:rPr>
        <w:t>בעמ</w:t>
      </w:r>
      <w:r w:rsidRPr="005F3AD9">
        <w:rPr>
          <w:rtl/>
        </w:rPr>
        <w:t>' 613</w:t>
      </w:r>
      <w:r w:rsidRPr="005F3AD9">
        <w:rPr>
          <w:rFonts w:hint="cs"/>
          <w:rtl/>
        </w:rPr>
        <w:t xml:space="preserve">; </w:t>
      </w:r>
      <w:r>
        <w:rPr>
          <w:rFonts w:hint="cs"/>
          <w:rtl/>
        </w:rPr>
        <w:t>ה</w:t>
      </w:r>
      <w:r w:rsidRPr="005F3AD9">
        <w:rPr>
          <w:rFonts w:hint="cs"/>
          <w:rtl/>
        </w:rPr>
        <w:t>הדגשה הוספה</w:t>
      </w:r>
      <w:r w:rsidRPr="005F3AD9">
        <w:rPr>
          <w:rtl/>
        </w:rPr>
        <w:t>)</w:t>
      </w:r>
      <w:r w:rsidRPr="005F3AD9">
        <w:rPr>
          <w:rFonts w:hint="cs"/>
          <w:rtl/>
        </w:rPr>
        <w:t xml:space="preserve">, בלא לקבוע מועד ספציפי בו התגבשה </w:t>
      </w:r>
      <w:r>
        <w:rPr>
          <w:rFonts w:hint="cs"/>
          <w:rtl/>
        </w:rPr>
        <w:t>ה</w:t>
      </w:r>
      <w:r w:rsidRPr="005F3AD9">
        <w:rPr>
          <w:rFonts w:hint="cs"/>
          <w:rtl/>
        </w:rPr>
        <w:t>הסכמה.</w:t>
      </w:r>
    </w:p>
    <w:p w:rsidR="00FA3A86" w:rsidRPr="005F3AD9" w:rsidRDefault="00FA3A86" w:rsidP="00FA3A86">
      <w:pPr>
        <w:pStyle w:val="Ruller41"/>
        <w:rPr>
          <w:rtl/>
        </w:rPr>
      </w:pPr>
    </w:p>
    <w:p w:rsidR="00FA3A86" w:rsidRPr="005F3AD9" w:rsidRDefault="00FA3A86" w:rsidP="00FA3A86">
      <w:pPr>
        <w:pStyle w:val="Ruller4"/>
        <w:rPr>
          <w:rFonts w:ascii="Arial TUR" w:hAnsi="Arial TUR"/>
        </w:rPr>
      </w:pPr>
      <w:r>
        <w:rPr>
          <w:rFonts w:hint="cs"/>
          <w:rtl/>
        </w:rPr>
        <w:t xml:space="preserve">הדין הכללי משמיע לנו כי </w:t>
      </w:r>
      <w:r w:rsidRPr="005F3AD9">
        <w:rPr>
          <w:rFonts w:hint="cs"/>
          <w:rtl/>
        </w:rPr>
        <w:t xml:space="preserve">מקום שבו התגבשה זכות בעלות משותפת בנכס, כלל הוא כי הזכות אינה מתגבשת "על תנאי", ואין בכוחו של אירוע מאוחר לשלול אותה או לפגוע בתוקפה: </w:t>
      </w:r>
    </w:p>
    <w:p w:rsidR="00FA3A86" w:rsidRPr="005F3AD9" w:rsidRDefault="00FA3A86" w:rsidP="00FA3A86">
      <w:pPr>
        <w:tabs>
          <w:tab w:val="left" w:pos="800"/>
        </w:tabs>
        <w:jc w:val="both"/>
        <w:rPr>
          <w:rFonts w:ascii="Arial TUR" w:hAnsi="Arial TUR"/>
          <w:rtl/>
        </w:rPr>
      </w:pPr>
    </w:p>
    <w:p w:rsidR="00FA3A86" w:rsidRDefault="00FA3A86" w:rsidP="00FA3A86">
      <w:pPr>
        <w:ind w:left="1644" w:right="1276"/>
        <w:jc w:val="both"/>
        <w:rPr>
          <w:rtl/>
        </w:rPr>
      </w:pPr>
      <w:r w:rsidRPr="0046145D">
        <w:rPr>
          <w:rFonts w:ascii="Garamond" w:hAnsi="Garamond" w:cs="FrankRuehl"/>
          <w:spacing w:val="10"/>
          <w:sz w:val="24"/>
          <w:szCs w:val="28"/>
          <w:rtl/>
        </w:rPr>
        <w:t>"</w:t>
      </w:r>
      <w:r w:rsidRPr="00AE3619">
        <w:rPr>
          <w:rFonts w:ascii="Garamond" w:hAnsi="Garamond" w:cs="FrankRuehl" w:hint="eastAsia"/>
          <w:spacing w:val="10"/>
          <w:sz w:val="24"/>
          <w:szCs w:val="28"/>
          <w:rtl/>
        </w:rPr>
        <w:t>תוקפה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של</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הבעלות</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הוא</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לעולם</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מוחלט</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במובן</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זה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שהיא</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אינה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יכולה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להיות</w:t>
      </w:r>
      <w:r w:rsidRPr="00AE3619">
        <w:rPr>
          <w:rFonts w:ascii="Garamond" w:hAnsi="Garamond" w:cs="FrankRuehl"/>
          <w:spacing w:val="10"/>
          <w:sz w:val="24"/>
          <w:szCs w:val="28"/>
          <w:rtl/>
        </w:rPr>
        <w:t xml:space="preserve"> </w:t>
      </w:r>
      <w:proofErr w:type="spellStart"/>
      <w:r w:rsidRPr="00AE3619">
        <w:rPr>
          <w:rFonts w:ascii="Garamond" w:hAnsi="Garamond" w:cs="FrankRuehl" w:hint="eastAsia"/>
          <w:spacing w:val="10"/>
          <w:sz w:val="24"/>
          <w:szCs w:val="28"/>
          <w:rtl/>
        </w:rPr>
        <w:t>מותלית</w:t>
      </w:r>
      <w:proofErr w:type="spellEnd"/>
      <w:r w:rsidRPr="00AE3619">
        <w:rPr>
          <w:rFonts w:ascii="Garamond" w:hAnsi="Garamond" w:cs="FrankRuehl"/>
          <w:spacing w:val="10"/>
          <w:sz w:val="24"/>
          <w:szCs w:val="28"/>
          <w:rtl/>
        </w:rPr>
        <w:t xml:space="preserve">. [...] </w:t>
      </w:r>
      <w:r w:rsidRPr="00AE3619">
        <w:rPr>
          <w:rFonts w:ascii="Garamond" w:hAnsi="Garamond" w:cs="FrankRuehl" w:hint="eastAsia"/>
          <w:spacing w:val="10"/>
          <w:sz w:val="24"/>
          <w:szCs w:val="28"/>
          <w:rtl/>
        </w:rPr>
        <w:t>לא</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ייתכן</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שתוקפה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של</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הבעלות</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משעה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ששוכללה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בדרכי</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השכלול</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שבדין</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יהיה</w:t>
      </w:r>
      <w:r w:rsidRPr="00AE3619">
        <w:rPr>
          <w:rFonts w:ascii="Garamond" w:hAnsi="Garamond" w:cs="FrankRuehl"/>
          <w:spacing w:val="10"/>
          <w:sz w:val="24"/>
          <w:szCs w:val="28"/>
          <w:rtl/>
        </w:rPr>
        <w:t xml:space="preserve"> </w:t>
      </w:r>
      <w:proofErr w:type="spellStart"/>
      <w:r w:rsidRPr="00AE3619">
        <w:rPr>
          <w:rFonts w:ascii="Garamond" w:hAnsi="Garamond" w:cs="FrankRuehl" w:hint="eastAsia"/>
          <w:spacing w:val="10"/>
          <w:sz w:val="24"/>
          <w:szCs w:val="28"/>
          <w:rtl/>
        </w:rPr>
        <w:t>מותלה</w:t>
      </w:r>
      <w:proofErr w:type="spellEnd"/>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בכך</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שיתקיים</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אירוע</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או</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תנאי</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מסוים</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או</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כי</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היא</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תפקע</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במקרה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כאמור</w:t>
      </w:r>
      <w:r w:rsidRPr="00AE3619">
        <w:rPr>
          <w:rFonts w:ascii="Garamond" w:hAnsi="Garamond" w:cs="FrankRuehl"/>
          <w:spacing w:val="10"/>
          <w:sz w:val="24"/>
          <w:szCs w:val="28"/>
          <w:rtl/>
        </w:rPr>
        <w:t xml:space="preserve">. [...] </w:t>
      </w:r>
      <w:r w:rsidRPr="00AE3619">
        <w:rPr>
          <w:rFonts w:ascii="Garamond" w:hAnsi="Garamond" w:cs="FrankRuehl" w:hint="eastAsia"/>
          <w:spacing w:val="10"/>
          <w:sz w:val="24"/>
          <w:szCs w:val="28"/>
          <w:rtl/>
        </w:rPr>
        <w:t>לא</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ייתכן</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כי</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אדם</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יהיה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במעמד</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של</w:t>
      </w:r>
      <w:r w:rsidRPr="00AE3619">
        <w:rPr>
          <w:rFonts w:ascii="Garamond" w:hAnsi="Garamond" w:cs="FrankRuehl"/>
          <w:spacing w:val="10"/>
          <w:sz w:val="24"/>
          <w:szCs w:val="28"/>
          <w:rtl/>
        </w:rPr>
        <w:t xml:space="preserve"> </w:t>
      </w:r>
      <w:r w:rsidRPr="00AE3619">
        <w:rPr>
          <w:rFonts w:ascii="Garamond" w:hAnsi="Garamond" w:cs="FrankRuehl" w:hint="cs"/>
          <w:spacing w:val="10"/>
          <w:sz w:val="24"/>
          <w:szCs w:val="28"/>
          <w:rtl/>
        </w:rPr>
        <w:t>'</w:t>
      </w:r>
      <w:r w:rsidRPr="00AE3619">
        <w:rPr>
          <w:rFonts w:ascii="Garamond" w:hAnsi="Garamond" w:cs="FrankRuehl" w:hint="eastAsia"/>
          <w:spacing w:val="10"/>
          <w:sz w:val="24"/>
          <w:szCs w:val="28"/>
          <w:rtl/>
        </w:rPr>
        <w:t>בעלים</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זמני</w:t>
      </w:r>
      <w:r w:rsidRPr="00AE3619">
        <w:rPr>
          <w:rFonts w:ascii="Garamond" w:hAnsi="Garamond" w:cs="FrankRuehl" w:hint="cs"/>
          <w:spacing w:val="10"/>
          <w:sz w:val="24"/>
          <w:szCs w:val="28"/>
          <w:rtl/>
        </w:rPr>
        <w:t>'</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על</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נכס</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מעמד</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מעין</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זה</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אינ</w:t>
      </w:r>
      <w:r>
        <w:rPr>
          <w:rFonts w:ascii="Garamond" w:hAnsi="Garamond" w:cs="FrankRuehl" w:hint="cs"/>
          <w:spacing w:val="10"/>
          <w:sz w:val="24"/>
          <w:szCs w:val="28"/>
          <w:rtl/>
        </w:rPr>
        <w:t>ו</w:t>
      </w:r>
      <w:r w:rsidRPr="00AE3619">
        <w:rPr>
          <w:rFonts w:ascii="Garamond" w:hAnsi="Garamond" w:cs="FrankRuehl"/>
          <w:spacing w:val="10"/>
          <w:sz w:val="24"/>
          <w:szCs w:val="28"/>
          <w:rtl/>
        </w:rPr>
        <w:t xml:space="preserve"> </w:t>
      </w:r>
      <w:r w:rsidRPr="00AE3619">
        <w:rPr>
          <w:rFonts w:ascii="Garamond" w:hAnsi="Garamond" w:cs="FrankRuehl" w:hint="eastAsia"/>
          <w:spacing w:val="10"/>
          <w:sz w:val="24"/>
          <w:szCs w:val="28"/>
          <w:rtl/>
        </w:rPr>
        <w:t>מוכר</w:t>
      </w:r>
      <w:r w:rsidRPr="00AE3619">
        <w:rPr>
          <w:rFonts w:ascii="Garamond" w:hAnsi="Garamond" w:cs="FrankRuehl"/>
          <w:spacing w:val="10"/>
          <w:sz w:val="24"/>
          <w:szCs w:val="28"/>
          <w:rtl/>
        </w:rPr>
        <w:t>" (</w:t>
      </w:r>
      <w:proofErr w:type="spellStart"/>
      <w:r w:rsidRPr="009F15F0">
        <w:rPr>
          <w:rFonts w:ascii="Garamond" w:hAnsi="Garamond" w:cs="FrankRuehl" w:hint="eastAsia"/>
          <w:spacing w:val="10"/>
          <w:sz w:val="24"/>
          <w:szCs w:val="28"/>
          <w:rtl/>
        </w:rPr>
        <w:t>מיגל</w:t>
      </w:r>
      <w:proofErr w:type="spellEnd"/>
      <w:r w:rsidRPr="009F15F0">
        <w:rPr>
          <w:rFonts w:ascii="Garamond" w:hAnsi="Garamond" w:cs="FrankRuehl"/>
          <w:spacing w:val="10"/>
          <w:sz w:val="24"/>
          <w:szCs w:val="28"/>
          <w:rtl/>
        </w:rPr>
        <w:t xml:space="preserve"> </w:t>
      </w:r>
      <w:proofErr w:type="spellStart"/>
      <w:r w:rsidRPr="009F15F0">
        <w:rPr>
          <w:rFonts w:ascii="Garamond" w:hAnsi="Garamond" w:cs="FrankRuehl" w:hint="eastAsia"/>
          <w:spacing w:val="10"/>
          <w:sz w:val="24"/>
          <w:szCs w:val="28"/>
          <w:rtl/>
        </w:rPr>
        <w:t>דויטש</w:t>
      </w:r>
      <w:proofErr w:type="spellEnd"/>
      <w:r w:rsidRPr="009F15F0">
        <w:rPr>
          <w:rFonts w:ascii="Garamond" w:hAnsi="Garamond" w:cs="FrankRuehl"/>
          <w:spacing w:val="10"/>
          <w:sz w:val="24"/>
          <w:szCs w:val="28"/>
          <w:rtl/>
        </w:rPr>
        <w:t xml:space="preserve"> </w:t>
      </w:r>
      <w:r w:rsidRPr="009F15F0">
        <w:rPr>
          <w:rFonts w:ascii="Garamond" w:hAnsi="Garamond" w:cs="Miriam" w:hint="eastAsia"/>
          <w:spacing w:val="10"/>
          <w:sz w:val="22"/>
          <w:rtl/>
        </w:rPr>
        <w:t>קניין</w:t>
      </w:r>
      <w:r w:rsidRPr="009F15F0">
        <w:rPr>
          <w:rFonts w:ascii="Garamond" w:hAnsi="Garamond" w:cs="Miriam"/>
          <w:spacing w:val="10"/>
          <w:sz w:val="22"/>
          <w:rtl/>
        </w:rPr>
        <w:t xml:space="preserve">: </w:t>
      </w:r>
      <w:r w:rsidRPr="009F15F0">
        <w:rPr>
          <w:rFonts w:ascii="Garamond" w:hAnsi="Garamond" w:cs="Miriam" w:hint="eastAsia"/>
          <w:spacing w:val="10"/>
          <w:sz w:val="22"/>
          <w:rtl/>
        </w:rPr>
        <w:t>כרך</w:t>
      </w:r>
      <w:r w:rsidRPr="009F15F0">
        <w:rPr>
          <w:rFonts w:ascii="Garamond" w:hAnsi="Garamond" w:cs="Miriam"/>
          <w:spacing w:val="10"/>
          <w:sz w:val="22"/>
          <w:rtl/>
        </w:rPr>
        <w:t xml:space="preserve"> </w:t>
      </w:r>
      <w:r w:rsidRPr="009F15F0">
        <w:rPr>
          <w:rFonts w:ascii="Garamond" w:hAnsi="Garamond" w:cs="Miriam" w:hint="eastAsia"/>
          <w:spacing w:val="10"/>
          <w:sz w:val="22"/>
          <w:rtl/>
        </w:rPr>
        <w:t>א</w:t>
      </w:r>
      <w:r w:rsidRPr="009F15F0">
        <w:rPr>
          <w:rFonts w:ascii="Garamond" w:hAnsi="Garamond" w:cs="FrankRuehl"/>
          <w:spacing w:val="10"/>
          <w:sz w:val="24"/>
          <w:szCs w:val="28"/>
          <w:rtl/>
        </w:rPr>
        <w:t xml:space="preserve"> 107 (1997)</w:t>
      </w:r>
      <w:r w:rsidRPr="00AE3619">
        <w:rPr>
          <w:rFonts w:ascii="Garamond" w:hAnsi="Garamond" w:cs="FrankRuehl" w:hint="cs"/>
          <w:spacing w:val="10"/>
          <w:sz w:val="24"/>
          <w:szCs w:val="28"/>
          <w:rtl/>
        </w:rPr>
        <w:t>).</w:t>
      </w:r>
    </w:p>
    <w:p w:rsidR="00FA3A86" w:rsidRDefault="00FA3A86" w:rsidP="00FA3A86">
      <w:pPr>
        <w:ind w:left="1644" w:right="1276"/>
        <w:jc w:val="both"/>
        <w:rPr>
          <w:rtl/>
        </w:rPr>
      </w:pPr>
    </w:p>
    <w:p w:rsidR="00FA3A86" w:rsidRPr="005F3AD9" w:rsidRDefault="00FA3A86" w:rsidP="00FA3A86">
      <w:pPr>
        <w:ind w:left="1644" w:right="1276"/>
        <w:jc w:val="both"/>
        <w:rPr>
          <w:rtl/>
        </w:rPr>
      </w:pPr>
    </w:p>
    <w:p w:rsidR="00FA3A86" w:rsidRDefault="00FA3A86" w:rsidP="00FA3A86">
      <w:pPr>
        <w:pStyle w:val="Ruller4"/>
        <w:numPr>
          <w:ilvl w:val="0"/>
          <w:numId w:val="0"/>
        </w:numPr>
        <w:rPr>
          <w:rFonts w:ascii="Century" w:hAnsi="Century"/>
          <w:rtl/>
        </w:rPr>
      </w:pPr>
      <w:r w:rsidRPr="005F3AD9">
        <w:rPr>
          <w:rtl/>
        </w:rPr>
        <w:lastRenderedPageBreak/>
        <w:tab/>
      </w:r>
      <w:r w:rsidRPr="005F3AD9">
        <w:rPr>
          <w:rFonts w:hint="cs"/>
          <w:rtl/>
        </w:rPr>
        <w:t xml:space="preserve">בהתאמה </w:t>
      </w:r>
      <w:r>
        <w:rPr>
          <w:rFonts w:hint="cs"/>
          <w:rtl/>
        </w:rPr>
        <w:t>לכך</w:t>
      </w:r>
      <w:r w:rsidRPr="005F3AD9">
        <w:rPr>
          <w:rFonts w:hint="cs"/>
          <w:rtl/>
        </w:rPr>
        <w:t>, נפסק זה מכבר כי אי-נאמנות מינית אינה מהווה נסיבה שיש בכוחה לשלול בדיעבד זכויות שהתגבשו. כך ב</w:t>
      </w:r>
      <w:r w:rsidRPr="005F3AD9">
        <w:rPr>
          <w:rFonts w:ascii="Century" w:hAnsi="Century" w:hint="cs"/>
          <w:sz w:val="20"/>
          <w:rtl/>
        </w:rPr>
        <w:t xml:space="preserve">ע"א 264/77 </w:t>
      </w:r>
      <w:r w:rsidRPr="005F3AD9">
        <w:rPr>
          <w:rFonts w:ascii="Century" w:hAnsi="Century" w:cs="Miriam" w:hint="cs"/>
          <w:b/>
          <w:spacing w:val="0"/>
          <w:szCs w:val="24"/>
          <w:rtl/>
        </w:rPr>
        <w:t>דרור נ' דרור</w:t>
      </w:r>
      <w:r w:rsidRPr="005F3AD9">
        <w:rPr>
          <w:rFonts w:ascii="Century" w:hAnsi="Century" w:hint="cs"/>
          <w:sz w:val="20"/>
          <w:rtl/>
        </w:rPr>
        <w:t>, פ"ד לב(1) 829, 832 (1978)</w:t>
      </w:r>
      <w:r>
        <w:rPr>
          <w:rFonts w:hint="cs"/>
          <w:rtl/>
        </w:rPr>
        <w:t xml:space="preserve"> אשר עסק בחזקת השיתוף,</w:t>
      </w:r>
      <w:r w:rsidRPr="005F3AD9">
        <w:rPr>
          <w:rFonts w:hint="cs"/>
          <w:rtl/>
        </w:rPr>
        <w:t xml:space="preserve"> </w:t>
      </w:r>
      <w:r>
        <w:rPr>
          <w:rFonts w:hint="cs"/>
          <w:rtl/>
        </w:rPr>
        <w:t>נ</w:t>
      </w:r>
      <w:r w:rsidRPr="005F3AD9">
        <w:rPr>
          <w:rFonts w:hint="cs"/>
          <w:rtl/>
        </w:rPr>
        <w:t>קבע כי "נ</w:t>
      </w:r>
      <w:r w:rsidRPr="005F3AD9">
        <w:rPr>
          <w:rFonts w:hint="eastAsia"/>
          <w:rtl/>
        </w:rPr>
        <w:t>טישת</w:t>
      </w:r>
      <w:r w:rsidRPr="005F3AD9">
        <w:rPr>
          <w:rtl/>
        </w:rPr>
        <w:t xml:space="preserve"> </w:t>
      </w:r>
      <w:r w:rsidRPr="005F3AD9">
        <w:rPr>
          <w:rFonts w:hint="eastAsia"/>
          <w:rtl/>
        </w:rPr>
        <w:t>הבית</w:t>
      </w:r>
      <w:r w:rsidRPr="005F3AD9">
        <w:rPr>
          <w:rtl/>
        </w:rPr>
        <w:t xml:space="preserve"> </w:t>
      </w:r>
      <w:r w:rsidRPr="005F3AD9">
        <w:rPr>
          <w:rFonts w:hint="eastAsia"/>
          <w:rtl/>
        </w:rPr>
        <w:t>או</w:t>
      </w:r>
      <w:r w:rsidRPr="005F3AD9">
        <w:rPr>
          <w:rtl/>
        </w:rPr>
        <w:t xml:space="preserve"> </w:t>
      </w:r>
      <w:r w:rsidRPr="005F3AD9">
        <w:rPr>
          <w:rFonts w:hint="eastAsia"/>
          <w:rtl/>
        </w:rPr>
        <w:t>בגידה</w:t>
      </w:r>
      <w:r w:rsidRPr="005F3AD9">
        <w:rPr>
          <w:rtl/>
        </w:rPr>
        <w:t xml:space="preserve"> </w:t>
      </w:r>
      <w:r w:rsidRPr="005F3AD9">
        <w:rPr>
          <w:rFonts w:hint="eastAsia"/>
          <w:rtl/>
        </w:rPr>
        <w:t>עשויות</w:t>
      </w:r>
      <w:r w:rsidRPr="005F3AD9">
        <w:rPr>
          <w:rtl/>
        </w:rPr>
        <w:t xml:space="preserve"> </w:t>
      </w:r>
      <w:r w:rsidRPr="005F3AD9">
        <w:rPr>
          <w:rFonts w:hint="eastAsia"/>
          <w:rtl/>
        </w:rPr>
        <w:t>ליצור</w:t>
      </w:r>
      <w:r w:rsidRPr="005F3AD9">
        <w:rPr>
          <w:rtl/>
        </w:rPr>
        <w:t xml:space="preserve"> </w:t>
      </w:r>
      <w:r w:rsidRPr="005F3AD9">
        <w:rPr>
          <w:rFonts w:hint="eastAsia"/>
          <w:rtl/>
        </w:rPr>
        <w:t>קרע</w:t>
      </w:r>
      <w:r w:rsidRPr="005F3AD9">
        <w:rPr>
          <w:rtl/>
        </w:rPr>
        <w:t xml:space="preserve"> </w:t>
      </w:r>
      <w:r w:rsidRPr="005F3AD9">
        <w:rPr>
          <w:rFonts w:hint="eastAsia"/>
          <w:rtl/>
        </w:rPr>
        <w:t>בין</w:t>
      </w:r>
      <w:r w:rsidRPr="005F3AD9">
        <w:rPr>
          <w:rtl/>
        </w:rPr>
        <w:t xml:space="preserve"> </w:t>
      </w:r>
      <w:r w:rsidRPr="005F3AD9">
        <w:rPr>
          <w:rFonts w:hint="eastAsia"/>
          <w:rtl/>
        </w:rPr>
        <w:t>בני</w:t>
      </w:r>
      <w:r w:rsidRPr="005F3AD9">
        <w:rPr>
          <w:rFonts w:hint="cs"/>
          <w:rtl/>
        </w:rPr>
        <w:t>-</w:t>
      </w:r>
      <w:r w:rsidRPr="005F3AD9">
        <w:rPr>
          <w:rFonts w:hint="eastAsia"/>
          <w:rtl/>
        </w:rPr>
        <w:t>הזוג</w:t>
      </w:r>
      <w:r w:rsidRPr="005F3AD9">
        <w:rPr>
          <w:rtl/>
        </w:rPr>
        <w:t xml:space="preserve"> </w:t>
      </w:r>
      <w:r w:rsidRPr="005F3AD9">
        <w:rPr>
          <w:rFonts w:hint="eastAsia"/>
          <w:rtl/>
        </w:rPr>
        <w:t>ובדרך</w:t>
      </w:r>
      <w:r w:rsidRPr="005F3AD9">
        <w:rPr>
          <w:rtl/>
        </w:rPr>
        <w:t xml:space="preserve"> </w:t>
      </w:r>
      <w:r w:rsidRPr="005F3AD9">
        <w:rPr>
          <w:rFonts w:hint="eastAsia"/>
          <w:rtl/>
        </w:rPr>
        <w:t>זו</w:t>
      </w:r>
      <w:r w:rsidRPr="005F3AD9">
        <w:rPr>
          <w:rtl/>
        </w:rPr>
        <w:t xml:space="preserve"> </w:t>
      </w:r>
      <w:r w:rsidRPr="005F3AD9">
        <w:rPr>
          <w:rFonts w:hint="eastAsia"/>
          <w:rtl/>
        </w:rPr>
        <w:t>לשים</w:t>
      </w:r>
      <w:r w:rsidRPr="005F3AD9">
        <w:rPr>
          <w:rtl/>
        </w:rPr>
        <w:t xml:space="preserve"> </w:t>
      </w:r>
      <w:r w:rsidRPr="005F3AD9">
        <w:rPr>
          <w:rFonts w:hint="eastAsia"/>
          <w:rtl/>
        </w:rPr>
        <w:t>קץ</w:t>
      </w:r>
      <w:r w:rsidRPr="005F3AD9">
        <w:rPr>
          <w:rtl/>
        </w:rPr>
        <w:t xml:space="preserve"> </w:t>
      </w:r>
      <w:r w:rsidRPr="005F3AD9">
        <w:rPr>
          <w:rFonts w:hint="eastAsia"/>
          <w:rtl/>
        </w:rPr>
        <w:t>לשיתוף</w:t>
      </w:r>
      <w:r w:rsidRPr="005F3AD9">
        <w:rPr>
          <w:rtl/>
        </w:rPr>
        <w:t xml:space="preserve">, </w:t>
      </w:r>
      <w:r w:rsidRPr="005F3AD9">
        <w:rPr>
          <w:rFonts w:hint="eastAsia"/>
          <w:rtl/>
        </w:rPr>
        <w:t>אך</w:t>
      </w:r>
      <w:r w:rsidRPr="005F3AD9">
        <w:rPr>
          <w:rtl/>
        </w:rPr>
        <w:t xml:space="preserve"> </w:t>
      </w:r>
      <w:r w:rsidRPr="005F3AD9">
        <w:rPr>
          <w:rFonts w:hint="eastAsia"/>
          <w:rtl/>
        </w:rPr>
        <w:t>אין</w:t>
      </w:r>
      <w:r w:rsidRPr="005F3AD9">
        <w:rPr>
          <w:rtl/>
        </w:rPr>
        <w:t xml:space="preserve"> </w:t>
      </w:r>
      <w:r w:rsidRPr="005F3AD9">
        <w:rPr>
          <w:rFonts w:hint="eastAsia"/>
          <w:rtl/>
        </w:rPr>
        <w:t>נענשים</w:t>
      </w:r>
      <w:r w:rsidRPr="005F3AD9">
        <w:rPr>
          <w:rtl/>
        </w:rPr>
        <w:t xml:space="preserve"> </w:t>
      </w:r>
      <w:r w:rsidRPr="005F3AD9">
        <w:rPr>
          <w:rFonts w:hint="eastAsia"/>
          <w:rtl/>
        </w:rPr>
        <w:t>עליהן</w:t>
      </w:r>
      <w:r w:rsidRPr="005F3AD9">
        <w:rPr>
          <w:rtl/>
        </w:rPr>
        <w:t xml:space="preserve"> </w:t>
      </w:r>
      <w:r w:rsidRPr="005F3AD9">
        <w:rPr>
          <w:rFonts w:hint="eastAsia"/>
          <w:rtl/>
        </w:rPr>
        <w:t>למפרע</w:t>
      </w:r>
      <w:r w:rsidRPr="005F3AD9">
        <w:rPr>
          <w:rtl/>
        </w:rPr>
        <w:t xml:space="preserve"> </w:t>
      </w:r>
      <w:r w:rsidRPr="005F3AD9">
        <w:rPr>
          <w:rFonts w:hint="eastAsia"/>
          <w:rtl/>
        </w:rPr>
        <w:t>על</w:t>
      </w:r>
      <w:r w:rsidRPr="005F3AD9">
        <w:rPr>
          <w:rFonts w:hint="cs"/>
          <w:rtl/>
        </w:rPr>
        <w:t>-</w:t>
      </w:r>
      <w:r w:rsidRPr="005F3AD9">
        <w:rPr>
          <w:rFonts w:hint="eastAsia"/>
          <w:rtl/>
        </w:rPr>
        <w:t>ידי</w:t>
      </w:r>
      <w:r w:rsidRPr="005F3AD9">
        <w:rPr>
          <w:rtl/>
        </w:rPr>
        <w:t xml:space="preserve"> </w:t>
      </w:r>
      <w:r w:rsidRPr="005F3AD9">
        <w:rPr>
          <w:rFonts w:hint="eastAsia"/>
          <w:rtl/>
        </w:rPr>
        <w:t>נטילת</w:t>
      </w:r>
      <w:r w:rsidRPr="005F3AD9">
        <w:rPr>
          <w:rtl/>
        </w:rPr>
        <w:t xml:space="preserve"> </w:t>
      </w:r>
      <w:r w:rsidRPr="005F3AD9">
        <w:rPr>
          <w:rFonts w:hint="eastAsia"/>
          <w:rtl/>
        </w:rPr>
        <w:t>הזכויות</w:t>
      </w:r>
      <w:r w:rsidRPr="005F3AD9">
        <w:rPr>
          <w:rtl/>
        </w:rPr>
        <w:t xml:space="preserve"> </w:t>
      </w:r>
      <w:r w:rsidRPr="005F3AD9">
        <w:rPr>
          <w:rFonts w:hint="eastAsia"/>
          <w:rtl/>
        </w:rPr>
        <w:t>ברכוש</w:t>
      </w:r>
      <w:r w:rsidRPr="005F3AD9">
        <w:rPr>
          <w:rtl/>
        </w:rPr>
        <w:t xml:space="preserve"> </w:t>
      </w:r>
      <w:r w:rsidRPr="005F3AD9">
        <w:rPr>
          <w:rFonts w:hint="eastAsia"/>
          <w:rtl/>
        </w:rPr>
        <w:t>המשותף</w:t>
      </w:r>
      <w:r w:rsidRPr="005F3AD9">
        <w:rPr>
          <w:rFonts w:hint="cs"/>
          <w:rtl/>
        </w:rPr>
        <w:t>". פסקי דין נוספים שקדמו להתפתחותה של הלכת השיתוף הספציפי</w:t>
      </w:r>
      <w:r>
        <w:rPr>
          <w:rFonts w:hint="cs"/>
          <w:rtl/>
        </w:rPr>
        <w:t>,</w:t>
      </w:r>
      <w:r w:rsidRPr="005F3AD9">
        <w:rPr>
          <w:rFonts w:hint="cs"/>
          <w:rtl/>
        </w:rPr>
        <w:t xml:space="preserve"> ו</w:t>
      </w:r>
      <w:r>
        <w:rPr>
          <w:rFonts w:hint="cs"/>
          <w:rtl/>
        </w:rPr>
        <w:t xml:space="preserve">אשר </w:t>
      </w:r>
      <w:r w:rsidRPr="005F3AD9">
        <w:rPr>
          <w:rFonts w:hint="cs"/>
          <w:rtl/>
        </w:rPr>
        <w:t>התבססו על דיני המתנה האזרחיים ועל יישומם בהקשר המשפחתי</w:t>
      </w:r>
      <w:r>
        <w:rPr>
          <w:rFonts w:hint="cs"/>
          <w:rtl/>
        </w:rPr>
        <w:t>,</w:t>
      </w:r>
      <w:r w:rsidRPr="005F3AD9">
        <w:rPr>
          <w:rFonts w:hint="cs"/>
          <w:rtl/>
        </w:rPr>
        <w:t xml:space="preserve"> קבעו אף הם כי בהיעדר </w:t>
      </w:r>
      <w:r w:rsidRPr="00422503">
        <w:rPr>
          <w:rFonts w:hint="eastAsia"/>
          <w:rtl/>
        </w:rPr>
        <w:t>הסכמה</w:t>
      </w:r>
      <w:r w:rsidRPr="005F3AD9">
        <w:rPr>
          <w:rFonts w:hint="cs"/>
          <w:rtl/>
        </w:rPr>
        <w:t xml:space="preserve"> </w:t>
      </w:r>
      <w:r>
        <w:rPr>
          <w:rFonts w:hint="cs"/>
          <w:rtl/>
        </w:rPr>
        <w:t>ברורה</w:t>
      </w:r>
      <w:r w:rsidRPr="005F3AD9">
        <w:rPr>
          <w:rFonts w:hint="cs"/>
          <w:rtl/>
        </w:rPr>
        <w:t xml:space="preserve"> </w:t>
      </w:r>
      <w:r>
        <w:rPr>
          <w:rFonts w:hint="cs"/>
          <w:rtl/>
        </w:rPr>
        <w:t xml:space="preserve">בין </w:t>
      </w:r>
      <w:r w:rsidRPr="005F3AD9">
        <w:rPr>
          <w:rFonts w:hint="cs"/>
          <w:rtl/>
        </w:rPr>
        <w:t xml:space="preserve"> בני הזוג בנושא, בן זוג אינו מאבד זכויות בנכסים שקיבל במתנה במהלך הנישואין אף אם הוא האשם היחיד בפירוק הנישואין</w:t>
      </w:r>
      <w:r>
        <w:rPr>
          <w:rFonts w:hint="cs"/>
          <w:rtl/>
        </w:rPr>
        <w:t>.</w:t>
      </w:r>
      <w:r w:rsidRPr="005F3AD9">
        <w:rPr>
          <w:rFonts w:hint="cs"/>
          <w:rtl/>
        </w:rPr>
        <w:t xml:space="preserve"> </w:t>
      </w:r>
      <w:r>
        <w:rPr>
          <w:rFonts w:hint="cs"/>
          <w:rtl/>
        </w:rPr>
        <w:t>כך, ב</w:t>
      </w:r>
      <w:r w:rsidRPr="005F3AD9">
        <w:rPr>
          <w:rFonts w:hint="cs"/>
          <w:rtl/>
        </w:rPr>
        <w:t xml:space="preserve">ע"א 384/88 </w:t>
      </w:r>
      <w:proofErr w:type="spellStart"/>
      <w:r w:rsidRPr="005F3AD9">
        <w:rPr>
          <w:rFonts w:ascii="Century" w:hAnsi="Century" w:cs="Miriam" w:hint="cs"/>
          <w:b/>
          <w:szCs w:val="24"/>
          <w:rtl/>
        </w:rPr>
        <w:t>זיסרמן</w:t>
      </w:r>
      <w:proofErr w:type="spellEnd"/>
      <w:r w:rsidRPr="005F3AD9">
        <w:rPr>
          <w:rFonts w:ascii="Century" w:hAnsi="Century" w:cs="Miriam" w:hint="cs"/>
          <w:b/>
          <w:szCs w:val="24"/>
          <w:rtl/>
        </w:rPr>
        <w:t xml:space="preserve"> נ' </w:t>
      </w:r>
      <w:proofErr w:type="spellStart"/>
      <w:r w:rsidRPr="005F3AD9">
        <w:rPr>
          <w:rFonts w:ascii="Century" w:hAnsi="Century" w:cs="Miriam" w:hint="cs"/>
          <w:b/>
          <w:szCs w:val="24"/>
          <w:rtl/>
        </w:rPr>
        <w:t>זיסרמן</w:t>
      </w:r>
      <w:proofErr w:type="spellEnd"/>
      <w:r w:rsidRPr="005F3AD9">
        <w:rPr>
          <w:rFonts w:ascii="Century" w:hAnsi="Century" w:hint="cs"/>
          <w:rtl/>
        </w:rPr>
        <w:t xml:space="preserve">, פ"ד </w:t>
      </w:r>
      <w:r w:rsidRPr="005F3AD9">
        <w:rPr>
          <w:rFonts w:ascii="Century" w:hAnsi="Century" w:hint="eastAsia"/>
          <w:rtl/>
        </w:rPr>
        <w:t>מג</w:t>
      </w:r>
      <w:r w:rsidRPr="005F3AD9">
        <w:rPr>
          <w:rFonts w:ascii="Century" w:hAnsi="Century"/>
          <w:rtl/>
        </w:rPr>
        <w:t>(3) 205</w:t>
      </w:r>
      <w:r>
        <w:rPr>
          <w:rFonts w:ascii="Century" w:hAnsi="Century" w:hint="cs"/>
          <w:rtl/>
        </w:rPr>
        <w:t>, 208</w:t>
      </w:r>
      <w:r w:rsidRPr="005F3AD9">
        <w:rPr>
          <w:rFonts w:ascii="Century" w:hAnsi="Century" w:hint="cs"/>
          <w:rtl/>
        </w:rPr>
        <w:t xml:space="preserve"> (1989)</w:t>
      </w:r>
      <w:r>
        <w:rPr>
          <w:rFonts w:ascii="Century" w:hAnsi="Century" w:hint="cs"/>
          <w:rtl/>
        </w:rPr>
        <w:t xml:space="preserve"> נקבע:</w:t>
      </w:r>
    </w:p>
    <w:p w:rsidR="00FA3A86" w:rsidRDefault="00FA3A86" w:rsidP="00FA3A86">
      <w:pPr>
        <w:pStyle w:val="Ruller4"/>
        <w:numPr>
          <w:ilvl w:val="0"/>
          <w:numId w:val="0"/>
        </w:numPr>
        <w:rPr>
          <w:rFonts w:ascii="Century" w:hAnsi="Century"/>
          <w:rtl/>
        </w:rPr>
      </w:pPr>
    </w:p>
    <w:p w:rsidR="00FA3A86" w:rsidRDefault="00FA3A86" w:rsidP="00FA3A86">
      <w:pPr>
        <w:ind w:left="1644" w:right="1276"/>
        <w:jc w:val="both"/>
        <w:rPr>
          <w:rFonts w:ascii="Garamond" w:hAnsi="Garamond" w:cs="FrankRuehl"/>
          <w:spacing w:val="10"/>
          <w:sz w:val="24"/>
          <w:szCs w:val="28"/>
          <w:rtl/>
        </w:rPr>
      </w:pPr>
      <w:r w:rsidRPr="0046145D">
        <w:rPr>
          <w:rFonts w:ascii="Garamond" w:hAnsi="Garamond" w:cs="FrankRuehl" w:hint="cs"/>
          <w:spacing w:val="10"/>
          <w:sz w:val="24"/>
          <w:szCs w:val="28"/>
          <w:rtl/>
        </w:rPr>
        <w:t>"</w:t>
      </w:r>
      <w:r w:rsidRPr="0046145D">
        <w:rPr>
          <w:rFonts w:ascii="Garamond" w:hAnsi="Garamond" w:cs="FrankRuehl"/>
          <w:spacing w:val="10"/>
          <w:sz w:val="24"/>
          <w:szCs w:val="28"/>
          <w:rtl/>
        </w:rPr>
        <w:t>טיבן של מתנות שהן ניתנות בשעה שקיימות קירבה וחיבה בין המעניק למקבל. הסקתו של תנאי מפסיק מכללא במתנה בין בני</w:t>
      </w:r>
      <w:r w:rsidRPr="0046145D">
        <w:rPr>
          <w:rFonts w:ascii="Garamond" w:hAnsi="Garamond" w:cs="FrankRuehl" w:hint="cs"/>
          <w:spacing w:val="10"/>
          <w:sz w:val="24"/>
          <w:szCs w:val="28"/>
          <w:rtl/>
        </w:rPr>
        <w:t>-</w:t>
      </w:r>
      <w:r w:rsidRPr="0046145D">
        <w:rPr>
          <w:rFonts w:ascii="Garamond" w:hAnsi="Garamond" w:cs="FrankRuehl"/>
          <w:spacing w:val="10"/>
          <w:sz w:val="24"/>
          <w:szCs w:val="28"/>
          <w:rtl/>
        </w:rPr>
        <w:t>זוג הייתה הופכת כמעט כל מתנה להדירה</w:t>
      </w:r>
      <w:r w:rsidRPr="0046145D">
        <w:rPr>
          <w:rFonts w:ascii="Garamond" w:hAnsi="Garamond" w:cs="FrankRuehl" w:hint="cs"/>
          <w:spacing w:val="10"/>
          <w:sz w:val="24"/>
          <w:szCs w:val="28"/>
          <w:rtl/>
        </w:rPr>
        <w:t xml:space="preserve">, </w:t>
      </w:r>
      <w:r w:rsidRPr="0046145D">
        <w:rPr>
          <w:rFonts w:ascii="Garamond" w:hAnsi="Garamond" w:cs="FrankRuehl"/>
          <w:spacing w:val="10"/>
          <w:sz w:val="24"/>
          <w:szCs w:val="28"/>
          <w:rtl/>
        </w:rPr>
        <w:t>וזאת בניגוד מוחלט לאמור בחוק המתנה, תשכ״ח-1968</w:t>
      </w:r>
      <w:r w:rsidRPr="0046145D">
        <w:rPr>
          <w:rFonts w:ascii="Garamond" w:hAnsi="Garamond" w:cs="FrankRuehl" w:hint="cs"/>
          <w:spacing w:val="10"/>
          <w:sz w:val="24"/>
          <w:szCs w:val="28"/>
          <w:rtl/>
        </w:rPr>
        <w:t xml:space="preserve">. </w:t>
      </w:r>
      <w:r w:rsidRPr="0046145D">
        <w:rPr>
          <w:rFonts w:ascii="Garamond" w:hAnsi="Garamond" w:cs="FrankRuehl"/>
          <w:spacing w:val="10"/>
          <w:sz w:val="24"/>
          <w:szCs w:val="28"/>
          <w:rtl/>
        </w:rPr>
        <w:t>הנימוק שמציעה המערערת להסקת התנאי המפסיק היה תופס באופן עקרוני כמעט בכל הסכם מתנה, וגישה זו אינה מקובלת עלי</w:t>
      </w:r>
      <w:r w:rsidRPr="0046145D">
        <w:rPr>
          <w:rFonts w:ascii="Garamond" w:hAnsi="Garamond" w:cs="FrankRuehl" w:hint="cs"/>
          <w:spacing w:val="10"/>
          <w:sz w:val="24"/>
          <w:szCs w:val="28"/>
          <w:rtl/>
        </w:rPr>
        <w:t xml:space="preserve">, </w:t>
      </w:r>
      <w:r w:rsidRPr="0046145D">
        <w:rPr>
          <w:rFonts w:ascii="Garamond" w:hAnsi="Garamond" w:cs="FrankRuehl"/>
          <w:spacing w:val="10"/>
          <w:sz w:val="24"/>
          <w:szCs w:val="28"/>
          <w:rtl/>
        </w:rPr>
        <w:t>אינה רצויה ואינה אפשרית</w:t>
      </w:r>
      <w:r w:rsidRPr="0046145D">
        <w:rPr>
          <w:rFonts w:ascii="Garamond" w:hAnsi="Garamond" w:cs="FrankRuehl" w:hint="cs"/>
          <w:spacing w:val="10"/>
          <w:sz w:val="24"/>
          <w:szCs w:val="28"/>
          <w:rtl/>
        </w:rPr>
        <w:t>."</w:t>
      </w:r>
      <w:r>
        <w:rPr>
          <w:rFonts w:ascii="Garamond" w:hAnsi="Garamond" w:cs="FrankRuehl" w:hint="cs"/>
          <w:spacing w:val="10"/>
          <w:sz w:val="24"/>
          <w:szCs w:val="28"/>
          <w:rtl/>
        </w:rPr>
        <w:t xml:space="preserve"> (וראו גם ע"א </w:t>
      </w:r>
      <w:r w:rsidRPr="005F3AD9">
        <w:rPr>
          <w:rFonts w:hint="cs"/>
          <w:rtl/>
        </w:rPr>
        <w:t xml:space="preserve">343/87 </w:t>
      </w:r>
      <w:r w:rsidRPr="005F3AD9">
        <w:rPr>
          <w:rFonts w:ascii="Century" w:hAnsi="Century" w:cs="Miriam" w:hint="cs"/>
          <w:b/>
          <w:rtl/>
        </w:rPr>
        <w:t>פרי נ' פרי</w:t>
      </w:r>
      <w:r w:rsidRPr="005F3AD9">
        <w:rPr>
          <w:rFonts w:ascii="Century" w:hAnsi="Century" w:hint="cs"/>
          <w:rtl/>
        </w:rPr>
        <w:t xml:space="preserve">, פ"ד </w:t>
      </w:r>
      <w:r w:rsidRPr="005F3AD9">
        <w:rPr>
          <w:rFonts w:ascii="Century" w:hAnsi="Century" w:hint="eastAsia"/>
          <w:rtl/>
        </w:rPr>
        <w:t>מד</w:t>
      </w:r>
      <w:r w:rsidRPr="005F3AD9">
        <w:rPr>
          <w:rFonts w:ascii="Century" w:hAnsi="Century"/>
          <w:rtl/>
        </w:rPr>
        <w:t>(2) 154</w:t>
      </w:r>
      <w:r>
        <w:rPr>
          <w:rFonts w:ascii="Century" w:hAnsi="Century" w:hint="cs"/>
          <w:rtl/>
        </w:rPr>
        <w:t>, 164</w:t>
      </w:r>
      <w:r w:rsidRPr="005F3AD9">
        <w:rPr>
          <w:rFonts w:ascii="Century" w:hAnsi="Century" w:hint="cs"/>
          <w:rtl/>
        </w:rPr>
        <w:t xml:space="preserve"> (1990)</w:t>
      </w:r>
      <w:r>
        <w:rPr>
          <w:rFonts w:ascii="Garamond" w:hAnsi="Garamond" w:cs="FrankRuehl" w:hint="cs"/>
          <w:spacing w:val="10"/>
          <w:sz w:val="24"/>
          <w:szCs w:val="28"/>
          <w:rtl/>
        </w:rPr>
        <w:t>).</w:t>
      </w:r>
    </w:p>
    <w:p w:rsidR="00FA3A86" w:rsidRPr="0046145D" w:rsidRDefault="00FA3A86" w:rsidP="00FA3A86">
      <w:pPr>
        <w:ind w:left="1644" w:right="1276"/>
        <w:jc w:val="both"/>
        <w:rPr>
          <w:rFonts w:ascii="Garamond" w:hAnsi="Garamond" w:cs="FrankRuehl"/>
          <w:spacing w:val="10"/>
          <w:sz w:val="24"/>
          <w:szCs w:val="28"/>
          <w:rtl/>
        </w:rPr>
      </w:pPr>
    </w:p>
    <w:p w:rsidR="00FA3A86" w:rsidRPr="00B57FBF" w:rsidRDefault="00FA3A86" w:rsidP="00FA3A86">
      <w:pPr>
        <w:pStyle w:val="Ruller4"/>
        <w:rPr>
          <w:rtl/>
        </w:rPr>
      </w:pPr>
      <w:r w:rsidRPr="00422503">
        <w:rPr>
          <w:rFonts w:ascii="Century" w:hAnsi="Century" w:cs="Miriam" w:hint="eastAsia"/>
          <w:b/>
          <w:spacing w:val="0"/>
          <w:sz w:val="22"/>
          <w:szCs w:val="24"/>
          <w:rtl/>
        </w:rPr>
        <w:t>סיכום</w:t>
      </w:r>
      <w:r w:rsidRPr="00422503">
        <w:rPr>
          <w:rFonts w:ascii="Century" w:hAnsi="Century" w:cs="Miriam"/>
          <w:b/>
          <w:spacing w:val="0"/>
          <w:sz w:val="22"/>
          <w:szCs w:val="24"/>
          <w:rtl/>
        </w:rPr>
        <w:t xml:space="preserve"> </w:t>
      </w:r>
      <w:r w:rsidRPr="00422503">
        <w:rPr>
          <w:rFonts w:ascii="Century" w:hAnsi="Century" w:cs="Miriam" w:hint="eastAsia"/>
          <w:b/>
          <w:spacing w:val="0"/>
          <w:sz w:val="22"/>
          <w:szCs w:val="24"/>
          <w:rtl/>
        </w:rPr>
        <w:t>ביניים</w:t>
      </w:r>
      <w:r>
        <w:rPr>
          <w:rFonts w:hint="cs"/>
          <w:rtl/>
        </w:rPr>
        <w:t xml:space="preserve">: </w:t>
      </w:r>
      <w:r w:rsidRPr="00243F76">
        <w:rPr>
          <w:rFonts w:hint="eastAsia"/>
          <w:rtl/>
        </w:rPr>
        <w:t>הלכת</w:t>
      </w:r>
      <w:r w:rsidRPr="00243F76">
        <w:rPr>
          <w:rtl/>
        </w:rPr>
        <w:t xml:space="preserve"> </w:t>
      </w:r>
      <w:r w:rsidRPr="00243F76">
        <w:rPr>
          <w:rFonts w:hint="eastAsia"/>
          <w:rtl/>
        </w:rPr>
        <w:t>השיתוף</w:t>
      </w:r>
      <w:r w:rsidRPr="00243F76">
        <w:rPr>
          <w:rtl/>
        </w:rPr>
        <w:t xml:space="preserve"> </w:t>
      </w:r>
      <w:r w:rsidRPr="00243F76">
        <w:rPr>
          <w:rFonts w:hint="eastAsia"/>
          <w:rtl/>
        </w:rPr>
        <w:t>הספציפי</w:t>
      </w:r>
      <w:r w:rsidRPr="00243F76">
        <w:rPr>
          <w:rtl/>
        </w:rPr>
        <w:t xml:space="preserve"> </w:t>
      </w:r>
      <w:r w:rsidRPr="00243F76">
        <w:rPr>
          <w:rFonts w:hint="eastAsia"/>
          <w:rtl/>
        </w:rPr>
        <w:t>לא</w:t>
      </w:r>
      <w:r w:rsidRPr="00243F76">
        <w:rPr>
          <w:rtl/>
        </w:rPr>
        <w:t xml:space="preserve"> </w:t>
      </w:r>
      <w:r w:rsidRPr="00243F76">
        <w:rPr>
          <w:rFonts w:hint="eastAsia"/>
          <w:rtl/>
        </w:rPr>
        <w:t>יצרה</w:t>
      </w:r>
      <w:r w:rsidRPr="00243F76">
        <w:rPr>
          <w:rtl/>
        </w:rPr>
        <w:t xml:space="preserve"> </w:t>
      </w:r>
      <w:r w:rsidRPr="00243F76">
        <w:rPr>
          <w:rFonts w:hint="eastAsia"/>
          <w:rtl/>
        </w:rPr>
        <w:t>מנגנון</w:t>
      </w:r>
      <w:r w:rsidRPr="00243F76">
        <w:rPr>
          <w:rtl/>
        </w:rPr>
        <w:t xml:space="preserve"> </w:t>
      </w:r>
      <w:r w:rsidRPr="00243F76">
        <w:rPr>
          <w:rFonts w:hint="eastAsia"/>
          <w:rtl/>
        </w:rPr>
        <w:t>משפטי</w:t>
      </w:r>
      <w:r w:rsidRPr="00243F76">
        <w:rPr>
          <w:rtl/>
        </w:rPr>
        <w:t xml:space="preserve"> </w:t>
      </w:r>
      <w:r w:rsidRPr="00243F76">
        <w:rPr>
          <w:rFonts w:hint="eastAsia"/>
          <w:rtl/>
        </w:rPr>
        <w:t>חדש</w:t>
      </w:r>
      <w:r w:rsidRPr="00243F76">
        <w:rPr>
          <w:rtl/>
        </w:rPr>
        <w:t xml:space="preserve"> </w:t>
      </w:r>
      <w:r w:rsidRPr="00243F76">
        <w:rPr>
          <w:rFonts w:hint="eastAsia"/>
          <w:rtl/>
        </w:rPr>
        <w:t>להעברת</w:t>
      </w:r>
      <w:r w:rsidRPr="00243F76">
        <w:rPr>
          <w:rtl/>
        </w:rPr>
        <w:t xml:space="preserve"> </w:t>
      </w:r>
      <w:r w:rsidRPr="00243F76">
        <w:rPr>
          <w:rFonts w:hint="eastAsia"/>
          <w:rtl/>
        </w:rPr>
        <w:t>זכויות</w:t>
      </w:r>
      <w:r>
        <w:rPr>
          <w:rFonts w:hint="cs"/>
          <w:rtl/>
        </w:rPr>
        <w:t xml:space="preserve"> בנכסים. הלכה זו מיישמת את הדין האזרחי הכללי, בדגש על דיני השיתוף ו</w:t>
      </w:r>
      <w:r w:rsidRPr="00F57244">
        <w:rPr>
          <w:rFonts w:ascii="Century" w:hAnsi="Century" w:cs="Miriam" w:hint="cs"/>
          <w:b/>
          <w:spacing w:val="0"/>
          <w:sz w:val="22"/>
          <w:szCs w:val="24"/>
          <w:rtl/>
        </w:rPr>
        <w:t>בהקשר הייחודי של התא הזוגי</w:t>
      </w:r>
      <w:r>
        <w:rPr>
          <w:rFonts w:hint="cs"/>
          <w:rtl/>
        </w:rPr>
        <w:t xml:space="preserve">. בשים לב להקשר ייחודי זה, נפסק זה מכבר כי ניתן להכיר בשיתוף בנכס חיצוני ספציפי גם אם אין מתקיימות דרישות מהותיות מסוימות שהיו נחוצות להתגבשות זכויות בנכס בהקשרים אחרים, כגון דרישת הרישום (ראו, למשל, עניין </w:t>
      </w:r>
      <w:r w:rsidRPr="00007314">
        <w:rPr>
          <w:rFonts w:ascii="Century" w:hAnsi="Century" w:cs="Miriam" w:hint="cs"/>
          <w:b/>
          <w:spacing w:val="0"/>
          <w:szCs w:val="24"/>
          <w:rtl/>
        </w:rPr>
        <w:t xml:space="preserve">בן </w:t>
      </w:r>
      <w:proofErr w:type="spellStart"/>
      <w:r w:rsidRPr="00007314">
        <w:rPr>
          <w:rFonts w:ascii="Century" w:hAnsi="Century" w:cs="Miriam" w:hint="cs"/>
          <w:b/>
          <w:spacing w:val="0"/>
          <w:szCs w:val="24"/>
          <w:rtl/>
        </w:rPr>
        <w:t>גיאת</w:t>
      </w:r>
      <w:proofErr w:type="spellEnd"/>
      <w:r>
        <w:rPr>
          <w:rFonts w:hint="cs"/>
          <w:rtl/>
        </w:rPr>
        <w:t xml:space="preserve">), וכי הנטל להוכחת שיתוף בבית המגורים של בני הזוג הוא קל יותר בהשוואה לנכסים אחרים. אך זאת, רק כל עוד מתקיים אותו "דבר מה נוסף" המצביע על כוונת שיתוף באותו הנכס. </w:t>
      </w:r>
      <w:r w:rsidRPr="005F3AD9">
        <w:rPr>
          <w:rFonts w:hint="cs"/>
          <w:rtl/>
        </w:rPr>
        <w:t xml:space="preserve">הזכויות המתגבשות מכוח הלכת השיתוף הספציפי הן זכויות של קבע ולא "על תנאי", ואין שוללים בדיעבד זכות שהתגבשה </w:t>
      </w:r>
      <w:r>
        <w:rPr>
          <w:rFonts w:hint="cs"/>
          <w:rtl/>
        </w:rPr>
        <w:t xml:space="preserve">במהלך חיי הנישואין </w:t>
      </w:r>
      <w:r w:rsidRPr="005F3AD9">
        <w:rPr>
          <w:rFonts w:hint="cs"/>
          <w:rtl/>
        </w:rPr>
        <w:t>בשל נסיבות עובדתיות שאירעו לאחר התגבשותה</w:t>
      </w:r>
      <w:r>
        <w:rPr>
          <w:rFonts w:hint="cs"/>
          <w:rtl/>
        </w:rPr>
        <w:t>.</w:t>
      </w:r>
    </w:p>
    <w:p w:rsidR="00FA3A86" w:rsidRDefault="00FA3A86" w:rsidP="00FA3A86">
      <w:pPr>
        <w:pStyle w:val="Ruller41"/>
        <w:rPr>
          <w:rtl/>
        </w:rPr>
      </w:pPr>
    </w:p>
    <w:p w:rsidR="00FA3A86" w:rsidRPr="00983668" w:rsidRDefault="00FA3A86" w:rsidP="00FA3A86">
      <w:pPr>
        <w:tabs>
          <w:tab w:val="left" w:pos="800"/>
        </w:tabs>
        <w:spacing w:line="360" w:lineRule="auto"/>
        <w:jc w:val="both"/>
        <w:rPr>
          <w:rFonts w:ascii="Garamond" w:hAnsi="Garamond" w:cs="FrankRuehl"/>
          <w:spacing w:val="10"/>
          <w:sz w:val="24"/>
          <w:szCs w:val="28"/>
          <w:rtl/>
        </w:rPr>
      </w:pPr>
      <w:r>
        <w:rPr>
          <w:rFonts w:ascii="Garamond" w:hAnsi="Garamond"/>
          <w:sz w:val="24"/>
          <w:rtl/>
        </w:rPr>
        <w:tab/>
      </w:r>
      <w:r w:rsidRPr="00983668">
        <w:rPr>
          <w:rFonts w:ascii="Garamond" w:hAnsi="Garamond" w:cs="FrankRuehl" w:hint="cs"/>
          <w:spacing w:val="10"/>
          <w:sz w:val="24"/>
          <w:szCs w:val="28"/>
          <w:rtl/>
        </w:rPr>
        <w:t xml:space="preserve">משעמדנו על טיבה של הלכת השיתוף הספציפי, ניתן עתה להידרש לשאלה אם קביעתו של בית הדין הרבני הגדול כי היא אינה חלה בענייננו </w:t>
      </w:r>
      <w:r w:rsidRPr="00983668">
        <w:rPr>
          <w:rFonts w:ascii="Garamond" w:hAnsi="Garamond" w:cs="FrankRuehl"/>
          <w:spacing w:val="10"/>
          <w:sz w:val="24"/>
          <w:szCs w:val="28"/>
          <w:rtl/>
        </w:rPr>
        <w:t>–</w:t>
      </w:r>
      <w:r>
        <w:rPr>
          <w:rFonts w:ascii="Garamond" w:hAnsi="Garamond" w:cs="FrankRuehl" w:hint="cs"/>
          <w:spacing w:val="10"/>
          <w:sz w:val="24"/>
          <w:szCs w:val="28"/>
          <w:rtl/>
        </w:rPr>
        <w:t xml:space="preserve"> </w:t>
      </w:r>
      <w:r w:rsidRPr="00983668">
        <w:rPr>
          <w:rFonts w:ascii="Garamond" w:hAnsi="Garamond" w:cs="FrankRuehl" w:hint="cs"/>
          <w:spacing w:val="10"/>
          <w:sz w:val="24"/>
          <w:szCs w:val="28"/>
          <w:rtl/>
        </w:rPr>
        <w:t>צריכה הייתה להצדיק את התערבותו של בית המשפט הגבוה לצדק, ומצדיקה את התערבותנו</w:t>
      </w:r>
      <w:r>
        <w:rPr>
          <w:rFonts w:ascii="Garamond" w:hAnsi="Garamond" w:cs="FrankRuehl" w:hint="cs"/>
          <w:spacing w:val="10"/>
          <w:sz w:val="24"/>
          <w:szCs w:val="28"/>
          <w:rtl/>
        </w:rPr>
        <w:t xml:space="preserve"> כעת,</w:t>
      </w:r>
      <w:r w:rsidRPr="00983668">
        <w:rPr>
          <w:rFonts w:ascii="Garamond" w:hAnsi="Garamond" w:cs="FrankRuehl" w:hint="cs"/>
          <w:spacing w:val="10"/>
          <w:sz w:val="24"/>
          <w:szCs w:val="28"/>
          <w:rtl/>
        </w:rPr>
        <w:t xml:space="preserve"> במסגרת הדיון הנוסף שלפנינו.</w:t>
      </w:r>
    </w:p>
    <w:p w:rsidR="00FA3A86" w:rsidRDefault="00FA3A86" w:rsidP="00FA3A86">
      <w:pPr>
        <w:tabs>
          <w:tab w:val="left" w:pos="800"/>
        </w:tabs>
        <w:spacing w:line="360" w:lineRule="auto"/>
        <w:jc w:val="both"/>
        <w:rPr>
          <w:rFonts w:ascii="Garamond" w:hAnsi="Garamond"/>
          <w:sz w:val="24"/>
          <w:rtl/>
        </w:rPr>
      </w:pPr>
    </w:p>
    <w:p w:rsidR="00FA3A86" w:rsidRPr="00B25ED4" w:rsidRDefault="00FA3A86" w:rsidP="00FA3A86">
      <w:pPr>
        <w:tabs>
          <w:tab w:val="left" w:pos="800"/>
        </w:tabs>
        <w:spacing w:line="360" w:lineRule="auto"/>
        <w:jc w:val="both"/>
        <w:rPr>
          <w:rFonts w:ascii="Garamond" w:hAnsi="Garamond"/>
          <w:sz w:val="24"/>
          <w:rtl/>
        </w:rPr>
      </w:pPr>
    </w:p>
    <w:p w:rsidR="00FA3A86" w:rsidRDefault="00FA3A86" w:rsidP="00FA3A86">
      <w:pPr>
        <w:pStyle w:val="1"/>
        <w:rPr>
          <w:rtl/>
        </w:rPr>
      </w:pPr>
      <w:r w:rsidRPr="00B25ED4">
        <w:rPr>
          <w:rFonts w:hint="cs"/>
          <w:rtl/>
        </w:rPr>
        <w:t>האם התגבש בין המבקשת והמשיב שיתוף בבית המגורים?</w:t>
      </w:r>
    </w:p>
    <w:p w:rsidR="00FA3A86" w:rsidRPr="0034324A" w:rsidRDefault="00FA3A86" w:rsidP="00FA3A86">
      <w:pPr>
        <w:rPr>
          <w:rtl/>
        </w:rPr>
      </w:pPr>
    </w:p>
    <w:p w:rsidR="00FA3A86" w:rsidRPr="00B25ED4" w:rsidRDefault="00FA3A86" w:rsidP="00FA3A86">
      <w:pPr>
        <w:tabs>
          <w:tab w:val="left" w:pos="800"/>
        </w:tabs>
        <w:jc w:val="both"/>
        <w:rPr>
          <w:rFonts w:ascii="Garamond" w:hAnsi="Garamond"/>
          <w:sz w:val="24"/>
          <w:rtl/>
        </w:rPr>
      </w:pPr>
    </w:p>
    <w:p w:rsidR="00FA3A86" w:rsidRPr="00B25ED4" w:rsidRDefault="00FA3A86" w:rsidP="00FA3A86">
      <w:pPr>
        <w:pStyle w:val="Ruller4"/>
        <w:rPr>
          <w:rtl/>
        </w:rPr>
      </w:pPr>
      <w:r w:rsidRPr="005923FD">
        <w:rPr>
          <w:rFonts w:hint="cs"/>
          <w:rtl/>
        </w:rPr>
        <w:t>הנכס נושא ההליך שלפנינו הוא, כאמור, בית המגורים של בני הזוג אשר נבנה במהלך נישואיהם, ובו התגוררו השניים במשך למעלה מעשרים שנה, גידלו בו את שלושת ילדיהם, וביצעו בו</w:t>
      </w:r>
      <w:r>
        <w:rPr>
          <w:rFonts w:hint="cs"/>
          <w:rtl/>
        </w:rPr>
        <w:t xml:space="preserve"> יחדיו</w:t>
      </w:r>
      <w:r w:rsidRPr="005923FD">
        <w:rPr>
          <w:rFonts w:hint="cs"/>
          <w:rtl/>
        </w:rPr>
        <w:t xml:space="preserve"> שיפוץ שהיקפו היה, כך נקבע, מעבר לשיפוץ "מינורי ושגרתי". המגרש שעליו נבנה הבית הועבר למשיב בירושה חודשים ספורים טרם הנישואין, וכשש שנים לאחר הנישואין </w:t>
      </w:r>
      <w:r w:rsidRPr="005923FD">
        <w:rPr>
          <w:rFonts w:hint="eastAsia"/>
          <w:rtl/>
        </w:rPr>
        <w:t>התקשר</w:t>
      </w:r>
      <w:r w:rsidRPr="005923FD">
        <w:rPr>
          <w:rtl/>
        </w:rPr>
        <w:t xml:space="preserve"> </w:t>
      </w:r>
      <w:r w:rsidRPr="005923FD">
        <w:rPr>
          <w:rFonts w:hint="eastAsia"/>
          <w:rtl/>
        </w:rPr>
        <w:t>המשיב</w:t>
      </w:r>
      <w:r w:rsidRPr="005923FD">
        <w:rPr>
          <w:rtl/>
        </w:rPr>
        <w:t xml:space="preserve"> </w:t>
      </w:r>
      <w:r w:rsidRPr="005923FD">
        <w:rPr>
          <w:rFonts w:hint="eastAsia"/>
          <w:rtl/>
        </w:rPr>
        <w:t>בעסקת</w:t>
      </w:r>
      <w:r w:rsidRPr="005923FD">
        <w:rPr>
          <w:rtl/>
        </w:rPr>
        <w:t xml:space="preserve"> </w:t>
      </w:r>
      <w:r w:rsidRPr="005923FD">
        <w:rPr>
          <w:rFonts w:hint="eastAsia"/>
          <w:rtl/>
        </w:rPr>
        <w:t>קומבינציה</w:t>
      </w:r>
      <w:r w:rsidRPr="005923FD">
        <w:rPr>
          <w:rtl/>
        </w:rPr>
        <w:t xml:space="preserve"> </w:t>
      </w:r>
      <w:r w:rsidRPr="005923FD">
        <w:rPr>
          <w:rFonts w:hint="cs"/>
          <w:rtl/>
        </w:rPr>
        <w:t xml:space="preserve">שמכוחה נבנה הבית על 1/4 מהמגרש, בעוד </w:t>
      </w:r>
      <w:r>
        <w:rPr>
          <w:rFonts w:hint="cs"/>
          <w:rtl/>
        </w:rPr>
        <w:t>ש</w:t>
      </w:r>
      <w:r w:rsidRPr="005923FD">
        <w:rPr>
          <w:rFonts w:hint="cs"/>
          <w:rtl/>
        </w:rPr>
        <w:t>-3/4 הנותרים הועברו ל</w:t>
      </w:r>
      <w:r w:rsidRPr="005923FD">
        <w:rPr>
          <w:rFonts w:hint="eastAsia"/>
          <w:rtl/>
        </w:rPr>
        <w:t>קבלן</w:t>
      </w:r>
      <w:r w:rsidRPr="005923FD">
        <w:rPr>
          <w:rFonts w:hint="cs"/>
          <w:rtl/>
        </w:rPr>
        <w:t xml:space="preserve">. על סמך עובדות אלו קבע </w:t>
      </w:r>
      <w:r w:rsidRPr="005923FD">
        <w:rPr>
          <w:rFonts w:hint="eastAsia"/>
          <w:rtl/>
        </w:rPr>
        <w:t>בית</w:t>
      </w:r>
      <w:r w:rsidRPr="005923FD">
        <w:rPr>
          <w:rtl/>
        </w:rPr>
        <w:t xml:space="preserve"> </w:t>
      </w:r>
      <w:r w:rsidRPr="005923FD">
        <w:rPr>
          <w:rFonts w:hint="eastAsia"/>
          <w:rtl/>
        </w:rPr>
        <w:t>הדין</w:t>
      </w:r>
      <w:r w:rsidRPr="005923FD">
        <w:rPr>
          <w:rtl/>
        </w:rPr>
        <w:t xml:space="preserve"> </w:t>
      </w:r>
      <w:r w:rsidRPr="005923FD">
        <w:rPr>
          <w:rFonts w:hint="eastAsia"/>
          <w:rtl/>
        </w:rPr>
        <w:t>האזורי</w:t>
      </w:r>
      <w:r w:rsidRPr="005923FD">
        <w:rPr>
          <w:rtl/>
        </w:rPr>
        <w:t xml:space="preserve"> </w:t>
      </w:r>
      <w:r w:rsidRPr="005923FD">
        <w:rPr>
          <w:rFonts w:hint="eastAsia"/>
          <w:rtl/>
        </w:rPr>
        <w:t>כי</w:t>
      </w:r>
      <w:r w:rsidRPr="005923FD">
        <w:rPr>
          <w:rtl/>
        </w:rPr>
        <w:t xml:space="preserve"> </w:t>
      </w:r>
      <w:r w:rsidRPr="005923FD">
        <w:rPr>
          <w:rFonts w:hint="eastAsia"/>
          <w:rtl/>
        </w:rPr>
        <w:t>המבקשת</w:t>
      </w:r>
      <w:r w:rsidRPr="005923FD">
        <w:rPr>
          <w:rtl/>
        </w:rPr>
        <w:t xml:space="preserve"> </w:t>
      </w:r>
      <w:r w:rsidRPr="005923FD">
        <w:rPr>
          <w:rFonts w:hint="eastAsia"/>
          <w:rtl/>
        </w:rPr>
        <w:t>עמדה</w:t>
      </w:r>
      <w:r w:rsidRPr="005923FD">
        <w:rPr>
          <w:rtl/>
        </w:rPr>
        <w:t xml:space="preserve"> </w:t>
      </w:r>
      <w:r w:rsidRPr="005923FD">
        <w:rPr>
          <w:rFonts w:hint="eastAsia"/>
          <w:rtl/>
        </w:rPr>
        <w:t>בנטל</w:t>
      </w:r>
      <w:r w:rsidRPr="005923FD">
        <w:rPr>
          <w:rtl/>
        </w:rPr>
        <w:t xml:space="preserve"> </w:t>
      </w:r>
      <w:r w:rsidRPr="005923FD">
        <w:rPr>
          <w:rFonts w:hint="eastAsia"/>
          <w:rtl/>
        </w:rPr>
        <w:t>להוכחת</w:t>
      </w:r>
      <w:r w:rsidRPr="005923FD">
        <w:rPr>
          <w:rtl/>
        </w:rPr>
        <w:t xml:space="preserve"> </w:t>
      </w:r>
      <w:r w:rsidRPr="005923FD">
        <w:rPr>
          <w:rFonts w:hint="eastAsia"/>
          <w:rtl/>
        </w:rPr>
        <w:t>שיתוף</w:t>
      </w:r>
      <w:r w:rsidRPr="005923FD">
        <w:rPr>
          <w:rtl/>
        </w:rPr>
        <w:t xml:space="preserve"> </w:t>
      </w:r>
      <w:r w:rsidRPr="005923FD">
        <w:rPr>
          <w:rFonts w:hint="eastAsia"/>
          <w:rtl/>
        </w:rPr>
        <w:t>ספציפי</w:t>
      </w:r>
      <w:r w:rsidRPr="005923FD">
        <w:rPr>
          <w:rtl/>
        </w:rPr>
        <w:t xml:space="preserve"> </w:t>
      </w:r>
      <w:r w:rsidRPr="005923FD">
        <w:rPr>
          <w:rFonts w:hint="eastAsia"/>
          <w:rtl/>
        </w:rPr>
        <w:t>בבית</w:t>
      </w:r>
      <w:r w:rsidRPr="005923FD">
        <w:rPr>
          <w:rtl/>
        </w:rPr>
        <w:t xml:space="preserve"> </w:t>
      </w:r>
      <w:r w:rsidRPr="005923FD">
        <w:rPr>
          <w:rFonts w:hint="eastAsia"/>
          <w:rtl/>
        </w:rPr>
        <w:t>המגורים</w:t>
      </w:r>
      <w:r w:rsidRPr="005923FD">
        <w:rPr>
          <w:rtl/>
        </w:rPr>
        <w:t xml:space="preserve">. </w:t>
      </w:r>
      <w:r w:rsidRPr="005923FD">
        <w:rPr>
          <w:rFonts w:hint="cs"/>
          <w:rtl/>
        </w:rPr>
        <w:t xml:space="preserve">בית הדין האזורי שקל לצורך כך את השיפוץ שבוצע בנכס ואת היקפו; את </w:t>
      </w:r>
      <w:r w:rsidRPr="005923FD">
        <w:rPr>
          <w:rFonts w:hint="eastAsia"/>
          <w:rtl/>
        </w:rPr>
        <w:t>התקופה</w:t>
      </w:r>
      <w:r w:rsidRPr="005923FD">
        <w:rPr>
          <w:rtl/>
        </w:rPr>
        <w:t xml:space="preserve"> </w:t>
      </w:r>
      <w:r w:rsidRPr="005923FD">
        <w:rPr>
          <w:rFonts w:hint="eastAsia"/>
          <w:rtl/>
        </w:rPr>
        <w:t>הארוכה</w:t>
      </w:r>
      <w:r w:rsidRPr="005923FD">
        <w:rPr>
          <w:rtl/>
        </w:rPr>
        <w:t xml:space="preserve"> </w:t>
      </w:r>
      <w:r w:rsidRPr="005923FD">
        <w:rPr>
          <w:rFonts w:hint="eastAsia"/>
          <w:rtl/>
        </w:rPr>
        <w:t>שבה</w:t>
      </w:r>
      <w:r w:rsidRPr="005923FD">
        <w:rPr>
          <w:rtl/>
        </w:rPr>
        <w:t xml:space="preserve"> </w:t>
      </w:r>
      <w:r w:rsidRPr="005923FD">
        <w:rPr>
          <w:rFonts w:hint="eastAsia"/>
          <w:rtl/>
        </w:rPr>
        <w:t>התגוררו</w:t>
      </w:r>
      <w:r w:rsidRPr="005923FD">
        <w:rPr>
          <w:rtl/>
        </w:rPr>
        <w:t xml:space="preserve"> </w:t>
      </w:r>
      <w:r w:rsidRPr="005923FD">
        <w:rPr>
          <w:rFonts w:hint="cs"/>
          <w:rtl/>
        </w:rPr>
        <w:t xml:space="preserve">בני הזוג </w:t>
      </w:r>
      <w:r w:rsidRPr="005923FD">
        <w:rPr>
          <w:rFonts w:hint="eastAsia"/>
          <w:rtl/>
        </w:rPr>
        <w:t>בבית</w:t>
      </w:r>
      <w:r w:rsidRPr="005923FD">
        <w:rPr>
          <w:rFonts w:hint="cs"/>
          <w:rtl/>
        </w:rPr>
        <w:t>; את העובדה שהבית נבנה "</w:t>
      </w:r>
      <w:r w:rsidRPr="005923FD">
        <w:rPr>
          <w:rFonts w:hint="eastAsia"/>
          <w:rtl/>
        </w:rPr>
        <w:t>בעת</w:t>
      </w:r>
      <w:r w:rsidRPr="005923FD">
        <w:rPr>
          <w:rtl/>
        </w:rPr>
        <w:t xml:space="preserve"> </w:t>
      </w:r>
      <w:r w:rsidRPr="005923FD">
        <w:rPr>
          <w:rFonts w:hint="eastAsia"/>
          <w:rtl/>
        </w:rPr>
        <w:t>החיים</w:t>
      </w:r>
      <w:r w:rsidRPr="005923FD">
        <w:rPr>
          <w:rtl/>
        </w:rPr>
        <w:t xml:space="preserve"> </w:t>
      </w:r>
      <w:r w:rsidRPr="005923FD">
        <w:rPr>
          <w:rFonts w:hint="eastAsia"/>
          <w:rtl/>
        </w:rPr>
        <w:t>המשותפים</w:t>
      </w:r>
      <w:r w:rsidRPr="005923FD">
        <w:rPr>
          <w:rtl/>
        </w:rPr>
        <w:t xml:space="preserve"> </w:t>
      </w:r>
      <w:r w:rsidRPr="005923FD">
        <w:rPr>
          <w:rFonts w:hint="eastAsia"/>
          <w:rtl/>
        </w:rPr>
        <w:t>ע</w:t>
      </w:r>
      <w:r w:rsidRPr="005923FD">
        <w:rPr>
          <w:rtl/>
        </w:rPr>
        <w:t>"</w:t>
      </w:r>
      <w:r w:rsidRPr="005923FD">
        <w:rPr>
          <w:rFonts w:hint="eastAsia"/>
          <w:rtl/>
        </w:rPr>
        <w:t>י</w:t>
      </w:r>
      <w:r w:rsidRPr="005923FD">
        <w:rPr>
          <w:rtl/>
        </w:rPr>
        <w:t xml:space="preserve"> </w:t>
      </w:r>
      <w:r w:rsidRPr="005923FD">
        <w:rPr>
          <w:rFonts w:hint="eastAsia"/>
          <w:rtl/>
        </w:rPr>
        <w:t>שני</w:t>
      </w:r>
      <w:r w:rsidRPr="005923FD">
        <w:rPr>
          <w:rtl/>
        </w:rPr>
        <w:t xml:space="preserve"> </w:t>
      </w:r>
      <w:r w:rsidRPr="005923FD">
        <w:rPr>
          <w:rFonts w:hint="eastAsia"/>
          <w:rtl/>
        </w:rPr>
        <w:t>הצדדים</w:t>
      </w:r>
      <w:r w:rsidRPr="005923FD">
        <w:rPr>
          <w:rtl/>
        </w:rPr>
        <w:t xml:space="preserve">, </w:t>
      </w:r>
      <w:r w:rsidRPr="005923FD">
        <w:rPr>
          <w:rFonts w:hint="eastAsia"/>
          <w:rtl/>
        </w:rPr>
        <w:t>ויתכן</w:t>
      </w:r>
      <w:r w:rsidRPr="005923FD">
        <w:rPr>
          <w:rtl/>
        </w:rPr>
        <w:t xml:space="preserve"> </w:t>
      </w:r>
      <w:r w:rsidRPr="005923FD">
        <w:rPr>
          <w:rFonts w:hint="eastAsia"/>
          <w:rtl/>
        </w:rPr>
        <w:t>ביוזמת</w:t>
      </w:r>
      <w:r w:rsidRPr="005923FD">
        <w:rPr>
          <w:rtl/>
        </w:rPr>
        <w:t xml:space="preserve"> </w:t>
      </w:r>
      <w:r w:rsidRPr="005923FD">
        <w:rPr>
          <w:rFonts w:hint="eastAsia"/>
          <w:rtl/>
        </w:rPr>
        <w:t>שניהם</w:t>
      </w:r>
      <w:r w:rsidRPr="005923FD">
        <w:rPr>
          <w:rtl/>
        </w:rPr>
        <w:t xml:space="preserve"> </w:t>
      </w:r>
      <w:r w:rsidRPr="005923FD">
        <w:rPr>
          <w:rFonts w:hint="eastAsia"/>
          <w:rtl/>
        </w:rPr>
        <w:t>ובסיוע</w:t>
      </w:r>
      <w:r w:rsidRPr="005923FD">
        <w:rPr>
          <w:rtl/>
        </w:rPr>
        <w:t xml:space="preserve"> </w:t>
      </w:r>
      <w:r w:rsidRPr="005923FD">
        <w:rPr>
          <w:rFonts w:hint="eastAsia"/>
          <w:rtl/>
        </w:rPr>
        <w:t>משותף</w:t>
      </w:r>
      <w:r w:rsidRPr="005923FD">
        <w:rPr>
          <w:rtl/>
        </w:rPr>
        <w:t xml:space="preserve"> </w:t>
      </w:r>
      <w:r w:rsidRPr="005923FD">
        <w:rPr>
          <w:rFonts w:hint="eastAsia"/>
          <w:rtl/>
        </w:rPr>
        <w:t>בפן</w:t>
      </w:r>
      <w:r w:rsidRPr="005923FD">
        <w:rPr>
          <w:rtl/>
        </w:rPr>
        <w:t xml:space="preserve"> </w:t>
      </w:r>
      <w:r w:rsidRPr="005923FD">
        <w:rPr>
          <w:rFonts w:hint="eastAsia"/>
          <w:rtl/>
        </w:rPr>
        <w:t>הלוגיסטי</w:t>
      </w:r>
      <w:r w:rsidRPr="005923FD">
        <w:rPr>
          <w:rtl/>
        </w:rPr>
        <w:t>"</w:t>
      </w:r>
      <w:r w:rsidRPr="005923FD">
        <w:rPr>
          <w:rFonts w:hint="cs"/>
          <w:rtl/>
        </w:rPr>
        <w:t xml:space="preserve">; ואת אווירת השיתוף שנקבע כי שררה בין בני הזוג </w:t>
      </w:r>
      <w:r w:rsidRPr="005923FD">
        <w:rPr>
          <w:rFonts w:hint="eastAsia"/>
          <w:rtl/>
        </w:rPr>
        <w:t>באשר</w:t>
      </w:r>
      <w:r w:rsidRPr="005923FD">
        <w:rPr>
          <w:rtl/>
        </w:rPr>
        <w:t xml:space="preserve"> </w:t>
      </w:r>
      <w:r w:rsidRPr="005923FD">
        <w:rPr>
          <w:rFonts w:hint="eastAsia"/>
          <w:rtl/>
        </w:rPr>
        <w:t>לבית</w:t>
      </w:r>
      <w:r w:rsidRPr="005923FD">
        <w:rPr>
          <w:rtl/>
        </w:rPr>
        <w:t xml:space="preserve"> </w:t>
      </w:r>
      <w:r w:rsidRPr="005923FD">
        <w:rPr>
          <w:rFonts w:hint="eastAsia"/>
          <w:rtl/>
        </w:rPr>
        <w:t>המגורים</w:t>
      </w:r>
      <w:r w:rsidRPr="005923FD">
        <w:rPr>
          <w:rtl/>
        </w:rPr>
        <w:t xml:space="preserve">, </w:t>
      </w:r>
      <w:r w:rsidRPr="005923FD">
        <w:rPr>
          <w:rFonts w:hint="cs"/>
          <w:rtl/>
        </w:rPr>
        <w:t xml:space="preserve">בין היתר, על בסיס הצהרותיו של המשיב </w:t>
      </w:r>
      <w:r w:rsidRPr="005923FD">
        <w:rPr>
          <w:rFonts w:hint="eastAsia"/>
          <w:rtl/>
        </w:rPr>
        <w:t>במסגרת</w:t>
      </w:r>
      <w:r w:rsidRPr="005923FD">
        <w:rPr>
          <w:rtl/>
        </w:rPr>
        <w:t xml:space="preserve"> </w:t>
      </w:r>
      <w:r w:rsidRPr="005923FD">
        <w:rPr>
          <w:rFonts w:hint="eastAsia"/>
          <w:rtl/>
        </w:rPr>
        <w:t>בג</w:t>
      </w:r>
      <w:r w:rsidRPr="005923FD">
        <w:rPr>
          <w:rtl/>
        </w:rPr>
        <w:t>"</w:t>
      </w:r>
      <w:r w:rsidRPr="005923FD">
        <w:rPr>
          <w:rFonts w:hint="eastAsia"/>
          <w:rtl/>
        </w:rPr>
        <w:t>ץ</w:t>
      </w:r>
      <w:r w:rsidRPr="005923FD">
        <w:rPr>
          <w:rtl/>
        </w:rPr>
        <w:t xml:space="preserve"> 4602/13</w:t>
      </w:r>
      <w:r>
        <w:rPr>
          <w:rFonts w:hint="cs"/>
          <w:rtl/>
        </w:rPr>
        <w:t xml:space="preserve"> (ראו בפסק</w:t>
      </w:r>
      <w:r w:rsidRPr="005733FB">
        <w:rPr>
          <w:rFonts w:hint="cs"/>
          <w:rtl/>
        </w:rPr>
        <w:t xml:space="preserve">ה </w:t>
      </w:r>
      <w:r w:rsidRPr="005733FB">
        <w:rPr>
          <w:rtl/>
        </w:rPr>
        <w:t>5</w:t>
      </w:r>
      <w:r w:rsidRPr="005733FB">
        <w:rPr>
          <w:rFonts w:hint="cs"/>
          <w:rtl/>
        </w:rPr>
        <w:t xml:space="preserve"> לעיל</w:t>
      </w:r>
      <w:r>
        <w:rPr>
          <w:rFonts w:hint="cs"/>
          <w:rtl/>
        </w:rPr>
        <w:t>).</w:t>
      </w:r>
    </w:p>
    <w:p w:rsidR="00FA3A86" w:rsidRPr="00B25ED4" w:rsidRDefault="00FA3A86" w:rsidP="00FA3A86">
      <w:pPr>
        <w:pStyle w:val="Ruller4"/>
        <w:numPr>
          <w:ilvl w:val="0"/>
          <w:numId w:val="0"/>
        </w:numPr>
        <w:rPr>
          <w:rtl/>
        </w:rPr>
      </w:pPr>
    </w:p>
    <w:p w:rsidR="00FA3A86" w:rsidRDefault="00FA3A86" w:rsidP="00FA3A86">
      <w:pPr>
        <w:pStyle w:val="Ruller4"/>
      </w:pPr>
      <w:r w:rsidRPr="00B25ED4">
        <w:rPr>
          <w:rFonts w:hint="cs"/>
          <w:rtl/>
        </w:rPr>
        <w:t>בית הדין הרבני הגדול, לעומת זאת, קבע בדעת רוב שלא הוכחה כוונת שיתוף בבית המגורים</w:t>
      </w:r>
      <w:r>
        <w:rPr>
          <w:rFonts w:hint="cs"/>
          <w:rtl/>
        </w:rPr>
        <w:t xml:space="preserve">. עם זאת, </w:t>
      </w:r>
      <w:r w:rsidRPr="00B25ED4">
        <w:rPr>
          <w:rFonts w:hint="cs"/>
          <w:rtl/>
        </w:rPr>
        <w:t>שני הדיינים שצידדו במסקנה זו</w:t>
      </w:r>
      <w:r>
        <w:rPr>
          <w:rFonts w:hint="cs"/>
          <w:rtl/>
        </w:rPr>
        <w:t xml:space="preserve"> </w:t>
      </w:r>
      <w:r>
        <w:rPr>
          <w:rtl/>
        </w:rPr>
        <w:t>–</w:t>
      </w:r>
      <w:r w:rsidRPr="00B25ED4">
        <w:rPr>
          <w:rFonts w:hint="cs"/>
          <w:rtl/>
        </w:rPr>
        <w:t xml:space="preserve"> </w:t>
      </w:r>
      <w:r>
        <w:rPr>
          <w:rFonts w:hint="cs"/>
          <w:rtl/>
        </w:rPr>
        <w:t xml:space="preserve">הדיינים </w:t>
      </w:r>
      <w:r w:rsidRPr="00F674F9">
        <w:rPr>
          <w:rFonts w:cs="Miriam" w:hint="cs"/>
          <w:b/>
          <w:spacing w:val="0"/>
          <w:sz w:val="22"/>
          <w:szCs w:val="24"/>
          <w:rtl/>
        </w:rPr>
        <w:t>אלמליח</w:t>
      </w:r>
      <w:r w:rsidRPr="00B25ED4">
        <w:rPr>
          <w:rFonts w:hint="cs"/>
          <w:rtl/>
        </w:rPr>
        <w:t xml:space="preserve"> ו</w:t>
      </w:r>
      <w:r w:rsidRPr="00F674F9">
        <w:rPr>
          <w:rFonts w:cs="Miriam" w:hint="cs"/>
          <w:b/>
          <w:spacing w:val="0"/>
          <w:sz w:val="22"/>
          <w:szCs w:val="24"/>
          <w:rtl/>
        </w:rPr>
        <w:t>נהרי</w:t>
      </w:r>
      <w:r>
        <w:rPr>
          <w:rFonts w:hint="cs"/>
          <w:rtl/>
        </w:rPr>
        <w:t xml:space="preserve"> </w:t>
      </w:r>
      <w:r>
        <w:rPr>
          <w:rtl/>
        </w:rPr>
        <w:t>–</w:t>
      </w:r>
      <w:r>
        <w:rPr>
          <w:rFonts w:hint="cs"/>
          <w:rtl/>
        </w:rPr>
        <w:t>וסברו כי לא התגבש שיתוף כלל, אף לא "שותפות מוחלשת",</w:t>
      </w:r>
      <w:r w:rsidRPr="00B25ED4">
        <w:rPr>
          <w:rFonts w:hint="cs"/>
          <w:rtl/>
        </w:rPr>
        <w:t xml:space="preserve"> הגיעו </w:t>
      </w:r>
      <w:r>
        <w:rPr>
          <w:rFonts w:hint="cs"/>
          <w:rtl/>
        </w:rPr>
        <w:t xml:space="preserve">למסקנתם </w:t>
      </w:r>
      <w:r w:rsidRPr="00B25ED4">
        <w:rPr>
          <w:rFonts w:hint="cs"/>
          <w:rtl/>
        </w:rPr>
        <w:t xml:space="preserve">בדרכים שונות. הדיין </w:t>
      </w:r>
      <w:r w:rsidRPr="00F674F9">
        <w:rPr>
          <w:rFonts w:cs="Miriam" w:hint="cs"/>
          <w:b/>
          <w:spacing w:val="0"/>
          <w:sz w:val="22"/>
          <w:szCs w:val="24"/>
          <w:rtl/>
        </w:rPr>
        <w:t>אלמליח</w:t>
      </w:r>
      <w:r w:rsidRPr="00B25ED4">
        <w:rPr>
          <w:rFonts w:hint="cs"/>
          <w:rtl/>
        </w:rPr>
        <w:t xml:space="preserve"> סבר כי המבקשת לא הציגה אינדיקציות חזקות דיין לכוונת שיתוף בבית ועל כן לא עמדה בנטל להוכחת "דבר מה נוסף". </w:t>
      </w:r>
      <w:r>
        <w:rPr>
          <w:rFonts w:hint="cs"/>
          <w:rtl/>
        </w:rPr>
        <w:t xml:space="preserve">הוא </w:t>
      </w:r>
      <w:r w:rsidRPr="00B25ED4">
        <w:rPr>
          <w:rFonts w:hint="cs"/>
          <w:rtl/>
        </w:rPr>
        <w:t xml:space="preserve">הדגיש כי השיפוץ בוצע באמצעות כספיו של המשיב, והסיק כי אין ללמוד מכך על רצון לשתף את המבקשת בנכס </w:t>
      </w:r>
      <w:r w:rsidRPr="00B25ED4">
        <w:rPr>
          <w:rtl/>
        </w:rPr>
        <w:t>–</w:t>
      </w:r>
      <w:r w:rsidRPr="00B25ED4">
        <w:rPr>
          <w:rFonts w:hint="cs"/>
          <w:rtl/>
        </w:rPr>
        <w:t xml:space="preserve"> "</w:t>
      </w:r>
      <w:r w:rsidRPr="00B25ED4">
        <w:rPr>
          <w:rtl/>
        </w:rPr>
        <w:t>שהרי הכספים היו בבעלותו והנכס היה בבעלותו, ומדוע נאמר כי התבססה כאן עילת שיתוף כלשה</w:t>
      </w:r>
      <w:r w:rsidRPr="00B25ED4">
        <w:rPr>
          <w:rFonts w:hint="cs"/>
          <w:rtl/>
        </w:rPr>
        <w:t xml:space="preserve">י?". עוד נתן הדיין </w:t>
      </w:r>
      <w:r w:rsidRPr="00F674F9">
        <w:rPr>
          <w:rFonts w:cs="Miriam" w:hint="cs"/>
          <w:b/>
          <w:spacing w:val="0"/>
          <w:sz w:val="22"/>
          <w:szCs w:val="24"/>
          <w:rtl/>
        </w:rPr>
        <w:t>אלמליח</w:t>
      </w:r>
      <w:r w:rsidRPr="00B25ED4">
        <w:rPr>
          <w:rFonts w:hint="cs"/>
          <w:rtl/>
        </w:rPr>
        <w:t xml:space="preserve"> משקל לעובדה שהבית נבנה במהלך תקופת הנישואין </w:t>
      </w:r>
      <w:r>
        <w:rPr>
          <w:rFonts w:hint="cs"/>
          <w:rtl/>
        </w:rPr>
        <w:t>אך נרשם על שם המשיב בלבד, והוא הוסיף</w:t>
      </w:r>
      <w:r w:rsidRPr="00B25ED4">
        <w:rPr>
          <w:rFonts w:hint="cs"/>
          <w:rtl/>
        </w:rPr>
        <w:t xml:space="preserve"> כי ייתכן תרחיש שבו נכס שנרשם על שם אחד מבני הזוג </w:t>
      </w:r>
      <w:r>
        <w:rPr>
          <w:rFonts w:hint="cs"/>
          <w:rtl/>
        </w:rPr>
        <w:t xml:space="preserve">יהפוך </w:t>
      </w:r>
      <w:r w:rsidRPr="00B25ED4">
        <w:rPr>
          <w:rFonts w:hint="cs"/>
          <w:rtl/>
        </w:rPr>
        <w:t>למשותף בהמשך חיי הנישואין, אך "</w:t>
      </w:r>
      <w:r w:rsidRPr="00B25ED4">
        <w:rPr>
          <w:rFonts w:hint="eastAsia"/>
          <w:rtl/>
        </w:rPr>
        <w:t>במקום</w:t>
      </w:r>
      <w:r w:rsidRPr="00B25ED4">
        <w:rPr>
          <w:rtl/>
        </w:rPr>
        <w:t xml:space="preserve"> </w:t>
      </w:r>
      <w:r w:rsidRPr="00B25ED4">
        <w:rPr>
          <w:rFonts w:hint="eastAsia"/>
          <w:rtl/>
        </w:rPr>
        <w:t>שבו</w:t>
      </w:r>
      <w:r w:rsidRPr="00B25ED4">
        <w:rPr>
          <w:rtl/>
        </w:rPr>
        <w:t xml:space="preserve"> </w:t>
      </w:r>
      <w:r w:rsidRPr="00B25ED4">
        <w:rPr>
          <w:rFonts w:hint="eastAsia"/>
          <w:rtl/>
        </w:rPr>
        <w:t>כבר</w:t>
      </w:r>
      <w:r w:rsidRPr="00B25ED4">
        <w:rPr>
          <w:rtl/>
        </w:rPr>
        <w:t xml:space="preserve"> </w:t>
      </w:r>
      <w:r w:rsidRPr="00B25ED4">
        <w:rPr>
          <w:rFonts w:hint="eastAsia"/>
          <w:rtl/>
        </w:rPr>
        <w:t>הביע</w:t>
      </w:r>
      <w:r w:rsidRPr="00B25ED4">
        <w:rPr>
          <w:rtl/>
        </w:rPr>
        <w:t xml:space="preserve"> </w:t>
      </w:r>
      <w:r w:rsidRPr="00B25ED4">
        <w:rPr>
          <w:rFonts w:hint="eastAsia"/>
          <w:rtl/>
        </w:rPr>
        <w:t>בעל</w:t>
      </w:r>
      <w:r w:rsidRPr="00B25ED4">
        <w:rPr>
          <w:rtl/>
        </w:rPr>
        <w:t xml:space="preserve"> </w:t>
      </w:r>
      <w:r w:rsidRPr="00B25ED4">
        <w:rPr>
          <w:rFonts w:hint="eastAsia"/>
          <w:rtl/>
        </w:rPr>
        <w:t>הנכס</w:t>
      </w:r>
      <w:r w:rsidRPr="00B25ED4">
        <w:rPr>
          <w:rtl/>
        </w:rPr>
        <w:t xml:space="preserve"> </w:t>
      </w:r>
      <w:r w:rsidRPr="00B25ED4">
        <w:rPr>
          <w:rFonts w:hint="eastAsia"/>
          <w:rtl/>
        </w:rPr>
        <w:t>את</w:t>
      </w:r>
      <w:r w:rsidRPr="00B25ED4">
        <w:rPr>
          <w:rtl/>
        </w:rPr>
        <w:t xml:space="preserve"> </w:t>
      </w:r>
      <w:r w:rsidRPr="00B25ED4">
        <w:rPr>
          <w:rFonts w:hint="eastAsia"/>
          <w:rtl/>
        </w:rPr>
        <w:t>רצונו</w:t>
      </w:r>
      <w:r w:rsidRPr="00B25ED4">
        <w:rPr>
          <w:rtl/>
        </w:rPr>
        <w:t xml:space="preserve"> </w:t>
      </w:r>
      <w:r w:rsidRPr="00B25ED4">
        <w:rPr>
          <w:rFonts w:hint="eastAsia"/>
          <w:rtl/>
        </w:rPr>
        <w:t>שלא</w:t>
      </w:r>
      <w:r w:rsidRPr="00B25ED4">
        <w:rPr>
          <w:rtl/>
        </w:rPr>
        <w:t xml:space="preserve"> </w:t>
      </w:r>
      <w:r w:rsidRPr="00B25ED4">
        <w:rPr>
          <w:rFonts w:hint="eastAsia"/>
          <w:rtl/>
        </w:rPr>
        <w:t>לשתף</w:t>
      </w:r>
      <w:r w:rsidRPr="00B25ED4">
        <w:rPr>
          <w:rtl/>
        </w:rPr>
        <w:t xml:space="preserve"> </w:t>
      </w:r>
      <w:r w:rsidRPr="00B25ED4">
        <w:rPr>
          <w:rFonts w:hint="eastAsia"/>
          <w:rtl/>
        </w:rPr>
        <w:t>כי</w:t>
      </w:r>
      <w:r w:rsidRPr="00B25ED4">
        <w:rPr>
          <w:rtl/>
        </w:rPr>
        <w:t xml:space="preserve"> </w:t>
      </w:r>
      <w:r w:rsidRPr="00B25ED4">
        <w:rPr>
          <w:rFonts w:hint="eastAsia"/>
          <w:rtl/>
        </w:rPr>
        <w:t>אז</w:t>
      </w:r>
      <w:r w:rsidRPr="00B25ED4">
        <w:rPr>
          <w:rtl/>
        </w:rPr>
        <w:t xml:space="preserve"> </w:t>
      </w:r>
      <w:r w:rsidRPr="00B25ED4">
        <w:rPr>
          <w:rFonts w:hint="eastAsia"/>
          <w:rtl/>
        </w:rPr>
        <w:t>נטל</w:t>
      </w:r>
      <w:r w:rsidRPr="00B25ED4">
        <w:rPr>
          <w:rtl/>
        </w:rPr>
        <w:t xml:space="preserve"> </w:t>
      </w:r>
      <w:r w:rsidRPr="00B25ED4">
        <w:rPr>
          <w:rFonts w:hint="eastAsia"/>
          <w:rtl/>
        </w:rPr>
        <w:t>ההוכחה</w:t>
      </w:r>
      <w:r w:rsidRPr="00B25ED4">
        <w:rPr>
          <w:rtl/>
        </w:rPr>
        <w:t xml:space="preserve"> </w:t>
      </w:r>
      <w:r w:rsidRPr="00B25ED4">
        <w:rPr>
          <w:rFonts w:hint="eastAsia"/>
          <w:rtl/>
        </w:rPr>
        <w:t>על</w:t>
      </w:r>
      <w:r w:rsidRPr="00B25ED4">
        <w:rPr>
          <w:rtl/>
        </w:rPr>
        <w:t xml:space="preserve"> </w:t>
      </w:r>
      <w:r w:rsidRPr="00B25ED4">
        <w:rPr>
          <w:rFonts w:hint="eastAsia"/>
          <w:rtl/>
        </w:rPr>
        <w:t>המבקש</w:t>
      </w:r>
      <w:r w:rsidRPr="00B25ED4">
        <w:rPr>
          <w:rtl/>
        </w:rPr>
        <w:t xml:space="preserve"> </w:t>
      </w:r>
      <w:r w:rsidRPr="00B25ED4">
        <w:rPr>
          <w:rFonts w:hint="eastAsia"/>
          <w:rtl/>
        </w:rPr>
        <w:t>לשתף</w:t>
      </w:r>
      <w:r w:rsidRPr="00B25ED4">
        <w:rPr>
          <w:rtl/>
        </w:rPr>
        <w:t xml:space="preserve"> </w:t>
      </w:r>
      <w:r w:rsidRPr="00B25ED4">
        <w:rPr>
          <w:rFonts w:hint="eastAsia"/>
          <w:rtl/>
        </w:rPr>
        <w:t>הינו</w:t>
      </w:r>
      <w:r w:rsidRPr="00B25ED4">
        <w:rPr>
          <w:rtl/>
        </w:rPr>
        <w:t xml:space="preserve"> </w:t>
      </w:r>
      <w:r w:rsidRPr="00B25ED4">
        <w:rPr>
          <w:rFonts w:hint="eastAsia"/>
          <w:rtl/>
        </w:rPr>
        <w:t>כבד</w:t>
      </w:r>
      <w:r w:rsidRPr="00B25ED4">
        <w:rPr>
          <w:rtl/>
        </w:rPr>
        <w:t xml:space="preserve"> </w:t>
      </w:r>
      <w:r w:rsidRPr="00B25ED4">
        <w:rPr>
          <w:rFonts w:hint="eastAsia"/>
          <w:rtl/>
        </w:rPr>
        <w:t>יותר</w:t>
      </w:r>
      <w:r w:rsidRPr="00B25ED4">
        <w:rPr>
          <w:rFonts w:hint="cs"/>
          <w:rtl/>
        </w:rPr>
        <w:t xml:space="preserve">". נוכח כל זאת סבר הדיין </w:t>
      </w:r>
      <w:r w:rsidRPr="00F674F9">
        <w:rPr>
          <w:rFonts w:cs="Miriam" w:hint="cs"/>
          <w:b/>
          <w:spacing w:val="0"/>
          <w:sz w:val="22"/>
          <w:szCs w:val="24"/>
          <w:rtl/>
        </w:rPr>
        <w:t>אלמליח</w:t>
      </w:r>
      <w:r w:rsidRPr="00B25ED4">
        <w:rPr>
          <w:rFonts w:hint="cs"/>
          <w:rtl/>
        </w:rPr>
        <w:t xml:space="preserve"> כי לא הוכח קיומו של "דבר מה נוסף" ולא התקיים שיתוף בבית.</w:t>
      </w:r>
      <w:r>
        <w:rPr>
          <w:rFonts w:hint="cs"/>
          <w:rtl/>
        </w:rPr>
        <w:t xml:space="preserve"> </w:t>
      </w:r>
      <w:r w:rsidRPr="00213B03">
        <w:rPr>
          <w:rFonts w:hint="cs"/>
          <w:rtl/>
        </w:rPr>
        <w:t xml:space="preserve">הדיין </w:t>
      </w:r>
      <w:r w:rsidRPr="00213B03">
        <w:rPr>
          <w:rFonts w:cs="Miriam" w:hint="cs"/>
          <w:b/>
          <w:spacing w:val="0"/>
          <w:sz w:val="22"/>
          <w:szCs w:val="24"/>
          <w:rtl/>
        </w:rPr>
        <w:t>נהרי</w:t>
      </w:r>
      <w:r w:rsidRPr="00213B03">
        <w:rPr>
          <w:rFonts w:hint="cs"/>
          <w:rtl/>
        </w:rPr>
        <w:t>, לעומת זאת, נתן משקל משמעותי בחוות דעתו לבגידתה הנטענת של המבקשת במשיב</w:t>
      </w:r>
      <w:r>
        <w:rPr>
          <w:rFonts w:hint="cs"/>
          <w:rtl/>
        </w:rPr>
        <w:t>.</w:t>
      </w:r>
      <w:r w:rsidRPr="00213B03">
        <w:rPr>
          <w:rFonts w:hint="cs"/>
          <w:rtl/>
        </w:rPr>
        <w:t xml:space="preserve"> הוא סבר כי </w:t>
      </w:r>
      <w:r w:rsidRPr="00213B03">
        <w:rPr>
          <w:rFonts w:hint="eastAsia"/>
          <w:rtl/>
        </w:rPr>
        <w:t>על</w:t>
      </w:r>
      <w:r w:rsidRPr="00213B03">
        <w:rPr>
          <w:rtl/>
        </w:rPr>
        <w:t xml:space="preserve"> </w:t>
      </w:r>
      <w:r w:rsidRPr="00213B03">
        <w:rPr>
          <w:rFonts w:hint="eastAsia"/>
          <w:rtl/>
        </w:rPr>
        <w:t>בית</w:t>
      </w:r>
      <w:r w:rsidRPr="00213B03">
        <w:rPr>
          <w:rtl/>
        </w:rPr>
        <w:t xml:space="preserve"> </w:t>
      </w:r>
      <w:r w:rsidRPr="00213B03">
        <w:rPr>
          <w:rFonts w:hint="eastAsia"/>
          <w:rtl/>
        </w:rPr>
        <w:t>הדין</w:t>
      </w:r>
      <w:r w:rsidRPr="00213B03">
        <w:rPr>
          <w:rtl/>
        </w:rPr>
        <w:t xml:space="preserve"> </w:t>
      </w:r>
      <w:r w:rsidRPr="00213B03">
        <w:rPr>
          <w:rFonts w:hint="eastAsia"/>
          <w:rtl/>
        </w:rPr>
        <w:t>לנהוג</w:t>
      </w:r>
      <w:r w:rsidRPr="00213B03">
        <w:rPr>
          <w:rtl/>
        </w:rPr>
        <w:t xml:space="preserve"> </w:t>
      </w:r>
      <w:r w:rsidRPr="00213B03">
        <w:rPr>
          <w:rFonts w:hint="eastAsia"/>
          <w:rtl/>
        </w:rPr>
        <w:t>באמות</w:t>
      </w:r>
      <w:r w:rsidRPr="00213B03">
        <w:rPr>
          <w:rtl/>
        </w:rPr>
        <w:t xml:space="preserve"> </w:t>
      </w:r>
      <w:r w:rsidRPr="00213B03">
        <w:rPr>
          <w:rFonts w:hint="eastAsia"/>
          <w:rtl/>
        </w:rPr>
        <w:t>מידה</w:t>
      </w:r>
      <w:r w:rsidRPr="00213B03">
        <w:rPr>
          <w:rtl/>
        </w:rPr>
        <w:t xml:space="preserve"> </w:t>
      </w:r>
      <w:r w:rsidRPr="00213B03">
        <w:rPr>
          <w:rFonts w:hint="eastAsia"/>
          <w:rtl/>
        </w:rPr>
        <w:t>מחמירות</w:t>
      </w:r>
      <w:r w:rsidRPr="00213B03">
        <w:rPr>
          <w:rtl/>
        </w:rPr>
        <w:t xml:space="preserve"> </w:t>
      </w:r>
      <w:r w:rsidRPr="00213B03">
        <w:rPr>
          <w:rFonts w:hint="cs"/>
          <w:rtl/>
        </w:rPr>
        <w:t>"</w:t>
      </w:r>
      <w:r w:rsidRPr="00213B03">
        <w:rPr>
          <w:rFonts w:hint="eastAsia"/>
          <w:rtl/>
        </w:rPr>
        <w:t>כאשר</w:t>
      </w:r>
      <w:r w:rsidRPr="00213B03">
        <w:rPr>
          <w:rtl/>
        </w:rPr>
        <w:t xml:space="preserve"> </w:t>
      </w:r>
      <w:r w:rsidRPr="00213B03">
        <w:rPr>
          <w:rFonts w:hint="eastAsia"/>
          <w:rtl/>
        </w:rPr>
        <w:t>מצטרפת</w:t>
      </w:r>
      <w:r w:rsidRPr="00213B03">
        <w:rPr>
          <w:rtl/>
        </w:rPr>
        <w:t xml:space="preserve"> </w:t>
      </w:r>
      <w:r w:rsidRPr="00213B03">
        <w:rPr>
          <w:rFonts w:hint="eastAsia"/>
          <w:rtl/>
        </w:rPr>
        <w:t>למקרה</w:t>
      </w:r>
      <w:r w:rsidRPr="00213B03">
        <w:rPr>
          <w:rtl/>
        </w:rPr>
        <w:t xml:space="preserve"> </w:t>
      </w:r>
      <w:r w:rsidRPr="00213B03">
        <w:rPr>
          <w:rFonts w:hint="eastAsia"/>
          <w:rtl/>
        </w:rPr>
        <w:t>עילת</w:t>
      </w:r>
      <w:r w:rsidRPr="00213B03">
        <w:rPr>
          <w:rtl/>
        </w:rPr>
        <w:t xml:space="preserve"> </w:t>
      </w:r>
      <w:r w:rsidRPr="00213B03">
        <w:rPr>
          <w:rFonts w:hint="eastAsia"/>
          <w:rtl/>
        </w:rPr>
        <w:t>בגידה</w:t>
      </w:r>
      <w:r w:rsidRPr="00213B03">
        <w:rPr>
          <w:rtl/>
        </w:rPr>
        <w:t xml:space="preserve"> </w:t>
      </w:r>
      <w:r w:rsidRPr="00213B03">
        <w:rPr>
          <w:rFonts w:hint="eastAsia"/>
          <w:rtl/>
        </w:rPr>
        <w:t>שבוודאי</w:t>
      </w:r>
      <w:r w:rsidRPr="00213B03">
        <w:rPr>
          <w:rtl/>
        </w:rPr>
        <w:t xml:space="preserve"> </w:t>
      </w:r>
      <w:r w:rsidRPr="00213B03">
        <w:rPr>
          <w:rFonts w:hint="eastAsia"/>
          <w:rtl/>
        </w:rPr>
        <w:t>אי</w:t>
      </w:r>
      <w:r w:rsidRPr="00213B03">
        <w:rPr>
          <w:rtl/>
        </w:rPr>
        <w:t xml:space="preserve"> </w:t>
      </w:r>
      <w:r w:rsidRPr="00213B03">
        <w:rPr>
          <w:rFonts w:hint="eastAsia"/>
          <w:rtl/>
        </w:rPr>
        <w:t>אפשר</w:t>
      </w:r>
      <w:r w:rsidRPr="00213B03">
        <w:rPr>
          <w:rtl/>
        </w:rPr>
        <w:t xml:space="preserve"> </w:t>
      </w:r>
      <w:r w:rsidRPr="00213B03">
        <w:rPr>
          <w:rFonts w:hint="eastAsia"/>
          <w:rtl/>
        </w:rPr>
        <w:t>לומר</w:t>
      </w:r>
      <w:r w:rsidRPr="00213B03">
        <w:rPr>
          <w:rtl/>
        </w:rPr>
        <w:t xml:space="preserve"> </w:t>
      </w:r>
      <w:r w:rsidRPr="00213B03">
        <w:rPr>
          <w:rFonts w:hint="eastAsia"/>
          <w:rtl/>
        </w:rPr>
        <w:t>שיש</w:t>
      </w:r>
      <w:r w:rsidRPr="00213B03">
        <w:rPr>
          <w:rtl/>
        </w:rPr>
        <w:t xml:space="preserve"> </w:t>
      </w:r>
      <w:r w:rsidRPr="00213B03">
        <w:rPr>
          <w:rFonts w:hint="eastAsia"/>
          <w:rtl/>
        </w:rPr>
        <w:t>אומדנה</w:t>
      </w:r>
      <w:r w:rsidRPr="00213B03">
        <w:rPr>
          <w:rtl/>
        </w:rPr>
        <w:t xml:space="preserve"> </w:t>
      </w:r>
      <w:r w:rsidRPr="00213B03">
        <w:rPr>
          <w:rFonts w:hint="eastAsia"/>
          <w:rtl/>
        </w:rPr>
        <w:t>לכוונת</w:t>
      </w:r>
      <w:r w:rsidRPr="00213B03">
        <w:rPr>
          <w:rtl/>
        </w:rPr>
        <w:t xml:space="preserve"> </w:t>
      </w:r>
      <w:r w:rsidRPr="00213B03">
        <w:rPr>
          <w:rFonts w:hint="eastAsia"/>
          <w:rtl/>
        </w:rPr>
        <w:t>שיתוף</w:t>
      </w:r>
      <w:r w:rsidRPr="00213B03">
        <w:rPr>
          <w:rtl/>
        </w:rPr>
        <w:t xml:space="preserve"> </w:t>
      </w:r>
      <w:r w:rsidRPr="00213B03">
        <w:rPr>
          <w:rFonts w:hint="eastAsia"/>
          <w:rtl/>
        </w:rPr>
        <w:t>מצד</w:t>
      </w:r>
      <w:r w:rsidRPr="00213B03">
        <w:rPr>
          <w:rtl/>
        </w:rPr>
        <w:t xml:space="preserve"> </w:t>
      </w:r>
      <w:r w:rsidRPr="00213B03">
        <w:rPr>
          <w:rFonts w:hint="cs"/>
          <w:rtl/>
        </w:rPr>
        <w:t xml:space="preserve">[המשיב] </w:t>
      </w:r>
      <w:r w:rsidRPr="00213B03">
        <w:rPr>
          <w:rFonts w:hint="eastAsia"/>
          <w:rtl/>
        </w:rPr>
        <w:t>הנבגד</w:t>
      </w:r>
      <w:r w:rsidRPr="00213B03">
        <w:rPr>
          <w:rtl/>
        </w:rPr>
        <w:t xml:space="preserve"> </w:t>
      </w:r>
      <w:r w:rsidRPr="00213B03">
        <w:rPr>
          <w:rFonts w:hint="eastAsia"/>
          <w:rtl/>
        </w:rPr>
        <w:t>על</w:t>
      </w:r>
      <w:r w:rsidRPr="00213B03">
        <w:rPr>
          <w:rtl/>
        </w:rPr>
        <w:t xml:space="preserve"> </w:t>
      </w:r>
      <w:r w:rsidRPr="00213B03">
        <w:rPr>
          <w:rFonts w:hint="eastAsia"/>
          <w:rtl/>
        </w:rPr>
        <w:t>ידי</w:t>
      </w:r>
      <w:r w:rsidRPr="00213B03">
        <w:rPr>
          <w:rtl/>
        </w:rPr>
        <w:t xml:space="preserve"> </w:t>
      </w:r>
      <w:r w:rsidRPr="00213B03">
        <w:rPr>
          <w:rFonts w:hint="cs"/>
          <w:rtl/>
        </w:rPr>
        <w:t xml:space="preserve">[המבקשת]". </w:t>
      </w:r>
      <w:r>
        <w:rPr>
          <w:rFonts w:hint="cs"/>
          <w:rtl/>
        </w:rPr>
        <w:t xml:space="preserve">עוד סבר הדיין </w:t>
      </w:r>
      <w:r w:rsidRPr="00422503">
        <w:rPr>
          <w:rFonts w:cs="Miriam" w:hint="eastAsia"/>
          <w:b/>
          <w:spacing w:val="0"/>
          <w:sz w:val="22"/>
          <w:szCs w:val="24"/>
          <w:rtl/>
        </w:rPr>
        <w:t>נהרי</w:t>
      </w:r>
      <w:r>
        <w:rPr>
          <w:rFonts w:hint="cs"/>
          <w:rtl/>
        </w:rPr>
        <w:t xml:space="preserve"> כי </w:t>
      </w:r>
      <w:r w:rsidRPr="00604EF9">
        <w:rPr>
          <w:rFonts w:hint="cs"/>
          <w:rtl/>
        </w:rPr>
        <w:t xml:space="preserve">זכות הנוצרת מכוח הלכת </w:t>
      </w:r>
      <w:r w:rsidRPr="00C438B6">
        <w:rPr>
          <w:rFonts w:hint="cs"/>
          <w:rtl/>
        </w:rPr>
        <w:t xml:space="preserve">השיתוף הספציפי מתגבשת רק במועד סיום הנישואין </w:t>
      </w:r>
      <w:r>
        <w:rPr>
          <w:rtl/>
        </w:rPr>
        <w:t>–</w:t>
      </w:r>
      <w:r>
        <w:rPr>
          <w:rFonts w:hint="cs"/>
          <w:rtl/>
        </w:rPr>
        <w:t xml:space="preserve"> </w:t>
      </w:r>
      <w:r w:rsidRPr="00C438B6">
        <w:rPr>
          <w:rFonts w:hint="cs"/>
          <w:rtl/>
        </w:rPr>
        <w:t xml:space="preserve">ולחלופין </w:t>
      </w:r>
      <w:r>
        <w:rPr>
          <w:rFonts w:hint="cs"/>
          <w:rtl/>
        </w:rPr>
        <w:t>כי מדובר ב</w:t>
      </w:r>
      <w:r w:rsidRPr="00C438B6">
        <w:rPr>
          <w:rFonts w:hint="cs"/>
          <w:rtl/>
        </w:rPr>
        <w:t>זכו</w:t>
      </w:r>
      <w:r>
        <w:rPr>
          <w:rFonts w:hint="cs"/>
          <w:rtl/>
        </w:rPr>
        <w:t>ת שניתן לשלול אותה לאחר שהתגבשה.</w:t>
      </w:r>
    </w:p>
    <w:p w:rsidR="00FA3A86" w:rsidRDefault="00FA3A86" w:rsidP="00FA3A86">
      <w:pPr>
        <w:pStyle w:val="Ruller4"/>
        <w:numPr>
          <w:ilvl w:val="0"/>
          <w:numId w:val="0"/>
        </w:numPr>
        <w:rPr>
          <w:rtl/>
        </w:rPr>
      </w:pPr>
    </w:p>
    <w:p w:rsidR="00FA3A86" w:rsidRPr="00157364" w:rsidRDefault="00FA3A86" w:rsidP="00FA3A86">
      <w:pPr>
        <w:pStyle w:val="Ruller41"/>
        <w:rPr>
          <w:rtl/>
        </w:rPr>
      </w:pPr>
    </w:p>
    <w:p w:rsidR="00FA3A86" w:rsidRPr="00B25ED4" w:rsidRDefault="00FA3A86" w:rsidP="00FA3A86">
      <w:pPr>
        <w:pStyle w:val="Ruller4"/>
        <w:rPr>
          <w:rtl/>
        </w:rPr>
      </w:pPr>
      <w:r w:rsidRPr="00B25ED4">
        <w:rPr>
          <w:rFonts w:hint="cs"/>
          <w:rtl/>
        </w:rPr>
        <w:lastRenderedPageBreak/>
        <w:t>עיון בפסק דינו של בית הדין הרבני הגדול מלמד כי הדיינים ביקשו למצוא ראיות מפורשות וברורות לאיתור כוונת שיתוף, כגון היקף השיפוץ ש</w:t>
      </w:r>
      <w:r>
        <w:rPr>
          <w:rFonts w:hint="cs"/>
          <w:rtl/>
        </w:rPr>
        <w:t xml:space="preserve">בוצע בנכס או הסטטוס הרישומי שלו. הדיין </w:t>
      </w:r>
      <w:r w:rsidRPr="00007314">
        <w:rPr>
          <w:rFonts w:ascii="Century" w:hAnsi="Century" w:cs="Miriam" w:hint="cs"/>
          <w:b/>
          <w:spacing w:val="0"/>
          <w:szCs w:val="24"/>
          <w:rtl/>
        </w:rPr>
        <w:t xml:space="preserve">אלמליח </w:t>
      </w:r>
      <w:r w:rsidRPr="00422503">
        <w:rPr>
          <w:rFonts w:hint="eastAsia"/>
          <w:rtl/>
        </w:rPr>
        <w:t>אף</w:t>
      </w:r>
      <w:r w:rsidRPr="00422503">
        <w:rPr>
          <w:rtl/>
        </w:rPr>
        <w:t xml:space="preserve"> </w:t>
      </w:r>
      <w:r w:rsidRPr="00422503">
        <w:rPr>
          <w:rFonts w:hint="eastAsia"/>
          <w:rtl/>
        </w:rPr>
        <w:t>סבר</w:t>
      </w:r>
      <w:r w:rsidRPr="00422503">
        <w:rPr>
          <w:rtl/>
        </w:rPr>
        <w:t xml:space="preserve"> </w:t>
      </w:r>
      <w:r w:rsidRPr="00422503">
        <w:rPr>
          <w:rFonts w:hint="eastAsia"/>
          <w:rtl/>
        </w:rPr>
        <w:t>כי</w:t>
      </w:r>
      <w:r w:rsidRPr="00422503">
        <w:rPr>
          <w:rtl/>
        </w:rPr>
        <w:t xml:space="preserve"> </w:t>
      </w:r>
      <w:r w:rsidRPr="00422503">
        <w:rPr>
          <w:rFonts w:hint="eastAsia"/>
          <w:rtl/>
        </w:rPr>
        <w:t>בנסיבות</w:t>
      </w:r>
      <w:r w:rsidRPr="00422503">
        <w:rPr>
          <w:rtl/>
        </w:rPr>
        <w:t xml:space="preserve"> </w:t>
      </w:r>
      <w:r w:rsidRPr="00422503">
        <w:rPr>
          <w:rFonts w:hint="eastAsia"/>
          <w:rtl/>
        </w:rPr>
        <w:t>העניין</w:t>
      </w:r>
      <w:r w:rsidRPr="00422503">
        <w:rPr>
          <w:rtl/>
        </w:rPr>
        <w:t xml:space="preserve"> </w:t>
      </w:r>
      <w:r w:rsidRPr="00422503">
        <w:rPr>
          <w:rFonts w:hint="eastAsia"/>
          <w:rtl/>
        </w:rPr>
        <w:t>שלפנינו</w:t>
      </w:r>
      <w:r w:rsidRPr="00422503">
        <w:rPr>
          <w:rtl/>
        </w:rPr>
        <w:t xml:space="preserve">, </w:t>
      </w:r>
      <w:r w:rsidRPr="00422503">
        <w:rPr>
          <w:rFonts w:hint="eastAsia"/>
          <w:rtl/>
        </w:rPr>
        <w:t>נוכח</w:t>
      </w:r>
      <w:r w:rsidRPr="00422503">
        <w:rPr>
          <w:rtl/>
        </w:rPr>
        <w:t xml:space="preserve"> </w:t>
      </w:r>
      <w:r w:rsidRPr="00422503">
        <w:rPr>
          <w:rFonts w:hint="eastAsia"/>
          <w:rtl/>
        </w:rPr>
        <w:t>העובדה</w:t>
      </w:r>
      <w:r w:rsidRPr="00422503">
        <w:rPr>
          <w:rtl/>
        </w:rPr>
        <w:t xml:space="preserve"> </w:t>
      </w:r>
      <w:r w:rsidRPr="00422503">
        <w:rPr>
          <w:rFonts w:hint="eastAsia"/>
          <w:rtl/>
        </w:rPr>
        <w:t>שהנכס</w:t>
      </w:r>
      <w:r w:rsidRPr="00422503">
        <w:rPr>
          <w:rtl/>
        </w:rPr>
        <w:t xml:space="preserve"> </w:t>
      </w:r>
      <w:r w:rsidRPr="00422503">
        <w:rPr>
          <w:rFonts w:hint="eastAsia"/>
          <w:rtl/>
        </w:rPr>
        <w:t>נרשם</w:t>
      </w:r>
      <w:r w:rsidRPr="00422503">
        <w:rPr>
          <w:rtl/>
        </w:rPr>
        <w:t xml:space="preserve"> </w:t>
      </w:r>
      <w:r w:rsidRPr="00422503">
        <w:rPr>
          <w:rFonts w:hint="eastAsia"/>
          <w:rtl/>
        </w:rPr>
        <w:t>על</w:t>
      </w:r>
      <w:r w:rsidRPr="00422503">
        <w:rPr>
          <w:rtl/>
        </w:rPr>
        <w:t xml:space="preserve"> </w:t>
      </w:r>
      <w:r w:rsidRPr="00422503">
        <w:rPr>
          <w:rFonts w:hint="eastAsia"/>
          <w:rtl/>
        </w:rPr>
        <w:t>שם</w:t>
      </w:r>
      <w:r w:rsidRPr="00422503">
        <w:rPr>
          <w:rtl/>
        </w:rPr>
        <w:t xml:space="preserve"> </w:t>
      </w:r>
      <w:r w:rsidRPr="00422503">
        <w:rPr>
          <w:rFonts w:hint="eastAsia"/>
          <w:rtl/>
        </w:rPr>
        <w:t>המשיב</w:t>
      </w:r>
      <w:r w:rsidRPr="00422503">
        <w:rPr>
          <w:rtl/>
        </w:rPr>
        <w:t xml:space="preserve"> </w:t>
      </w:r>
      <w:r>
        <w:rPr>
          <w:rFonts w:hint="cs"/>
          <w:rtl/>
        </w:rPr>
        <w:t>"</w:t>
      </w:r>
      <w:r w:rsidRPr="002E7456">
        <w:rPr>
          <w:rtl/>
        </w:rPr>
        <w:t>נטל ההוכחה על המבקש לשתף הינו כבד יותר</w:t>
      </w:r>
      <w:r w:rsidRPr="00422503">
        <w:rPr>
          <w:rtl/>
        </w:rPr>
        <w:t xml:space="preserve">"; </w:t>
      </w:r>
      <w:r w:rsidRPr="00422503">
        <w:rPr>
          <w:rFonts w:hint="eastAsia"/>
          <w:rtl/>
        </w:rPr>
        <w:t>הדיין</w:t>
      </w:r>
      <w:r w:rsidRPr="00422503">
        <w:rPr>
          <w:rtl/>
        </w:rPr>
        <w:t xml:space="preserve"> </w:t>
      </w:r>
      <w:r w:rsidRPr="00422503">
        <w:rPr>
          <w:rFonts w:ascii="Century" w:hAnsi="Century" w:cs="Miriam" w:hint="eastAsia"/>
          <w:b/>
          <w:spacing w:val="0"/>
          <w:szCs w:val="24"/>
          <w:rtl/>
        </w:rPr>
        <w:t>נהרי</w:t>
      </w:r>
      <w:r w:rsidRPr="00422503">
        <w:rPr>
          <w:rtl/>
        </w:rPr>
        <w:t xml:space="preserve"> </w:t>
      </w:r>
      <w:r w:rsidRPr="00422503">
        <w:rPr>
          <w:rFonts w:hint="eastAsia"/>
          <w:rtl/>
        </w:rPr>
        <w:t>הוסיף</w:t>
      </w:r>
      <w:r w:rsidRPr="00422503">
        <w:rPr>
          <w:rtl/>
        </w:rPr>
        <w:t xml:space="preserve"> </w:t>
      </w:r>
      <w:r w:rsidRPr="00422503">
        <w:rPr>
          <w:rFonts w:hint="eastAsia"/>
          <w:rtl/>
        </w:rPr>
        <w:t>כי</w:t>
      </w:r>
      <w:r w:rsidRPr="00422503">
        <w:rPr>
          <w:rtl/>
        </w:rPr>
        <w:t xml:space="preserve"> </w:t>
      </w:r>
      <w:r w:rsidRPr="00422503">
        <w:rPr>
          <w:rFonts w:hint="eastAsia"/>
          <w:rtl/>
        </w:rPr>
        <w:t>היות</w:t>
      </w:r>
      <w:r w:rsidRPr="00422503">
        <w:rPr>
          <w:rtl/>
        </w:rPr>
        <w:t xml:space="preserve"> </w:t>
      </w:r>
      <w:r w:rsidRPr="00422503">
        <w:rPr>
          <w:rFonts w:hint="eastAsia"/>
          <w:rtl/>
        </w:rPr>
        <w:t>שמדובר</w:t>
      </w:r>
      <w:r w:rsidRPr="00422503">
        <w:rPr>
          <w:rtl/>
        </w:rPr>
        <w:t xml:space="preserve"> </w:t>
      </w:r>
      <w:r w:rsidRPr="00422503">
        <w:rPr>
          <w:rFonts w:hint="eastAsia"/>
          <w:rtl/>
        </w:rPr>
        <w:t>בעסקת</w:t>
      </w:r>
      <w:r w:rsidRPr="00422503">
        <w:rPr>
          <w:rtl/>
        </w:rPr>
        <w:t xml:space="preserve"> </w:t>
      </w:r>
      <w:r w:rsidRPr="00422503">
        <w:rPr>
          <w:rFonts w:hint="eastAsia"/>
          <w:rtl/>
        </w:rPr>
        <w:t>קומבינציה</w:t>
      </w:r>
      <w:r w:rsidRPr="00422503">
        <w:rPr>
          <w:rtl/>
        </w:rPr>
        <w:t xml:space="preserve"> </w:t>
      </w:r>
      <w:r w:rsidRPr="00422503">
        <w:rPr>
          <w:rFonts w:hint="eastAsia"/>
          <w:rtl/>
        </w:rPr>
        <w:t>נדרשת</w:t>
      </w:r>
      <w:r w:rsidRPr="00422503">
        <w:rPr>
          <w:rtl/>
        </w:rPr>
        <w:t xml:space="preserve"> "</w:t>
      </w:r>
      <w:r w:rsidRPr="00422503">
        <w:rPr>
          <w:rFonts w:hint="eastAsia"/>
          <w:rtl/>
        </w:rPr>
        <w:t>רמת</w:t>
      </w:r>
      <w:r w:rsidRPr="00422503">
        <w:rPr>
          <w:rtl/>
        </w:rPr>
        <w:t xml:space="preserve"> </w:t>
      </w:r>
      <w:r w:rsidRPr="00422503">
        <w:rPr>
          <w:rFonts w:hint="eastAsia"/>
          <w:rtl/>
        </w:rPr>
        <w:t>הוכחה</w:t>
      </w:r>
      <w:r w:rsidRPr="00422503">
        <w:rPr>
          <w:rtl/>
        </w:rPr>
        <w:t xml:space="preserve"> </w:t>
      </w:r>
      <w:r w:rsidRPr="00422503">
        <w:rPr>
          <w:rFonts w:hint="eastAsia"/>
          <w:rtl/>
        </w:rPr>
        <w:t>גדולה</w:t>
      </w:r>
      <w:r w:rsidRPr="00422503">
        <w:rPr>
          <w:rtl/>
        </w:rPr>
        <w:t xml:space="preserve"> </w:t>
      </w:r>
      <w:r w:rsidRPr="00422503">
        <w:rPr>
          <w:rFonts w:hint="eastAsia"/>
          <w:rtl/>
        </w:rPr>
        <w:t>יותר</w:t>
      </w:r>
      <w:r w:rsidRPr="00422503">
        <w:rPr>
          <w:rtl/>
        </w:rPr>
        <w:t xml:space="preserve"> </w:t>
      </w:r>
      <w:r w:rsidRPr="00422503">
        <w:rPr>
          <w:rFonts w:hint="eastAsia"/>
          <w:rtl/>
        </w:rPr>
        <w:t>על</w:t>
      </w:r>
      <w:r w:rsidRPr="00422503">
        <w:rPr>
          <w:rtl/>
        </w:rPr>
        <w:t xml:space="preserve"> </w:t>
      </w:r>
      <w:r w:rsidRPr="00422503">
        <w:rPr>
          <w:rFonts w:hint="eastAsia"/>
          <w:rtl/>
        </w:rPr>
        <w:t>הבא</w:t>
      </w:r>
      <w:r w:rsidRPr="00422503">
        <w:rPr>
          <w:rtl/>
        </w:rPr>
        <w:t xml:space="preserve"> </w:t>
      </w:r>
      <w:r w:rsidRPr="00422503">
        <w:rPr>
          <w:rFonts w:hint="eastAsia"/>
          <w:rtl/>
        </w:rPr>
        <w:t>להוציא</w:t>
      </w:r>
      <w:r w:rsidRPr="00422503">
        <w:rPr>
          <w:rtl/>
        </w:rPr>
        <w:t xml:space="preserve"> </w:t>
      </w:r>
      <w:r w:rsidRPr="00422503">
        <w:rPr>
          <w:rFonts w:hint="eastAsia"/>
          <w:rtl/>
        </w:rPr>
        <w:t>מהמוחזק</w:t>
      </w:r>
      <w:r w:rsidRPr="00422503">
        <w:rPr>
          <w:rtl/>
        </w:rPr>
        <w:t xml:space="preserve"> </w:t>
      </w:r>
      <w:r w:rsidRPr="00422503">
        <w:rPr>
          <w:rFonts w:hint="eastAsia"/>
          <w:rtl/>
        </w:rPr>
        <w:t>ברישום</w:t>
      </w:r>
      <w:r w:rsidRPr="00422503">
        <w:rPr>
          <w:rtl/>
        </w:rPr>
        <w:t>",</w:t>
      </w:r>
      <w:r>
        <w:rPr>
          <w:rFonts w:hint="cs"/>
          <w:rtl/>
        </w:rPr>
        <w:t xml:space="preserve"> וכי </w:t>
      </w:r>
      <w:r w:rsidRPr="00B25ED4">
        <w:rPr>
          <w:rFonts w:hint="cs"/>
          <w:rtl/>
        </w:rPr>
        <w:t>"</w:t>
      </w:r>
      <w:r w:rsidRPr="00B25ED4">
        <w:rPr>
          <w:rFonts w:hint="eastAsia"/>
          <w:rtl/>
        </w:rPr>
        <w:t>על</w:t>
      </w:r>
      <w:r w:rsidRPr="00B25ED4">
        <w:rPr>
          <w:rtl/>
        </w:rPr>
        <w:t xml:space="preserve"> </w:t>
      </w:r>
      <w:r w:rsidRPr="00B25ED4">
        <w:rPr>
          <w:rFonts w:hint="eastAsia"/>
          <w:rtl/>
        </w:rPr>
        <w:t>בית</w:t>
      </w:r>
      <w:r w:rsidRPr="00B25ED4">
        <w:rPr>
          <w:rtl/>
        </w:rPr>
        <w:t xml:space="preserve"> </w:t>
      </w:r>
      <w:r w:rsidRPr="00B25ED4">
        <w:rPr>
          <w:rFonts w:hint="eastAsia"/>
          <w:rtl/>
        </w:rPr>
        <w:t>הדין</w:t>
      </w:r>
      <w:r w:rsidRPr="00B25ED4">
        <w:rPr>
          <w:rtl/>
        </w:rPr>
        <w:t xml:space="preserve"> </w:t>
      </w:r>
      <w:r w:rsidRPr="00B25ED4">
        <w:rPr>
          <w:rFonts w:hint="eastAsia"/>
          <w:rtl/>
        </w:rPr>
        <w:t>לנהוג</w:t>
      </w:r>
      <w:r w:rsidRPr="00B25ED4">
        <w:rPr>
          <w:rtl/>
        </w:rPr>
        <w:t xml:space="preserve"> </w:t>
      </w:r>
      <w:r w:rsidRPr="00B25ED4">
        <w:rPr>
          <w:rFonts w:hint="eastAsia"/>
          <w:rtl/>
        </w:rPr>
        <w:t>באמות</w:t>
      </w:r>
      <w:r w:rsidRPr="00B25ED4">
        <w:rPr>
          <w:rtl/>
        </w:rPr>
        <w:t xml:space="preserve"> </w:t>
      </w:r>
      <w:r w:rsidRPr="00B25ED4">
        <w:rPr>
          <w:rFonts w:hint="eastAsia"/>
          <w:rtl/>
        </w:rPr>
        <w:t>מידה</w:t>
      </w:r>
      <w:r w:rsidRPr="00B25ED4">
        <w:rPr>
          <w:rtl/>
        </w:rPr>
        <w:t xml:space="preserve"> </w:t>
      </w:r>
      <w:r w:rsidRPr="00B25ED4">
        <w:rPr>
          <w:rFonts w:hint="eastAsia"/>
          <w:rtl/>
        </w:rPr>
        <w:t>מחמירות</w:t>
      </w:r>
      <w:r w:rsidRPr="00B25ED4">
        <w:rPr>
          <w:rtl/>
        </w:rPr>
        <w:t xml:space="preserve"> </w:t>
      </w:r>
      <w:r w:rsidRPr="00B25ED4">
        <w:rPr>
          <w:rFonts w:hint="eastAsia"/>
          <w:rtl/>
        </w:rPr>
        <w:t>להוכחות</w:t>
      </w:r>
      <w:r w:rsidRPr="00B25ED4">
        <w:rPr>
          <w:rtl/>
        </w:rPr>
        <w:t xml:space="preserve"> </w:t>
      </w:r>
      <w:r w:rsidRPr="00B25ED4">
        <w:rPr>
          <w:rFonts w:hint="eastAsia"/>
          <w:rtl/>
        </w:rPr>
        <w:t>כוונת</w:t>
      </w:r>
      <w:r w:rsidRPr="00B25ED4">
        <w:rPr>
          <w:rtl/>
        </w:rPr>
        <w:t xml:space="preserve"> </w:t>
      </w:r>
      <w:r w:rsidRPr="00B25ED4">
        <w:rPr>
          <w:rFonts w:hint="eastAsia"/>
          <w:rtl/>
        </w:rPr>
        <w:t>שיתוף</w:t>
      </w:r>
      <w:r w:rsidRPr="00B25ED4">
        <w:rPr>
          <w:rtl/>
        </w:rPr>
        <w:t xml:space="preserve"> </w:t>
      </w:r>
      <w:r w:rsidRPr="00B25ED4">
        <w:rPr>
          <w:rFonts w:hint="eastAsia"/>
          <w:rtl/>
        </w:rPr>
        <w:t>הבנויה</w:t>
      </w:r>
      <w:r w:rsidRPr="00B25ED4">
        <w:rPr>
          <w:rtl/>
        </w:rPr>
        <w:t xml:space="preserve"> </w:t>
      </w:r>
      <w:r w:rsidRPr="00B25ED4">
        <w:rPr>
          <w:rFonts w:hint="eastAsia"/>
          <w:rtl/>
        </w:rPr>
        <w:t>על</w:t>
      </w:r>
      <w:r w:rsidRPr="00B25ED4">
        <w:rPr>
          <w:rtl/>
        </w:rPr>
        <w:t xml:space="preserve"> </w:t>
      </w:r>
      <w:r w:rsidRPr="00B25ED4">
        <w:rPr>
          <w:rFonts w:hint="eastAsia"/>
          <w:rtl/>
        </w:rPr>
        <w:t>הפסיקה</w:t>
      </w:r>
      <w:r w:rsidRPr="00B25ED4">
        <w:rPr>
          <w:rtl/>
        </w:rPr>
        <w:t xml:space="preserve"> </w:t>
      </w:r>
      <w:r w:rsidRPr="00B25ED4">
        <w:rPr>
          <w:rFonts w:hint="eastAsia"/>
          <w:rtl/>
        </w:rPr>
        <w:t>האזרחית</w:t>
      </w:r>
      <w:r>
        <w:rPr>
          <w:rFonts w:hint="cs"/>
          <w:rtl/>
        </w:rPr>
        <w:t>, ק</w:t>
      </w:r>
      <w:r w:rsidRPr="00A35606">
        <w:rPr>
          <w:rtl/>
        </w:rPr>
        <w:t>ל וחומר כאשר מצטרפת למקרה עילת בגידה</w:t>
      </w:r>
      <w:r w:rsidRPr="00A35606">
        <w:rPr>
          <w:rFonts w:hint="cs"/>
          <w:rtl/>
        </w:rPr>
        <w:t xml:space="preserve"> </w:t>
      </w:r>
      <w:r>
        <w:rPr>
          <w:rFonts w:hint="cs"/>
          <w:rtl/>
        </w:rPr>
        <w:t>[...]</w:t>
      </w:r>
      <w:r w:rsidRPr="00B25ED4">
        <w:rPr>
          <w:rFonts w:hint="cs"/>
          <w:rtl/>
        </w:rPr>
        <w:t>".</w:t>
      </w:r>
    </w:p>
    <w:p w:rsidR="00FA3A86" w:rsidRDefault="00FA3A86" w:rsidP="00FA3A86">
      <w:pPr>
        <w:tabs>
          <w:tab w:val="left" w:pos="800"/>
        </w:tabs>
        <w:jc w:val="both"/>
        <w:rPr>
          <w:rFonts w:ascii="Garamond" w:hAnsi="Garamond"/>
          <w:sz w:val="24"/>
          <w:rtl/>
        </w:rPr>
      </w:pPr>
    </w:p>
    <w:p w:rsidR="00FA3A86" w:rsidRDefault="00FA3A86" w:rsidP="00FA3A86">
      <w:pPr>
        <w:pStyle w:val="Ruller4"/>
        <w:numPr>
          <w:ilvl w:val="0"/>
          <w:numId w:val="0"/>
        </w:numPr>
        <w:rPr>
          <w:rtl/>
        </w:rPr>
      </w:pPr>
      <w:r>
        <w:rPr>
          <w:rtl/>
        </w:rPr>
        <w:tab/>
      </w:r>
      <w:r>
        <w:rPr>
          <w:rFonts w:hint="cs"/>
          <w:rtl/>
        </w:rPr>
        <w:t xml:space="preserve">דרישה מחמירה זו של דייני בית הדין הרבני הגדול, אינה עולה בקנה אחד עם האופן שבו התייחסה הפסיקה האזרחית להלכת השיתוף הספציפי ולהיקפה, בפרט באשר לבית המגורים של בני הזוג. אכן, </w:t>
      </w:r>
      <w:r w:rsidRPr="005923FD">
        <w:rPr>
          <w:rFonts w:hint="cs"/>
          <w:rtl/>
        </w:rPr>
        <w:t xml:space="preserve">מציאות החיים מזמנת לנו מגוון של </w:t>
      </w:r>
      <w:r>
        <w:rPr>
          <w:rFonts w:hint="cs"/>
          <w:rtl/>
        </w:rPr>
        <w:t>מצבים</w:t>
      </w:r>
      <w:r w:rsidRPr="005923FD">
        <w:rPr>
          <w:rFonts w:hint="cs"/>
          <w:rtl/>
        </w:rPr>
        <w:t xml:space="preserve"> שקשה לחזות מראש</w:t>
      </w:r>
      <w:r w:rsidRPr="00B25ED4">
        <w:rPr>
          <w:rFonts w:hint="cs"/>
          <w:rtl/>
        </w:rPr>
        <w:t xml:space="preserve">, ומערכות יחסים זוגיות </w:t>
      </w:r>
      <w:r>
        <w:rPr>
          <w:rFonts w:hint="cs"/>
          <w:rtl/>
        </w:rPr>
        <w:t xml:space="preserve">אשר </w:t>
      </w:r>
      <w:r w:rsidRPr="00B25ED4">
        <w:rPr>
          <w:rFonts w:hint="cs"/>
          <w:rtl/>
        </w:rPr>
        <w:t xml:space="preserve">נבדלות זו מזו בטיבן ובאופיין. </w:t>
      </w:r>
      <w:r>
        <w:rPr>
          <w:rFonts w:hint="cs"/>
          <w:rtl/>
        </w:rPr>
        <w:t xml:space="preserve">לפיכך, </w:t>
      </w:r>
      <w:r w:rsidRPr="00B25ED4">
        <w:rPr>
          <w:rFonts w:hint="cs"/>
          <w:rtl/>
        </w:rPr>
        <w:t xml:space="preserve">בצדק נקבע כי </w:t>
      </w:r>
      <w:r>
        <w:rPr>
          <w:rFonts w:hint="cs"/>
          <w:rtl/>
        </w:rPr>
        <w:t xml:space="preserve">לא ניתן להקיף באמצעות </w:t>
      </w:r>
      <w:r w:rsidRPr="00B25ED4">
        <w:rPr>
          <w:rFonts w:hint="cs"/>
          <w:rtl/>
        </w:rPr>
        <w:t xml:space="preserve">נוסחה אפריורית </w:t>
      </w:r>
      <w:r>
        <w:rPr>
          <w:rFonts w:hint="cs"/>
          <w:rtl/>
        </w:rPr>
        <w:t>את כלל המקרים שבהם תחול הלכת השיתוף הספציפי</w:t>
      </w:r>
      <w:r w:rsidRPr="00B25ED4">
        <w:rPr>
          <w:rFonts w:hint="cs"/>
          <w:rtl/>
        </w:rPr>
        <w:t xml:space="preserve"> (בג"ץ 2533/11</w:t>
      </w:r>
      <w:r>
        <w:rPr>
          <w:rFonts w:hint="cs"/>
          <w:rtl/>
        </w:rPr>
        <w:t>,</w:t>
      </w:r>
      <w:r w:rsidRPr="00B25ED4">
        <w:rPr>
          <w:rFonts w:hint="cs"/>
          <w:rtl/>
        </w:rPr>
        <w:t xml:space="preserve"> פסקה ח' לפסק דינו של השופט (כתוארו אז) </w:t>
      </w:r>
      <w:r w:rsidRPr="00287C21">
        <w:rPr>
          <w:rFonts w:cs="Miriam" w:hint="eastAsia"/>
          <w:sz w:val="22"/>
          <w:szCs w:val="24"/>
          <w:rtl/>
        </w:rPr>
        <w:t>רובינשטיין</w:t>
      </w:r>
      <w:r>
        <w:rPr>
          <w:rFonts w:hint="cs"/>
          <w:rtl/>
        </w:rPr>
        <w:t>). עם זאת, כעולה מן הפסיקה המפורטת לעיל,</w:t>
      </w:r>
      <w:r w:rsidRPr="005923FD">
        <w:rPr>
          <w:rFonts w:hint="cs"/>
          <w:rtl/>
        </w:rPr>
        <w:t xml:space="preserve"> </w:t>
      </w:r>
      <w:r>
        <w:rPr>
          <w:rFonts w:hint="cs"/>
          <w:rtl/>
        </w:rPr>
        <w:t xml:space="preserve">המכנה המשותף לכלל </w:t>
      </w:r>
      <w:r w:rsidRPr="00B25ED4">
        <w:rPr>
          <w:rFonts w:hint="cs"/>
          <w:rtl/>
        </w:rPr>
        <w:t xml:space="preserve">האינדיקציות </w:t>
      </w:r>
      <w:r>
        <w:rPr>
          <w:rFonts w:hint="cs"/>
          <w:rtl/>
        </w:rPr>
        <w:t>לפיהן נבחנו</w:t>
      </w:r>
      <w:r w:rsidRPr="00B25ED4">
        <w:rPr>
          <w:rFonts w:hint="cs"/>
          <w:rtl/>
        </w:rPr>
        <w:t xml:space="preserve"> קיומו של "דבר מה נוסף"</w:t>
      </w:r>
      <w:r>
        <w:rPr>
          <w:rFonts w:hint="cs"/>
          <w:rtl/>
        </w:rPr>
        <w:t xml:space="preserve">, </w:t>
      </w:r>
      <w:r w:rsidRPr="00B25ED4">
        <w:rPr>
          <w:rFonts w:hint="cs"/>
          <w:rtl/>
        </w:rPr>
        <w:t>משקף את ההבנה כי</w:t>
      </w:r>
      <w:r>
        <w:rPr>
          <w:rFonts w:hint="cs"/>
          <w:rtl/>
        </w:rPr>
        <w:t xml:space="preserve"> שונה</w:t>
      </w:r>
      <w:r w:rsidRPr="00B25ED4">
        <w:rPr>
          <w:rFonts w:hint="cs"/>
          <w:rtl/>
        </w:rPr>
        <w:t xml:space="preserve"> האופן שבו מתגבשות הסכמות בין בני זוג </w:t>
      </w:r>
      <w:r>
        <w:rPr>
          <w:rFonts w:hint="cs"/>
          <w:rtl/>
        </w:rPr>
        <w:t>מהאופן שבו הן מתגבשות</w:t>
      </w:r>
      <w:r w:rsidRPr="00B25ED4">
        <w:rPr>
          <w:rFonts w:hint="cs"/>
          <w:rtl/>
        </w:rPr>
        <w:t xml:space="preserve"> בהקשרים אחרים, </w:t>
      </w:r>
      <w:r>
        <w:rPr>
          <w:rFonts w:hint="cs"/>
          <w:rtl/>
        </w:rPr>
        <w:t>דוגמת שיתוף ב</w:t>
      </w:r>
      <w:r w:rsidRPr="00B25ED4">
        <w:rPr>
          <w:rFonts w:hint="cs"/>
          <w:rtl/>
        </w:rPr>
        <w:t>נ</w:t>
      </w:r>
      <w:r>
        <w:rPr>
          <w:rFonts w:hint="cs"/>
          <w:rtl/>
        </w:rPr>
        <w:t>כ</w:t>
      </w:r>
      <w:r w:rsidRPr="00B25ED4">
        <w:rPr>
          <w:rFonts w:hint="cs"/>
          <w:rtl/>
        </w:rPr>
        <w:t>סים בין זרים</w:t>
      </w:r>
      <w:r>
        <w:rPr>
          <w:rFonts w:hint="cs"/>
          <w:rtl/>
        </w:rPr>
        <w:t xml:space="preserve"> או אפילו בין שותפים עסקיים (ראו: </w:t>
      </w:r>
      <w:r w:rsidRPr="00F92A99">
        <w:rPr>
          <w:rFonts w:hint="eastAsia"/>
          <w:rtl/>
        </w:rPr>
        <w:t>אריאל</w:t>
      </w:r>
      <w:r w:rsidRPr="00F92A99">
        <w:rPr>
          <w:rtl/>
        </w:rPr>
        <w:t xml:space="preserve"> </w:t>
      </w:r>
      <w:r w:rsidRPr="00F92A99">
        <w:rPr>
          <w:rFonts w:hint="eastAsia"/>
          <w:rtl/>
        </w:rPr>
        <w:t>רוזן</w:t>
      </w:r>
      <w:r w:rsidRPr="00F92A99">
        <w:rPr>
          <w:rtl/>
        </w:rPr>
        <w:t>-</w:t>
      </w:r>
      <w:r w:rsidRPr="00F92A99">
        <w:rPr>
          <w:rFonts w:hint="eastAsia"/>
          <w:rtl/>
        </w:rPr>
        <w:t>צבי</w:t>
      </w:r>
      <w:r w:rsidRPr="00F92A99">
        <w:rPr>
          <w:rtl/>
        </w:rPr>
        <w:t xml:space="preserve"> </w:t>
      </w:r>
      <w:r w:rsidRPr="00F92A99">
        <w:rPr>
          <w:rFonts w:ascii="Century" w:hAnsi="Century" w:cs="Miriam" w:hint="eastAsia"/>
          <w:b/>
          <w:spacing w:val="0"/>
          <w:sz w:val="22"/>
          <w:szCs w:val="24"/>
          <w:rtl/>
        </w:rPr>
        <w:t>יחסי</w:t>
      </w:r>
      <w:r w:rsidRPr="00F92A99">
        <w:rPr>
          <w:rFonts w:ascii="Century" w:hAnsi="Century" w:cs="Miriam"/>
          <w:b/>
          <w:spacing w:val="0"/>
          <w:sz w:val="22"/>
          <w:szCs w:val="24"/>
          <w:rtl/>
        </w:rPr>
        <w:t xml:space="preserve"> </w:t>
      </w:r>
      <w:r w:rsidRPr="00F92A99">
        <w:rPr>
          <w:rFonts w:ascii="Century" w:hAnsi="Century" w:cs="Miriam" w:hint="eastAsia"/>
          <w:b/>
          <w:spacing w:val="0"/>
          <w:sz w:val="22"/>
          <w:szCs w:val="24"/>
          <w:rtl/>
        </w:rPr>
        <w:t>ממון</w:t>
      </w:r>
      <w:r w:rsidRPr="00F92A99">
        <w:rPr>
          <w:rFonts w:ascii="Century" w:hAnsi="Century" w:cs="Miriam"/>
          <w:b/>
          <w:spacing w:val="0"/>
          <w:sz w:val="22"/>
          <w:szCs w:val="24"/>
          <w:rtl/>
        </w:rPr>
        <w:t xml:space="preserve"> </w:t>
      </w:r>
      <w:r w:rsidRPr="00F92A99">
        <w:rPr>
          <w:rFonts w:ascii="Century" w:hAnsi="Century" w:cs="Miriam" w:hint="eastAsia"/>
          <w:b/>
          <w:spacing w:val="0"/>
          <w:sz w:val="22"/>
          <w:szCs w:val="24"/>
          <w:rtl/>
        </w:rPr>
        <w:t>בין</w:t>
      </w:r>
      <w:r w:rsidRPr="00F92A99">
        <w:rPr>
          <w:rFonts w:ascii="Century" w:hAnsi="Century" w:cs="Miriam"/>
          <w:b/>
          <w:spacing w:val="0"/>
          <w:sz w:val="22"/>
          <w:szCs w:val="24"/>
          <w:rtl/>
        </w:rPr>
        <w:t xml:space="preserve"> </w:t>
      </w:r>
      <w:r w:rsidRPr="00F92A99">
        <w:rPr>
          <w:rFonts w:ascii="Century" w:hAnsi="Century" w:cs="Miriam" w:hint="eastAsia"/>
          <w:b/>
          <w:spacing w:val="0"/>
          <w:sz w:val="22"/>
          <w:szCs w:val="24"/>
          <w:rtl/>
        </w:rPr>
        <w:t>בני</w:t>
      </w:r>
      <w:r w:rsidRPr="00F92A99">
        <w:rPr>
          <w:rFonts w:ascii="Century" w:hAnsi="Century" w:cs="Miriam"/>
          <w:b/>
          <w:spacing w:val="0"/>
          <w:sz w:val="22"/>
          <w:szCs w:val="24"/>
          <w:rtl/>
        </w:rPr>
        <w:t xml:space="preserve"> </w:t>
      </w:r>
      <w:r w:rsidRPr="00F92A99">
        <w:rPr>
          <w:rFonts w:ascii="Century" w:hAnsi="Century" w:cs="Miriam" w:hint="eastAsia"/>
          <w:b/>
          <w:spacing w:val="0"/>
          <w:sz w:val="22"/>
          <w:szCs w:val="24"/>
          <w:rtl/>
        </w:rPr>
        <w:t>זוג</w:t>
      </w:r>
      <w:r w:rsidRPr="00F92A99">
        <w:rPr>
          <w:rtl/>
        </w:rPr>
        <w:t xml:space="preserve"> </w:t>
      </w:r>
      <w:r>
        <w:rPr>
          <w:rFonts w:hint="cs"/>
          <w:rtl/>
        </w:rPr>
        <w:t xml:space="preserve">48-47 </w:t>
      </w:r>
      <w:r w:rsidRPr="00F92A99">
        <w:rPr>
          <w:rtl/>
        </w:rPr>
        <w:t>(1982)</w:t>
      </w:r>
      <w:r>
        <w:rPr>
          <w:rFonts w:hint="cs"/>
          <w:rtl/>
        </w:rPr>
        <w:t xml:space="preserve">; </w:t>
      </w:r>
      <w:r w:rsidRPr="00B25ED4">
        <w:rPr>
          <w:rFonts w:hint="eastAsia"/>
          <w:rtl/>
        </w:rPr>
        <w:t>לייחודיות</w:t>
      </w:r>
      <w:r w:rsidRPr="00B25ED4">
        <w:rPr>
          <w:rtl/>
        </w:rPr>
        <w:t xml:space="preserve"> </w:t>
      </w:r>
      <w:r w:rsidRPr="00B25ED4">
        <w:rPr>
          <w:rFonts w:hint="eastAsia"/>
          <w:rtl/>
        </w:rPr>
        <w:t>היחסים</w:t>
      </w:r>
      <w:r w:rsidRPr="00B25ED4">
        <w:rPr>
          <w:rtl/>
        </w:rPr>
        <w:t xml:space="preserve"> </w:t>
      </w:r>
      <w:r w:rsidRPr="00B25ED4">
        <w:rPr>
          <w:rFonts w:hint="eastAsia"/>
          <w:rtl/>
        </w:rPr>
        <w:t>המשפטיים</w:t>
      </w:r>
      <w:r w:rsidRPr="00B25ED4">
        <w:rPr>
          <w:rtl/>
        </w:rPr>
        <w:t xml:space="preserve"> </w:t>
      </w:r>
      <w:r w:rsidRPr="00B25ED4">
        <w:rPr>
          <w:rFonts w:hint="eastAsia"/>
          <w:rtl/>
        </w:rPr>
        <w:t>שיוצרים</w:t>
      </w:r>
      <w:r w:rsidRPr="00B25ED4">
        <w:rPr>
          <w:rtl/>
        </w:rPr>
        <w:t xml:space="preserve"> </w:t>
      </w:r>
      <w:r w:rsidRPr="00B25ED4">
        <w:rPr>
          <w:rFonts w:hint="eastAsia"/>
          <w:rtl/>
        </w:rPr>
        <w:t>בני</w:t>
      </w:r>
      <w:r w:rsidRPr="00B25ED4">
        <w:rPr>
          <w:rtl/>
        </w:rPr>
        <w:t xml:space="preserve"> </w:t>
      </w:r>
      <w:r w:rsidRPr="00B25ED4">
        <w:rPr>
          <w:rFonts w:hint="eastAsia"/>
          <w:rtl/>
        </w:rPr>
        <w:t>הזוג</w:t>
      </w:r>
      <w:r w:rsidRPr="00B25ED4">
        <w:rPr>
          <w:rtl/>
        </w:rPr>
        <w:t xml:space="preserve"> </w:t>
      </w:r>
      <w:r w:rsidRPr="00B25ED4">
        <w:rPr>
          <w:rFonts w:hint="eastAsia"/>
          <w:rtl/>
        </w:rPr>
        <w:t>בינם</w:t>
      </w:r>
      <w:r w:rsidRPr="00B25ED4">
        <w:rPr>
          <w:rtl/>
        </w:rPr>
        <w:t xml:space="preserve"> </w:t>
      </w:r>
      <w:r w:rsidRPr="00B25ED4">
        <w:rPr>
          <w:rFonts w:hint="eastAsia"/>
          <w:rtl/>
        </w:rPr>
        <w:t>לבין</w:t>
      </w:r>
      <w:r w:rsidRPr="00B25ED4">
        <w:rPr>
          <w:rtl/>
        </w:rPr>
        <w:t xml:space="preserve"> </w:t>
      </w:r>
      <w:r w:rsidRPr="00B25ED4">
        <w:rPr>
          <w:rFonts w:hint="eastAsia"/>
          <w:rtl/>
        </w:rPr>
        <w:t>עצמם</w:t>
      </w:r>
      <w:r w:rsidRPr="00B25ED4">
        <w:rPr>
          <w:rtl/>
        </w:rPr>
        <w:t xml:space="preserve"> </w:t>
      </w:r>
      <w:r w:rsidRPr="00B25ED4">
        <w:rPr>
          <w:rFonts w:hint="eastAsia"/>
          <w:rtl/>
        </w:rPr>
        <w:t>ראו</w:t>
      </w:r>
      <w:r w:rsidRPr="00B25ED4">
        <w:rPr>
          <w:rtl/>
        </w:rPr>
        <w:t xml:space="preserve"> </w:t>
      </w:r>
      <w:r w:rsidRPr="00B25ED4">
        <w:rPr>
          <w:rFonts w:hint="eastAsia"/>
          <w:rtl/>
        </w:rPr>
        <w:t>שחר</w:t>
      </w:r>
      <w:r w:rsidRPr="00B25ED4">
        <w:rPr>
          <w:rtl/>
        </w:rPr>
        <w:t xml:space="preserve"> </w:t>
      </w:r>
      <w:r w:rsidRPr="00B25ED4">
        <w:rPr>
          <w:rFonts w:hint="eastAsia"/>
          <w:rtl/>
        </w:rPr>
        <w:t>ליפשיץ</w:t>
      </w:r>
      <w:r w:rsidRPr="00B25ED4">
        <w:rPr>
          <w:rtl/>
        </w:rPr>
        <w:t xml:space="preserve"> "</w:t>
      </w:r>
      <w:r w:rsidRPr="00B25ED4">
        <w:rPr>
          <w:rFonts w:hint="eastAsia"/>
          <w:rtl/>
        </w:rPr>
        <w:t>הסדרת</w:t>
      </w:r>
      <w:r w:rsidRPr="00B25ED4">
        <w:rPr>
          <w:rtl/>
        </w:rPr>
        <w:t xml:space="preserve"> </w:t>
      </w:r>
      <w:r w:rsidRPr="00B25ED4">
        <w:rPr>
          <w:rFonts w:hint="eastAsia"/>
          <w:rtl/>
        </w:rPr>
        <w:t>החוזה</w:t>
      </w:r>
      <w:r w:rsidRPr="00B25ED4">
        <w:rPr>
          <w:rtl/>
        </w:rPr>
        <w:t xml:space="preserve"> </w:t>
      </w:r>
      <w:r w:rsidRPr="00B25ED4">
        <w:rPr>
          <w:rFonts w:hint="eastAsia"/>
          <w:rtl/>
        </w:rPr>
        <w:t>הזוגי</w:t>
      </w:r>
      <w:r w:rsidRPr="00B25ED4">
        <w:rPr>
          <w:rtl/>
        </w:rPr>
        <w:t xml:space="preserve"> </w:t>
      </w:r>
      <w:r w:rsidRPr="00B25ED4">
        <w:rPr>
          <w:rFonts w:hint="eastAsia"/>
          <w:rtl/>
        </w:rPr>
        <w:t>במשפט</w:t>
      </w:r>
      <w:r w:rsidRPr="00B25ED4">
        <w:rPr>
          <w:rtl/>
        </w:rPr>
        <w:t xml:space="preserve"> </w:t>
      </w:r>
      <w:r w:rsidRPr="00B25ED4">
        <w:rPr>
          <w:rFonts w:hint="eastAsia"/>
          <w:rtl/>
        </w:rPr>
        <w:t>הישראלי</w:t>
      </w:r>
      <w:r w:rsidRPr="00B25ED4">
        <w:rPr>
          <w:rtl/>
        </w:rPr>
        <w:t xml:space="preserve">: </w:t>
      </w:r>
      <w:r w:rsidRPr="00B25ED4">
        <w:rPr>
          <w:rFonts w:hint="eastAsia"/>
          <w:rtl/>
        </w:rPr>
        <w:t>מתווה</w:t>
      </w:r>
      <w:r w:rsidRPr="00B25ED4">
        <w:rPr>
          <w:rtl/>
        </w:rPr>
        <w:t xml:space="preserve"> </w:t>
      </w:r>
      <w:r w:rsidRPr="00B25ED4">
        <w:rPr>
          <w:rFonts w:hint="eastAsia"/>
          <w:rtl/>
        </w:rPr>
        <w:t>ראשוני</w:t>
      </w:r>
      <w:r w:rsidRPr="00B25ED4">
        <w:rPr>
          <w:rtl/>
        </w:rPr>
        <w:t xml:space="preserve">" </w:t>
      </w:r>
      <w:proofErr w:type="spellStart"/>
      <w:r w:rsidRPr="005A563D">
        <w:rPr>
          <w:rFonts w:cs="Miriam" w:hint="eastAsia"/>
          <w:sz w:val="22"/>
          <w:szCs w:val="24"/>
          <w:rtl/>
        </w:rPr>
        <w:t>קרית</w:t>
      </w:r>
      <w:proofErr w:type="spellEnd"/>
      <w:r w:rsidRPr="005A563D">
        <w:rPr>
          <w:rFonts w:cs="Miriam"/>
          <w:sz w:val="22"/>
          <w:szCs w:val="24"/>
          <w:rtl/>
        </w:rPr>
        <w:t xml:space="preserve"> </w:t>
      </w:r>
      <w:r w:rsidRPr="005A563D">
        <w:rPr>
          <w:rFonts w:cs="Miriam" w:hint="eastAsia"/>
          <w:sz w:val="22"/>
          <w:szCs w:val="24"/>
          <w:rtl/>
        </w:rPr>
        <w:t>המשפט</w:t>
      </w:r>
      <w:r w:rsidRPr="005A563D">
        <w:rPr>
          <w:sz w:val="22"/>
          <w:szCs w:val="24"/>
          <w:rtl/>
        </w:rPr>
        <w:t xml:space="preserve"> </w:t>
      </w:r>
      <w:r w:rsidRPr="00B25ED4">
        <w:rPr>
          <w:rFonts w:hint="eastAsia"/>
          <w:rtl/>
        </w:rPr>
        <w:t>ד</w:t>
      </w:r>
      <w:r w:rsidRPr="00B25ED4">
        <w:rPr>
          <w:rtl/>
        </w:rPr>
        <w:t xml:space="preserve"> 271, 295-</w:t>
      </w:r>
      <w:r>
        <w:rPr>
          <w:rtl/>
        </w:rPr>
        <w:t>291 (2004)</w:t>
      </w:r>
      <w:r w:rsidRPr="00B25ED4">
        <w:rPr>
          <w:rtl/>
        </w:rPr>
        <w:t>)</w:t>
      </w:r>
      <w:r w:rsidRPr="00B25ED4">
        <w:rPr>
          <w:rFonts w:hint="cs"/>
          <w:rtl/>
        </w:rPr>
        <w:t>.</w:t>
      </w:r>
    </w:p>
    <w:p w:rsidR="00FA3A86" w:rsidRDefault="00FA3A86" w:rsidP="00FA3A86">
      <w:pPr>
        <w:tabs>
          <w:tab w:val="left" w:pos="800"/>
        </w:tabs>
        <w:jc w:val="both"/>
        <w:rPr>
          <w:rtl/>
        </w:rPr>
      </w:pPr>
    </w:p>
    <w:p w:rsidR="00FA3A86" w:rsidRDefault="00FA3A86" w:rsidP="00FA3A86">
      <w:pPr>
        <w:pStyle w:val="Ruller4"/>
        <w:rPr>
          <w:rtl/>
        </w:rPr>
      </w:pPr>
      <w:r>
        <w:rPr>
          <w:rFonts w:hint="cs"/>
          <w:rtl/>
        </w:rPr>
        <w:t xml:space="preserve">ההקשר הייחודי של מערכת היחסים הזוגית </w:t>
      </w:r>
      <w:r>
        <w:rPr>
          <w:rtl/>
        </w:rPr>
        <w:t>–</w:t>
      </w:r>
      <w:r>
        <w:rPr>
          <w:rFonts w:hint="cs"/>
          <w:rtl/>
        </w:rPr>
        <w:t xml:space="preserve"> שבעניין </w:t>
      </w:r>
      <w:r w:rsidRPr="00007314">
        <w:rPr>
          <w:rFonts w:cs="Miriam" w:hint="cs"/>
          <w:b/>
          <w:spacing w:val="0"/>
          <w:szCs w:val="24"/>
          <w:rtl/>
        </w:rPr>
        <w:t xml:space="preserve">אבו-רומי </w:t>
      </w:r>
      <w:r>
        <w:rPr>
          <w:rFonts w:hint="cs"/>
          <w:rtl/>
        </w:rPr>
        <w:t xml:space="preserve">נקבע כי הוא מצדיק עריכת התאמות באשר לאופן פרשנותם של דיני השיתוף הכלליים </w:t>
      </w:r>
      <w:r>
        <w:rPr>
          <w:rtl/>
        </w:rPr>
        <w:t>–</w:t>
      </w:r>
      <w:r>
        <w:rPr>
          <w:rFonts w:hint="cs"/>
          <w:rtl/>
        </w:rPr>
        <w:t xml:space="preserve"> בא לידי ביטוי בעובדה ש</w:t>
      </w:r>
      <w:r w:rsidRPr="00B25ED4">
        <w:rPr>
          <w:rFonts w:hint="cs"/>
          <w:rtl/>
        </w:rPr>
        <w:t>במרבית המקרים ההסכמות הזוגיות אינן מעוגנות</w:t>
      </w:r>
      <w:r>
        <w:rPr>
          <w:rFonts w:hint="cs"/>
          <w:rtl/>
        </w:rPr>
        <w:t xml:space="preserve"> ואינן </w:t>
      </w:r>
      <w:r w:rsidRPr="00B25ED4">
        <w:rPr>
          <w:rFonts w:hint="cs"/>
          <w:rtl/>
        </w:rPr>
        <w:t xml:space="preserve">מתועדות בראיות "שחור על גבי לבן" שכל אחד מבני הזוג שומר לעת </w:t>
      </w:r>
      <w:proofErr w:type="spellStart"/>
      <w:r w:rsidRPr="00B25ED4">
        <w:rPr>
          <w:rFonts w:hint="cs"/>
          <w:rtl/>
        </w:rPr>
        <w:t>מצוא</w:t>
      </w:r>
      <w:proofErr w:type="spellEnd"/>
      <w:r w:rsidRPr="00B25ED4">
        <w:rPr>
          <w:rFonts w:hint="cs"/>
          <w:rtl/>
        </w:rPr>
        <w:t xml:space="preserve">, שמא יידרש להוכיח את זכויותיו בפני ערכאה שיפוטית. </w:t>
      </w:r>
      <w:r>
        <w:rPr>
          <w:rFonts w:hint="cs"/>
          <w:rtl/>
        </w:rPr>
        <w:t xml:space="preserve">נוסף על כך, </w:t>
      </w:r>
      <w:r w:rsidRPr="00B25ED4">
        <w:rPr>
          <w:rFonts w:hint="cs"/>
          <w:rtl/>
        </w:rPr>
        <w:t xml:space="preserve">משימת ההתחקות אחר </w:t>
      </w:r>
      <w:r w:rsidRPr="00B25ED4">
        <w:rPr>
          <w:rFonts w:hint="eastAsia"/>
          <w:rtl/>
        </w:rPr>
        <w:t>כוונתם</w:t>
      </w:r>
      <w:r w:rsidRPr="00B25ED4">
        <w:rPr>
          <w:rtl/>
        </w:rPr>
        <w:t xml:space="preserve"> </w:t>
      </w:r>
      <w:r w:rsidRPr="00B25ED4">
        <w:rPr>
          <w:rFonts w:hint="eastAsia"/>
          <w:rtl/>
        </w:rPr>
        <w:t>של</w:t>
      </w:r>
      <w:r w:rsidRPr="00B25ED4">
        <w:rPr>
          <w:rtl/>
        </w:rPr>
        <w:t xml:space="preserve"> </w:t>
      </w:r>
      <w:r w:rsidRPr="00B25ED4">
        <w:rPr>
          <w:rFonts w:hint="eastAsia"/>
          <w:rtl/>
        </w:rPr>
        <w:t>בני</w:t>
      </w:r>
      <w:r w:rsidRPr="00B25ED4">
        <w:rPr>
          <w:rtl/>
        </w:rPr>
        <w:t xml:space="preserve"> </w:t>
      </w:r>
      <w:r w:rsidRPr="00B25ED4">
        <w:rPr>
          <w:rFonts w:hint="eastAsia"/>
          <w:rtl/>
        </w:rPr>
        <w:t>הזוג</w:t>
      </w:r>
      <w:r w:rsidRPr="00B25ED4">
        <w:rPr>
          <w:rtl/>
        </w:rPr>
        <w:t xml:space="preserve"> </w:t>
      </w:r>
      <w:r w:rsidRPr="00B25ED4">
        <w:rPr>
          <w:rFonts w:hint="eastAsia"/>
          <w:rtl/>
        </w:rPr>
        <w:t>ביחס</w:t>
      </w:r>
      <w:r w:rsidRPr="00B25ED4">
        <w:rPr>
          <w:rtl/>
        </w:rPr>
        <w:t xml:space="preserve"> </w:t>
      </w:r>
      <w:r w:rsidRPr="00B25ED4">
        <w:rPr>
          <w:rFonts w:hint="eastAsia"/>
          <w:rtl/>
        </w:rPr>
        <w:t>לבעלות</w:t>
      </w:r>
      <w:r w:rsidRPr="00B25ED4">
        <w:rPr>
          <w:rtl/>
        </w:rPr>
        <w:t xml:space="preserve"> </w:t>
      </w:r>
      <w:r w:rsidRPr="00B25ED4">
        <w:rPr>
          <w:rFonts w:hint="eastAsia"/>
          <w:rtl/>
        </w:rPr>
        <w:t>על</w:t>
      </w:r>
      <w:r w:rsidRPr="00B25ED4">
        <w:rPr>
          <w:rtl/>
        </w:rPr>
        <w:t xml:space="preserve"> </w:t>
      </w:r>
      <w:r w:rsidRPr="00B25ED4">
        <w:rPr>
          <w:rFonts w:hint="eastAsia"/>
          <w:rtl/>
        </w:rPr>
        <w:t>נכסיהם</w:t>
      </w:r>
      <w:r w:rsidRPr="00B25ED4">
        <w:rPr>
          <w:rtl/>
        </w:rPr>
        <w:t xml:space="preserve"> </w:t>
      </w:r>
      <w:r>
        <w:rPr>
          <w:rFonts w:hint="cs"/>
          <w:rtl/>
        </w:rPr>
        <w:t xml:space="preserve">מושפעת גם מטיב הנכס בו עסקינן: </w:t>
      </w:r>
      <w:r w:rsidRPr="00B25ED4">
        <w:rPr>
          <w:rFonts w:hint="eastAsia"/>
          <w:rtl/>
        </w:rPr>
        <w:t>לא</w:t>
      </w:r>
      <w:r w:rsidRPr="00B25ED4">
        <w:rPr>
          <w:rtl/>
        </w:rPr>
        <w:t xml:space="preserve"> </w:t>
      </w:r>
      <w:r w:rsidRPr="00B25ED4">
        <w:rPr>
          <w:rFonts w:hint="eastAsia"/>
          <w:rtl/>
        </w:rPr>
        <w:t>הרי</w:t>
      </w:r>
      <w:r w:rsidRPr="00B25ED4">
        <w:rPr>
          <w:rtl/>
        </w:rPr>
        <w:t xml:space="preserve"> </w:t>
      </w:r>
      <w:r w:rsidRPr="00B25ED4">
        <w:rPr>
          <w:rFonts w:hint="eastAsia"/>
          <w:rtl/>
        </w:rPr>
        <w:t>נכסים</w:t>
      </w:r>
      <w:r w:rsidRPr="00B25ED4">
        <w:rPr>
          <w:rtl/>
        </w:rPr>
        <w:t xml:space="preserve"> </w:t>
      </w:r>
      <w:r w:rsidRPr="00B25ED4">
        <w:rPr>
          <w:rFonts w:hint="eastAsia"/>
          <w:rtl/>
        </w:rPr>
        <w:t>משפחתיים</w:t>
      </w:r>
      <w:r w:rsidRPr="00B25ED4">
        <w:rPr>
          <w:rtl/>
        </w:rPr>
        <w:t xml:space="preserve"> </w:t>
      </w:r>
      <w:r w:rsidRPr="00B25ED4">
        <w:rPr>
          <w:rFonts w:hint="eastAsia"/>
          <w:rtl/>
        </w:rPr>
        <w:t>מובהקים</w:t>
      </w:r>
      <w:r w:rsidRPr="00B25ED4">
        <w:rPr>
          <w:rtl/>
        </w:rPr>
        <w:t xml:space="preserve">, </w:t>
      </w:r>
      <w:r w:rsidRPr="00B25ED4">
        <w:rPr>
          <w:rFonts w:hint="eastAsia"/>
          <w:rtl/>
        </w:rPr>
        <w:t>כגון</w:t>
      </w:r>
      <w:r w:rsidRPr="00B25ED4">
        <w:rPr>
          <w:rtl/>
        </w:rPr>
        <w:t xml:space="preserve"> </w:t>
      </w:r>
      <w:r w:rsidRPr="00B25ED4">
        <w:rPr>
          <w:rFonts w:hint="eastAsia"/>
          <w:rtl/>
        </w:rPr>
        <w:t>בית</w:t>
      </w:r>
      <w:r w:rsidRPr="00B25ED4">
        <w:rPr>
          <w:rtl/>
        </w:rPr>
        <w:t xml:space="preserve"> </w:t>
      </w:r>
      <w:r w:rsidRPr="00B25ED4">
        <w:rPr>
          <w:rFonts w:hint="eastAsia"/>
          <w:rtl/>
        </w:rPr>
        <w:t>המגורים</w:t>
      </w:r>
      <w:r w:rsidRPr="00B25ED4">
        <w:rPr>
          <w:rtl/>
        </w:rPr>
        <w:t xml:space="preserve"> </w:t>
      </w:r>
      <w:r w:rsidRPr="00B25ED4">
        <w:rPr>
          <w:rFonts w:hint="cs"/>
          <w:rtl/>
        </w:rPr>
        <w:t>הזוגי</w:t>
      </w:r>
      <w:r>
        <w:rPr>
          <w:rFonts w:hint="cs"/>
          <w:rtl/>
        </w:rPr>
        <w:t xml:space="preserve"> או הרכב המשפחתי</w:t>
      </w:r>
      <w:r w:rsidRPr="00B25ED4">
        <w:rPr>
          <w:rtl/>
        </w:rPr>
        <w:t xml:space="preserve">, </w:t>
      </w:r>
      <w:r w:rsidRPr="00B25ED4">
        <w:rPr>
          <w:rFonts w:hint="eastAsia"/>
          <w:rtl/>
        </w:rPr>
        <w:t>כהרי</w:t>
      </w:r>
      <w:r w:rsidRPr="00B25ED4">
        <w:rPr>
          <w:rtl/>
        </w:rPr>
        <w:t xml:space="preserve"> </w:t>
      </w:r>
      <w:r w:rsidRPr="00B25ED4">
        <w:rPr>
          <w:rFonts w:hint="eastAsia"/>
          <w:rtl/>
        </w:rPr>
        <w:t>נכסים</w:t>
      </w:r>
      <w:r w:rsidRPr="00B25ED4">
        <w:rPr>
          <w:rtl/>
        </w:rPr>
        <w:t xml:space="preserve"> </w:t>
      </w:r>
      <w:r w:rsidRPr="00B25ED4">
        <w:rPr>
          <w:rFonts w:hint="eastAsia"/>
          <w:rtl/>
        </w:rPr>
        <w:t>עסקיים</w:t>
      </w:r>
      <w:r w:rsidRPr="00B25ED4">
        <w:rPr>
          <w:rtl/>
        </w:rPr>
        <w:t>-</w:t>
      </w:r>
      <w:r w:rsidRPr="00B25ED4">
        <w:rPr>
          <w:rFonts w:hint="eastAsia"/>
          <w:rtl/>
        </w:rPr>
        <w:t>מסחריים</w:t>
      </w:r>
      <w:r>
        <w:rPr>
          <w:rFonts w:hint="cs"/>
          <w:rtl/>
        </w:rPr>
        <w:t xml:space="preserve"> שאינם מהווים, בהכרח, חלק מן ההוויה הזוגית. כך, כוונת שיתוף ב</w:t>
      </w:r>
      <w:r w:rsidRPr="00B25ED4">
        <w:rPr>
          <w:rFonts w:hint="cs"/>
          <w:rtl/>
        </w:rPr>
        <w:t xml:space="preserve">נכסים "משפחתיים" </w:t>
      </w:r>
      <w:r>
        <w:rPr>
          <w:rFonts w:hint="cs"/>
          <w:rtl/>
        </w:rPr>
        <w:t>סביר ש</w:t>
      </w:r>
      <w:r w:rsidRPr="00B25ED4">
        <w:rPr>
          <w:rFonts w:hint="cs"/>
          <w:rtl/>
        </w:rPr>
        <w:t>תתגבש באופן גמיש יותר ומפורש פחות מאשר שיתוף בנכסים עסקיים</w:t>
      </w:r>
      <w:r>
        <w:rPr>
          <w:rFonts w:hint="cs"/>
          <w:rtl/>
        </w:rPr>
        <w:t>.</w:t>
      </w:r>
    </w:p>
    <w:p w:rsidR="00FA3A86" w:rsidRDefault="00FA3A86" w:rsidP="00FA3A86">
      <w:pPr>
        <w:tabs>
          <w:tab w:val="left" w:pos="800"/>
        </w:tabs>
        <w:jc w:val="both"/>
        <w:rPr>
          <w:rtl/>
        </w:rPr>
      </w:pPr>
    </w:p>
    <w:p w:rsidR="00FA3A86" w:rsidRPr="00007314" w:rsidRDefault="00FA3A86" w:rsidP="00FA3A86">
      <w:pPr>
        <w:pStyle w:val="Ruller4"/>
      </w:pPr>
      <w:r>
        <w:rPr>
          <w:rFonts w:hint="cs"/>
          <w:rtl/>
        </w:rPr>
        <w:lastRenderedPageBreak/>
        <w:t xml:space="preserve">דרישת ראיות מפורשות וממוסמכות </w:t>
      </w:r>
      <w:r w:rsidRPr="00B25ED4">
        <w:rPr>
          <w:rFonts w:hint="cs"/>
          <w:rtl/>
        </w:rPr>
        <w:t>עלולה</w:t>
      </w:r>
      <w:r>
        <w:rPr>
          <w:rFonts w:hint="cs"/>
          <w:rtl/>
        </w:rPr>
        <w:t>,</w:t>
      </w:r>
      <w:r w:rsidRPr="00B25ED4">
        <w:rPr>
          <w:rFonts w:hint="cs"/>
          <w:rtl/>
        </w:rPr>
        <w:t xml:space="preserve"> אפוא</w:t>
      </w:r>
      <w:r>
        <w:rPr>
          <w:rFonts w:hint="cs"/>
          <w:rtl/>
        </w:rPr>
        <w:t>,</w:t>
      </w:r>
      <w:r w:rsidRPr="00B25ED4">
        <w:rPr>
          <w:rFonts w:hint="cs"/>
          <w:rtl/>
        </w:rPr>
        <w:t xml:space="preserve"> ל</w:t>
      </w:r>
      <w:r>
        <w:rPr>
          <w:rFonts w:hint="cs"/>
          <w:rtl/>
        </w:rPr>
        <w:t>הקשות על</w:t>
      </w:r>
      <w:r w:rsidRPr="00B25ED4">
        <w:rPr>
          <w:rFonts w:hint="cs"/>
          <w:rtl/>
        </w:rPr>
        <w:t xml:space="preserve"> </w:t>
      </w:r>
      <w:r>
        <w:rPr>
          <w:rFonts w:hint="cs"/>
          <w:rtl/>
        </w:rPr>
        <w:t xml:space="preserve">בן הזוג הטוען לשיתוף להוכיח את התקיימותו של </w:t>
      </w:r>
      <w:r w:rsidRPr="00B25ED4">
        <w:rPr>
          <w:rFonts w:hint="cs"/>
          <w:rtl/>
        </w:rPr>
        <w:t>"דבר מה נוסף"</w:t>
      </w:r>
      <w:r>
        <w:rPr>
          <w:rFonts w:hint="cs"/>
          <w:rtl/>
        </w:rPr>
        <w:t>, אף אם שיתוף כזה אכן התגבש,</w:t>
      </w:r>
      <w:r w:rsidRPr="005240E9">
        <w:rPr>
          <w:rFonts w:hint="cs"/>
          <w:rtl/>
        </w:rPr>
        <w:t xml:space="preserve"> </w:t>
      </w:r>
      <w:r w:rsidRPr="00937BFF">
        <w:rPr>
          <w:rFonts w:hint="cs"/>
          <w:rtl/>
        </w:rPr>
        <w:t>וה</w:t>
      </w:r>
      <w:r>
        <w:rPr>
          <w:rFonts w:hint="cs"/>
          <w:rtl/>
        </w:rPr>
        <w:t xml:space="preserve">יא </w:t>
      </w:r>
      <w:r w:rsidRPr="00937BFF">
        <w:rPr>
          <w:rFonts w:hint="cs"/>
          <w:rtl/>
        </w:rPr>
        <w:t>עלול</w:t>
      </w:r>
      <w:r>
        <w:rPr>
          <w:rFonts w:hint="cs"/>
          <w:rtl/>
        </w:rPr>
        <w:t>ה</w:t>
      </w:r>
      <w:r w:rsidRPr="00937BFF">
        <w:rPr>
          <w:rFonts w:hint="cs"/>
          <w:rtl/>
        </w:rPr>
        <w:t xml:space="preserve"> לקבע חוסר שוויון ממוני שבני הזוג לא רצו בו</w:t>
      </w:r>
      <w:r>
        <w:rPr>
          <w:rFonts w:hint="cs"/>
          <w:rtl/>
        </w:rPr>
        <w:t xml:space="preserve"> בזמן אמת. תרחיש</w:t>
      </w:r>
      <w:r w:rsidRPr="00B25ED4">
        <w:rPr>
          <w:rFonts w:hint="cs"/>
          <w:rtl/>
        </w:rPr>
        <w:t xml:space="preserve"> </w:t>
      </w:r>
      <w:r>
        <w:rPr>
          <w:rFonts w:hint="cs"/>
          <w:rtl/>
        </w:rPr>
        <w:t>כזה, שאינו משקף את הבעלות "</w:t>
      </w:r>
      <w:proofErr w:type="spellStart"/>
      <w:r>
        <w:rPr>
          <w:rFonts w:hint="cs"/>
          <w:rtl/>
        </w:rPr>
        <w:t>האמיתית</w:t>
      </w:r>
      <w:proofErr w:type="spellEnd"/>
      <w:r>
        <w:rPr>
          <w:rFonts w:hint="cs"/>
          <w:rtl/>
        </w:rPr>
        <w:t xml:space="preserve">" בנכס, הוא התרחיש שביקש בית </w:t>
      </w:r>
      <w:r w:rsidRPr="00937BFF">
        <w:rPr>
          <w:rFonts w:hint="cs"/>
          <w:rtl/>
        </w:rPr>
        <w:t xml:space="preserve">המשפט בעניין </w:t>
      </w:r>
      <w:r w:rsidRPr="00937BFF">
        <w:rPr>
          <w:rFonts w:cs="Miriam" w:hint="cs"/>
          <w:b/>
          <w:spacing w:val="0"/>
          <w:szCs w:val="24"/>
          <w:rtl/>
        </w:rPr>
        <w:t>אבו-רומי</w:t>
      </w:r>
      <w:r w:rsidRPr="00937BFF">
        <w:rPr>
          <w:rFonts w:hint="cs"/>
          <w:rtl/>
        </w:rPr>
        <w:t xml:space="preserve"> ל</w:t>
      </w:r>
      <w:r>
        <w:rPr>
          <w:rFonts w:hint="cs"/>
          <w:rtl/>
        </w:rPr>
        <w:t>מנוע</w:t>
      </w:r>
      <w:r w:rsidRPr="00937BFF">
        <w:rPr>
          <w:rFonts w:hint="cs"/>
          <w:rtl/>
        </w:rPr>
        <w:t>. לפיכך, בבוא בית המשפט או בית הדין להכריע בשאלה אם בני זוג מסוימים חצו את משוכת ה"דבר מה הנוסף", עליו לבחון את נסיבות המקרה מתוך הבנה כי "בין בני זוג נוצרים יחסים קניינ</w:t>
      </w:r>
      <w:r>
        <w:rPr>
          <w:rFonts w:hint="cs"/>
          <w:rtl/>
        </w:rPr>
        <w:t>י</w:t>
      </w:r>
      <w:r w:rsidRPr="00937BFF">
        <w:rPr>
          <w:rFonts w:hint="cs"/>
          <w:rtl/>
        </w:rPr>
        <w:t>ים דינמיים במהלך חיי הנישואין" (</w:t>
      </w:r>
      <w:r>
        <w:rPr>
          <w:rFonts w:hint="cs"/>
          <w:rtl/>
        </w:rPr>
        <w:t xml:space="preserve">עניין </w:t>
      </w:r>
      <w:r w:rsidRPr="00422503">
        <w:rPr>
          <w:rFonts w:cs="Miriam" w:hint="eastAsia"/>
          <w:b/>
          <w:spacing w:val="0"/>
          <w:szCs w:val="24"/>
          <w:rtl/>
        </w:rPr>
        <w:t>יעקובי</w:t>
      </w:r>
      <w:r w:rsidRPr="00422503">
        <w:rPr>
          <w:rFonts w:cs="Miriam"/>
          <w:b/>
          <w:spacing w:val="0"/>
          <w:szCs w:val="24"/>
          <w:rtl/>
        </w:rPr>
        <w:t xml:space="preserve"> </w:t>
      </w:r>
      <w:proofErr w:type="spellStart"/>
      <w:r w:rsidRPr="00422503">
        <w:rPr>
          <w:rFonts w:cs="Miriam" w:hint="eastAsia"/>
          <w:b/>
          <w:spacing w:val="0"/>
          <w:szCs w:val="24"/>
          <w:rtl/>
        </w:rPr>
        <w:t>וקנובלר</w:t>
      </w:r>
      <w:proofErr w:type="spellEnd"/>
      <w:r>
        <w:rPr>
          <w:rFonts w:hint="cs"/>
          <w:rtl/>
        </w:rPr>
        <w:t xml:space="preserve">, בעמ' 561; וראו גם </w:t>
      </w:r>
      <w:r w:rsidRPr="00937BFF">
        <w:rPr>
          <w:rFonts w:hint="cs"/>
          <w:rtl/>
        </w:rPr>
        <w:t xml:space="preserve">עניין </w:t>
      </w:r>
      <w:r w:rsidRPr="00937BFF">
        <w:rPr>
          <w:rFonts w:cs="Miriam" w:hint="cs"/>
          <w:b/>
          <w:spacing w:val="0"/>
          <w:szCs w:val="24"/>
          <w:rtl/>
        </w:rPr>
        <w:t>אלמונית</w:t>
      </w:r>
      <w:r w:rsidRPr="00937BFF">
        <w:rPr>
          <w:rFonts w:hint="cs"/>
          <w:rtl/>
        </w:rPr>
        <w:t xml:space="preserve">, פסקה </w:t>
      </w:r>
      <w:r>
        <w:rPr>
          <w:rFonts w:hint="cs"/>
          <w:rtl/>
        </w:rPr>
        <w:t xml:space="preserve">15 </w:t>
      </w:r>
      <w:r w:rsidRPr="00937BFF">
        <w:rPr>
          <w:rFonts w:hint="cs"/>
          <w:rtl/>
        </w:rPr>
        <w:t xml:space="preserve">לחוות דעתו של השופט </w:t>
      </w:r>
      <w:proofErr w:type="spellStart"/>
      <w:r w:rsidRPr="00937BFF">
        <w:rPr>
          <w:rFonts w:cs="Miriam" w:hint="cs"/>
          <w:b/>
          <w:spacing w:val="0"/>
          <w:szCs w:val="24"/>
          <w:rtl/>
        </w:rPr>
        <w:t>דנציגר</w:t>
      </w:r>
      <w:proofErr w:type="spellEnd"/>
      <w:r w:rsidRPr="00937BFF">
        <w:rPr>
          <w:rFonts w:hint="cs"/>
          <w:rtl/>
        </w:rPr>
        <w:t>), וכי פעמים רבות ההסכמה לשיתוף בין בני זוג אינה מתגבשת באופן מפורש</w:t>
      </w:r>
      <w:r>
        <w:rPr>
          <w:rFonts w:hint="cs"/>
          <w:rtl/>
        </w:rPr>
        <w:t xml:space="preserve"> וממוסמך</w:t>
      </w:r>
      <w:r w:rsidRPr="00937BFF">
        <w:rPr>
          <w:rFonts w:hint="cs"/>
          <w:rtl/>
        </w:rPr>
        <w:t>.</w:t>
      </w:r>
      <w:r>
        <w:rPr>
          <w:rFonts w:hint="cs"/>
          <w:rtl/>
        </w:rPr>
        <w:t xml:space="preserve"> ככל שבבית המגורים מדובר, כבר נקבע בפסיקה כי</w:t>
      </w:r>
      <w:r w:rsidRPr="00B25ED4">
        <w:rPr>
          <w:rFonts w:hint="cs"/>
          <w:rtl/>
        </w:rPr>
        <w:t xml:space="preserve"> </w:t>
      </w:r>
      <w:r>
        <w:rPr>
          <w:rFonts w:hint="cs"/>
          <w:rtl/>
        </w:rPr>
        <w:t>"</w:t>
      </w:r>
      <w:r>
        <w:rPr>
          <w:rFonts w:ascii="FrankRuehl" w:hAnsi="FrankRuehl"/>
          <w:color w:val="000000"/>
          <w:spacing w:val="6"/>
          <w:sz w:val="28"/>
          <w:rtl/>
        </w:rPr>
        <w:t>יש טעם להקל על בן הזוג הטוען לבעלות משותפת בדירת המגורים כאשר זו רשומה רק על שם אחד מהם</w:t>
      </w:r>
      <w:r>
        <w:rPr>
          <w:rFonts w:hint="cs"/>
          <w:rtl/>
        </w:rPr>
        <w:t xml:space="preserve">" (עניין </w:t>
      </w:r>
      <w:r w:rsidRPr="00007314">
        <w:rPr>
          <w:rFonts w:ascii="Century" w:hAnsi="Century" w:cs="Miriam" w:hint="cs"/>
          <w:b/>
          <w:spacing w:val="0"/>
          <w:sz w:val="22"/>
          <w:szCs w:val="24"/>
          <w:rtl/>
        </w:rPr>
        <w:t>אבו-רומי</w:t>
      </w:r>
      <w:r>
        <w:rPr>
          <w:rFonts w:hint="cs"/>
          <w:rtl/>
        </w:rPr>
        <w:t xml:space="preserve">, בעמ' 183; וכן ראו עניין </w:t>
      </w:r>
      <w:r w:rsidRPr="00007314">
        <w:rPr>
          <w:rFonts w:ascii="Century" w:hAnsi="Century" w:cs="Miriam" w:hint="cs"/>
          <w:b/>
          <w:spacing w:val="0"/>
          <w:sz w:val="22"/>
          <w:szCs w:val="24"/>
          <w:rtl/>
        </w:rPr>
        <w:t>אלמונית</w:t>
      </w:r>
      <w:r>
        <w:rPr>
          <w:rFonts w:hint="cs"/>
          <w:rtl/>
        </w:rPr>
        <w:t xml:space="preserve">, בפסקה 15 לחוות דעתו של השופט </w:t>
      </w:r>
      <w:proofErr w:type="spellStart"/>
      <w:r w:rsidRPr="00007314">
        <w:rPr>
          <w:rFonts w:ascii="Century" w:hAnsi="Century" w:cs="Miriam" w:hint="cs"/>
          <w:b/>
          <w:spacing w:val="0"/>
          <w:sz w:val="22"/>
          <w:szCs w:val="24"/>
          <w:rtl/>
        </w:rPr>
        <w:t>דנציגר</w:t>
      </w:r>
      <w:proofErr w:type="spellEnd"/>
      <w:r w:rsidRPr="00007314">
        <w:rPr>
          <w:rFonts w:hint="cs"/>
          <w:rtl/>
        </w:rPr>
        <w:t xml:space="preserve">; </w:t>
      </w:r>
      <w:r w:rsidRPr="003851D1">
        <w:rPr>
          <w:rFonts w:ascii="Century" w:hAnsi="Century" w:cs="Miriam" w:hint="cs"/>
          <w:b/>
          <w:spacing w:val="0"/>
          <w:sz w:val="22"/>
          <w:szCs w:val="24"/>
          <w:rtl/>
        </w:rPr>
        <w:t>ליפשיץ, השיתוף הזוגי</w:t>
      </w:r>
      <w:r w:rsidRPr="00B25ED4">
        <w:rPr>
          <w:rFonts w:hint="cs"/>
          <w:rtl/>
        </w:rPr>
        <w:t>, בעמ' 178</w:t>
      </w:r>
      <w:r>
        <w:rPr>
          <w:rFonts w:hint="cs"/>
          <w:rtl/>
        </w:rPr>
        <w:t xml:space="preserve">; ובאשר לחזקת השיתוף ראו </w:t>
      </w:r>
      <w:r w:rsidRPr="00F271EF">
        <w:rPr>
          <w:rFonts w:hint="eastAsia"/>
          <w:rtl/>
        </w:rPr>
        <w:t>בע</w:t>
      </w:r>
      <w:r>
        <w:rPr>
          <w:rFonts w:hint="cs"/>
          <w:rtl/>
        </w:rPr>
        <w:t>"</w:t>
      </w:r>
      <w:r w:rsidRPr="00F271EF">
        <w:rPr>
          <w:rFonts w:hint="eastAsia"/>
          <w:rtl/>
        </w:rPr>
        <w:t>מ</w:t>
      </w:r>
      <w:r w:rsidRPr="00F271EF">
        <w:rPr>
          <w:rtl/>
        </w:rPr>
        <w:t xml:space="preserve"> 5939/04</w:t>
      </w:r>
      <w:r>
        <w:rPr>
          <w:rFonts w:hint="cs"/>
          <w:rtl/>
        </w:rPr>
        <w:t xml:space="preserve"> </w:t>
      </w:r>
      <w:r w:rsidRPr="00007314">
        <w:rPr>
          <w:rFonts w:ascii="Century" w:hAnsi="Century" w:cs="Miriam" w:hint="eastAsia"/>
          <w:b/>
          <w:spacing w:val="0"/>
          <w:sz w:val="22"/>
          <w:szCs w:val="24"/>
          <w:rtl/>
        </w:rPr>
        <w:t>פלוני</w:t>
      </w:r>
      <w:r w:rsidRPr="00007314">
        <w:rPr>
          <w:rFonts w:ascii="Century" w:hAnsi="Century" w:cs="Miriam"/>
          <w:b/>
          <w:spacing w:val="0"/>
          <w:sz w:val="22"/>
          <w:szCs w:val="24"/>
          <w:rtl/>
        </w:rPr>
        <w:t xml:space="preserve"> </w:t>
      </w:r>
      <w:r w:rsidRPr="00007314">
        <w:rPr>
          <w:rFonts w:ascii="Century" w:hAnsi="Century" w:cs="Miriam" w:hint="eastAsia"/>
          <w:b/>
          <w:spacing w:val="0"/>
          <w:sz w:val="22"/>
          <w:szCs w:val="24"/>
          <w:rtl/>
        </w:rPr>
        <w:t>נ</w:t>
      </w:r>
      <w:r w:rsidRPr="00007314">
        <w:rPr>
          <w:rFonts w:ascii="Century" w:hAnsi="Century" w:cs="Miriam"/>
          <w:b/>
          <w:spacing w:val="0"/>
          <w:sz w:val="22"/>
          <w:szCs w:val="24"/>
          <w:rtl/>
        </w:rPr>
        <w:t xml:space="preserve">' </w:t>
      </w:r>
      <w:r w:rsidRPr="00007314">
        <w:rPr>
          <w:rFonts w:ascii="Century" w:hAnsi="Century" w:cs="Miriam" w:hint="eastAsia"/>
          <w:b/>
          <w:spacing w:val="0"/>
          <w:sz w:val="22"/>
          <w:szCs w:val="24"/>
          <w:rtl/>
        </w:rPr>
        <w:t>פלוני</w:t>
      </w:r>
      <w:r w:rsidRPr="00007314">
        <w:rPr>
          <w:rFonts w:ascii="Century" w:hAnsi="Century" w:cs="Miriam" w:hint="cs"/>
          <w:b/>
          <w:spacing w:val="0"/>
          <w:sz w:val="22"/>
          <w:szCs w:val="24"/>
          <w:rtl/>
        </w:rPr>
        <w:t>ת</w:t>
      </w:r>
      <w:r>
        <w:rPr>
          <w:rFonts w:hint="cs"/>
          <w:rtl/>
        </w:rPr>
        <w:t>, פ"ד נט(1) 665, 672-671 (</w:t>
      </w:r>
      <w:r w:rsidRPr="00F271EF">
        <w:rPr>
          <w:rtl/>
        </w:rPr>
        <w:t>2004</w:t>
      </w:r>
      <w:r>
        <w:rPr>
          <w:rFonts w:hint="cs"/>
          <w:rtl/>
        </w:rPr>
        <w:t>))</w:t>
      </w:r>
      <w:r w:rsidRPr="00B25ED4">
        <w:rPr>
          <w:rFonts w:hint="cs"/>
          <w:rtl/>
        </w:rPr>
        <w:t>. זאת</w:t>
      </w:r>
      <w:r>
        <w:rPr>
          <w:rFonts w:hint="cs"/>
          <w:rtl/>
        </w:rPr>
        <w:t>,</w:t>
      </w:r>
      <w:r w:rsidRPr="00B25ED4">
        <w:rPr>
          <w:rFonts w:hint="cs"/>
          <w:rtl/>
        </w:rPr>
        <w:t xml:space="preserve"> מתוך הנחה כי מדובר בנכסים אשר טבעם של בני זוג לשתף בהם</w:t>
      </w:r>
      <w:r>
        <w:rPr>
          <w:rFonts w:hint="cs"/>
          <w:rtl/>
        </w:rPr>
        <w:t>,</w:t>
      </w:r>
      <w:r w:rsidRPr="00B25ED4">
        <w:rPr>
          <w:rFonts w:hint="cs"/>
          <w:rtl/>
        </w:rPr>
        <w:t xml:space="preserve"> ו</w:t>
      </w:r>
      <w:r>
        <w:rPr>
          <w:rFonts w:hint="cs"/>
          <w:rtl/>
        </w:rPr>
        <w:t>כ</w:t>
      </w:r>
      <w:r w:rsidRPr="00B25ED4">
        <w:rPr>
          <w:rFonts w:hint="cs"/>
          <w:rtl/>
        </w:rPr>
        <w:t xml:space="preserve">ן מתוך הכרה בקשר ההדוק של נכס מעין זה למערכת היחסים הזוגית ובחשיבותו לרווחת כל אחד מבני הזוג. </w:t>
      </w:r>
    </w:p>
    <w:p w:rsidR="00FA3A86" w:rsidRPr="00B25ED4" w:rsidRDefault="00FA3A86" w:rsidP="00FA3A86">
      <w:pPr>
        <w:tabs>
          <w:tab w:val="left" w:pos="800"/>
        </w:tabs>
        <w:jc w:val="both"/>
        <w:rPr>
          <w:rFonts w:ascii="Garamond" w:hAnsi="Garamond"/>
          <w:sz w:val="24"/>
          <w:rtl/>
        </w:rPr>
      </w:pPr>
    </w:p>
    <w:p w:rsidR="00FA3A86" w:rsidRDefault="00FA3A86" w:rsidP="00FA3A86">
      <w:pPr>
        <w:pStyle w:val="Ruller4"/>
      </w:pPr>
      <w:r>
        <w:rPr>
          <w:rFonts w:hint="cs"/>
          <w:rtl/>
        </w:rPr>
        <w:t xml:space="preserve">ויודגש: כפי שהובהר לעיל, המבחן לקיומו של "דבר מה נוסף" הוא מבחן עובדתי בעיקרו והוא תלוי נסיבות המקרה. אך גבולות הגזרה של מבחן זה </w:t>
      </w:r>
      <w:r>
        <w:rPr>
          <w:rtl/>
        </w:rPr>
        <w:t>–</w:t>
      </w:r>
      <w:r>
        <w:rPr>
          <w:rFonts w:hint="cs"/>
          <w:rtl/>
        </w:rPr>
        <w:t xml:space="preserve"> המעצבים את מתחם הנסיבות העובדתיות שאחריהן יש לתור ואת המשקל שיש ליתן לכל אחת מהן </w:t>
      </w:r>
      <w:r>
        <w:rPr>
          <w:rtl/>
        </w:rPr>
        <w:t>–</w:t>
      </w:r>
      <w:r>
        <w:rPr>
          <w:rFonts w:hint="cs"/>
          <w:rtl/>
        </w:rPr>
        <w:t xml:space="preserve"> הוגדרו בפסיקה ומשכך הם מהווים חלק מהדין האזרחי שבתי הדין הרבניים מחויבים לו. במקרה דנן</w:t>
      </w:r>
      <w:r w:rsidRPr="00B25ED4">
        <w:rPr>
          <w:rFonts w:hint="cs"/>
          <w:rtl/>
        </w:rPr>
        <w:t>,</w:t>
      </w:r>
      <w:r w:rsidRPr="00B25ED4">
        <w:rPr>
          <w:rtl/>
        </w:rPr>
        <w:t xml:space="preserve"> </w:t>
      </w:r>
      <w:r>
        <w:rPr>
          <w:rFonts w:hint="cs"/>
          <w:rtl/>
        </w:rPr>
        <w:t xml:space="preserve">נקט בית הדין הרבני הגדול </w:t>
      </w:r>
      <w:r w:rsidRPr="00FD43CE">
        <w:rPr>
          <w:rFonts w:cs="Miriam" w:hint="eastAsia"/>
          <w:b/>
          <w:spacing w:val="0"/>
          <w:szCs w:val="24"/>
          <w:rtl/>
        </w:rPr>
        <w:t>פרשנות</w:t>
      </w:r>
      <w:r w:rsidRPr="00FD43CE">
        <w:rPr>
          <w:rFonts w:cs="Miriam"/>
          <w:b/>
          <w:spacing w:val="0"/>
          <w:szCs w:val="24"/>
          <w:rtl/>
        </w:rPr>
        <w:t xml:space="preserve"> </w:t>
      </w:r>
      <w:r w:rsidRPr="00FD43CE">
        <w:rPr>
          <w:rFonts w:cs="Miriam" w:hint="eastAsia"/>
          <w:b/>
          <w:spacing w:val="0"/>
          <w:szCs w:val="24"/>
          <w:rtl/>
        </w:rPr>
        <w:t>משפטית</w:t>
      </w:r>
      <w:r w:rsidRPr="00FD43CE">
        <w:rPr>
          <w:rFonts w:cs="Miriam"/>
          <w:b/>
          <w:spacing w:val="0"/>
          <w:szCs w:val="24"/>
          <w:rtl/>
        </w:rPr>
        <w:t xml:space="preserve"> </w:t>
      </w:r>
      <w:r w:rsidRPr="00FD43CE">
        <w:rPr>
          <w:rFonts w:cs="Miriam" w:hint="eastAsia"/>
          <w:b/>
          <w:spacing w:val="0"/>
          <w:szCs w:val="24"/>
          <w:rtl/>
        </w:rPr>
        <w:t>שגויה</w:t>
      </w:r>
      <w:r w:rsidRPr="00FD43CE">
        <w:rPr>
          <w:rFonts w:cs="Miriam"/>
          <w:b/>
          <w:spacing w:val="0"/>
          <w:szCs w:val="24"/>
          <w:rtl/>
        </w:rPr>
        <w:t xml:space="preserve"> </w:t>
      </w:r>
      <w:r>
        <w:rPr>
          <w:rFonts w:hint="cs"/>
          <w:rtl/>
        </w:rPr>
        <w:t xml:space="preserve">בבואו להכריע בסוגית קיומו או העדרו של "דבר מה נוסף". הוא הדריך את עצמו להחמיר בנטל הראייתי הנדרש שההלכה הפסוקה בדין האזרחי בחרה להקל, וסטה מן המבחנים שעוצבו לעניין זה בדין האזרחי.  פרשנות זו הובילה אותו לייחס משקל לנסיבות עובדתיות שלא היה להן מקום בהקשר זה מחד גיסא, ומאידך גיסא לא ייחס בית הדין משקל לנסיבות עובדתיות שראוי היה כי יזכו להתייחסות לצורך הכרעה בסוגית קיומו של דבר מה נוסף. כך, </w:t>
      </w:r>
      <w:r w:rsidRPr="00B25ED4">
        <w:rPr>
          <w:rtl/>
        </w:rPr>
        <w:t xml:space="preserve">לא </w:t>
      </w:r>
      <w:r w:rsidRPr="00B25ED4">
        <w:rPr>
          <w:rFonts w:hint="cs"/>
          <w:rtl/>
        </w:rPr>
        <w:t>ייחס</w:t>
      </w:r>
      <w:r w:rsidRPr="00B25ED4">
        <w:rPr>
          <w:rtl/>
        </w:rPr>
        <w:t xml:space="preserve"> </w:t>
      </w:r>
      <w:r>
        <w:rPr>
          <w:rFonts w:hint="cs"/>
          <w:rtl/>
        </w:rPr>
        <w:t xml:space="preserve">בית הדין הגדול </w:t>
      </w:r>
      <w:r w:rsidRPr="00B25ED4">
        <w:rPr>
          <w:rtl/>
        </w:rPr>
        <w:t>משקל לעובדה</w:t>
      </w:r>
      <w:r w:rsidRPr="00B25ED4">
        <w:rPr>
          <w:rFonts w:hint="cs"/>
          <w:rtl/>
        </w:rPr>
        <w:t xml:space="preserve"> ש</w:t>
      </w:r>
      <w:r>
        <w:rPr>
          <w:rFonts w:hint="cs"/>
          <w:rtl/>
        </w:rPr>
        <w:t xml:space="preserve">הנכס החיצוני שבו מדובר הוא </w:t>
      </w:r>
      <w:r w:rsidRPr="00B25ED4">
        <w:rPr>
          <w:rFonts w:hint="cs"/>
          <w:rtl/>
        </w:rPr>
        <w:t xml:space="preserve">בית המגורים של בני הזוג על </w:t>
      </w:r>
      <w:r>
        <w:rPr>
          <w:rFonts w:hint="cs"/>
          <w:rtl/>
        </w:rPr>
        <w:t xml:space="preserve">כל </w:t>
      </w:r>
      <w:r w:rsidRPr="00B25ED4">
        <w:rPr>
          <w:rFonts w:hint="cs"/>
          <w:rtl/>
        </w:rPr>
        <w:t>המשמעויות הנובעות מכך</w:t>
      </w:r>
      <w:r>
        <w:rPr>
          <w:rFonts w:hint="cs"/>
          <w:rtl/>
        </w:rPr>
        <w:t xml:space="preserve"> לפי הדין האזרחי, כמפורט לעיל</w:t>
      </w:r>
      <w:r w:rsidRPr="00B25ED4">
        <w:rPr>
          <w:rFonts w:hint="cs"/>
          <w:rtl/>
        </w:rPr>
        <w:t xml:space="preserve">; לעובדה </w:t>
      </w:r>
      <w:r w:rsidRPr="00B25ED4">
        <w:rPr>
          <w:rtl/>
        </w:rPr>
        <w:t xml:space="preserve">שהבית נבנה במסגרת חייהם </w:t>
      </w:r>
      <w:r w:rsidRPr="00B25ED4">
        <w:rPr>
          <w:rFonts w:ascii="FrankRuehl" w:hAnsi="FrankRuehl"/>
          <w:sz w:val="28"/>
          <w:rtl/>
        </w:rPr>
        <w:t>המשותפים</w:t>
      </w:r>
      <w:r w:rsidRPr="00B25ED4">
        <w:rPr>
          <w:rtl/>
        </w:rPr>
        <w:t xml:space="preserve"> של בני הזוג</w:t>
      </w:r>
      <w:r w:rsidRPr="00B25ED4">
        <w:rPr>
          <w:rFonts w:hint="cs"/>
          <w:rtl/>
        </w:rPr>
        <w:t xml:space="preserve">; ולעובדה שהבית </w:t>
      </w:r>
      <w:r w:rsidRPr="00B25ED4">
        <w:rPr>
          <w:rtl/>
        </w:rPr>
        <w:t>שימש למגורי</w:t>
      </w:r>
      <w:r w:rsidRPr="00B25ED4">
        <w:rPr>
          <w:rFonts w:hint="cs"/>
          <w:rtl/>
        </w:rPr>
        <w:t xml:space="preserve"> בני הזוג וילדיהם</w:t>
      </w:r>
      <w:r w:rsidRPr="00B25ED4">
        <w:rPr>
          <w:rtl/>
        </w:rPr>
        <w:t xml:space="preserve"> </w:t>
      </w:r>
      <w:r w:rsidRPr="00B25ED4">
        <w:rPr>
          <w:rFonts w:hint="cs"/>
          <w:rtl/>
        </w:rPr>
        <w:t>ב</w:t>
      </w:r>
      <w:r w:rsidRPr="00B25ED4">
        <w:rPr>
          <w:rtl/>
        </w:rPr>
        <w:t>משך למעלה מעשרים שנה.</w:t>
      </w:r>
    </w:p>
    <w:p w:rsidR="00FA3A86" w:rsidRDefault="00FA3A86" w:rsidP="00FA3A86">
      <w:pPr>
        <w:pStyle w:val="Ruller4"/>
        <w:numPr>
          <w:ilvl w:val="0"/>
          <w:numId w:val="0"/>
        </w:numPr>
        <w:rPr>
          <w:rtl/>
        </w:rPr>
      </w:pPr>
    </w:p>
    <w:p w:rsidR="00FA3A86" w:rsidRDefault="00FA3A86" w:rsidP="00FA3A86">
      <w:pPr>
        <w:pStyle w:val="Ruller4"/>
      </w:pPr>
      <w:r>
        <w:rPr>
          <w:rFonts w:hint="cs"/>
          <w:rtl/>
        </w:rPr>
        <w:t xml:space="preserve">בניגוד לגישה שביטא בית הדין, </w:t>
      </w:r>
      <w:r w:rsidRPr="00B25ED4">
        <w:rPr>
          <w:rFonts w:hint="cs"/>
          <w:rtl/>
        </w:rPr>
        <w:t xml:space="preserve">השאלה מכיסו של מי יצאו סכומי הכסף אשר שימשו למימון </w:t>
      </w:r>
      <w:r>
        <w:rPr>
          <w:rFonts w:hint="cs"/>
          <w:rtl/>
        </w:rPr>
        <w:t xml:space="preserve">בניית הבית או שיפוצו, אינה השאלה היחידה אף לא </w:t>
      </w:r>
      <w:r w:rsidRPr="00B25ED4">
        <w:rPr>
          <w:rFonts w:hint="cs"/>
          <w:rtl/>
        </w:rPr>
        <w:t xml:space="preserve">העיקרית בהקשר </w:t>
      </w:r>
      <w:r w:rsidRPr="00B25ED4">
        <w:rPr>
          <w:rFonts w:hint="cs"/>
          <w:rtl/>
        </w:rPr>
        <w:lastRenderedPageBreak/>
        <w:t>זה</w:t>
      </w:r>
      <w:r>
        <w:rPr>
          <w:rFonts w:hint="cs"/>
          <w:rtl/>
        </w:rPr>
        <w:t xml:space="preserve">. הקופה המשפחתית מנוהלת בדרכים שונות במשקי בית שונים, וקשה להלום כי בן או בת זוג חסרי אמצעים כלכליים משל עצמם יעמדו עקב כך בפני מכשול בלתי-עביר להוכחת שיתוף עם בן או בת זוגם. בהקשר זה ראוי להדגיש כי שיפוץ הבית במקרה דנן </w:t>
      </w:r>
      <w:r>
        <w:rPr>
          <w:rtl/>
        </w:rPr>
        <w:t>–</w:t>
      </w:r>
      <w:r>
        <w:rPr>
          <w:rFonts w:hint="cs"/>
          <w:rtl/>
        </w:rPr>
        <w:t xml:space="preserve"> אשר "לא היה מינורי ושגרתי", כלשון בית הדין הרבני האזורי </w:t>
      </w:r>
      <w:r>
        <w:rPr>
          <w:rtl/>
        </w:rPr>
        <w:t>–</w:t>
      </w:r>
      <w:r>
        <w:rPr>
          <w:rFonts w:hint="cs"/>
          <w:rtl/>
        </w:rPr>
        <w:t xml:space="preserve"> מהווה אינדיקציה לכוונת שיתוף ככל שנעשה במעורבות של המבקשת, ובניגוד לעמדת הדיין </w:t>
      </w:r>
      <w:r w:rsidRPr="00C57004">
        <w:rPr>
          <w:rFonts w:ascii="Miriam" w:hAnsi="Miriam" w:cs="Miriam" w:hint="eastAsia"/>
          <w:szCs w:val="24"/>
          <w:rtl/>
        </w:rPr>
        <w:t>עמוס</w:t>
      </w:r>
      <w:r>
        <w:rPr>
          <w:rFonts w:hint="cs"/>
          <w:rtl/>
        </w:rPr>
        <w:t xml:space="preserve"> העובדה שאין מדובר בשיפוץ מן המסד עד הטפחות, </w:t>
      </w:r>
      <w:r w:rsidRPr="00B25ED4">
        <w:rPr>
          <w:rtl/>
        </w:rPr>
        <w:t>אי</w:t>
      </w:r>
      <w:r w:rsidRPr="00B25ED4">
        <w:rPr>
          <w:rFonts w:hint="cs"/>
          <w:rtl/>
        </w:rPr>
        <w:t xml:space="preserve">ן בה כדי </w:t>
      </w:r>
      <w:r w:rsidRPr="00CB3D52">
        <w:rPr>
          <w:rFonts w:ascii="Century" w:hAnsi="Century" w:cs="Miriam" w:hint="cs"/>
          <w:b/>
          <w:spacing w:val="0"/>
          <w:sz w:val="22"/>
          <w:szCs w:val="24"/>
          <w:rtl/>
        </w:rPr>
        <w:t>לשלול</w:t>
      </w:r>
      <w:r w:rsidRPr="00B25ED4">
        <w:rPr>
          <w:rFonts w:hint="cs"/>
          <w:rtl/>
        </w:rPr>
        <w:t xml:space="preserve"> </w:t>
      </w:r>
      <w:r>
        <w:rPr>
          <w:rtl/>
        </w:rPr>
        <w:t>כוונ</w:t>
      </w:r>
      <w:r>
        <w:rPr>
          <w:rFonts w:hint="cs"/>
          <w:rtl/>
        </w:rPr>
        <w:t>ה זו</w:t>
      </w:r>
      <w:r w:rsidRPr="00B25ED4">
        <w:rPr>
          <w:rtl/>
        </w:rPr>
        <w:t xml:space="preserve">. גם העובדה שהבית נבנה במסגרת עסקת קומבינציה, </w:t>
      </w:r>
      <w:r>
        <w:rPr>
          <w:rFonts w:hint="cs"/>
          <w:rtl/>
        </w:rPr>
        <w:t xml:space="preserve">והעובדה </w:t>
      </w:r>
      <w:r w:rsidRPr="00B25ED4">
        <w:rPr>
          <w:rtl/>
        </w:rPr>
        <w:t>שהמבקשת לא השקיעה סכומי כסף משמעותיים בבנייתו</w:t>
      </w:r>
      <w:r>
        <w:rPr>
          <w:rFonts w:hint="cs"/>
          <w:rtl/>
        </w:rPr>
        <w:t>,</w:t>
      </w:r>
      <w:r w:rsidRPr="00B25ED4">
        <w:rPr>
          <w:rtl/>
        </w:rPr>
        <w:t xml:space="preserve"> אינה שוללת </w:t>
      </w:r>
      <w:r w:rsidRPr="00B25ED4">
        <w:rPr>
          <w:rFonts w:hint="cs"/>
          <w:rtl/>
        </w:rPr>
        <w:t xml:space="preserve">מעיקרא </w:t>
      </w:r>
      <w:r w:rsidRPr="00B25ED4">
        <w:rPr>
          <w:rtl/>
        </w:rPr>
        <w:t>את קיומו של שיתוף</w:t>
      </w:r>
      <w:r w:rsidRPr="00B25ED4">
        <w:rPr>
          <w:rFonts w:hint="cs"/>
          <w:rtl/>
        </w:rPr>
        <w:t xml:space="preserve">. </w:t>
      </w:r>
      <w:r>
        <w:rPr>
          <w:rFonts w:hint="cs"/>
          <w:rtl/>
        </w:rPr>
        <w:t xml:space="preserve">בענייננו הדיין </w:t>
      </w:r>
      <w:r w:rsidRPr="00007314">
        <w:rPr>
          <w:rFonts w:ascii="Century" w:hAnsi="Century" w:cs="Miriam" w:hint="cs"/>
          <w:b/>
          <w:spacing w:val="0"/>
          <w:sz w:val="22"/>
          <w:szCs w:val="24"/>
          <w:rtl/>
        </w:rPr>
        <w:t xml:space="preserve">עמוס </w:t>
      </w:r>
      <w:r>
        <w:rPr>
          <w:rFonts w:hint="cs"/>
          <w:rtl/>
        </w:rPr>
        <w:t xml:space="preserve">אף ציין כי לטענת המשיב, המבקשת כלל לא עבדה בזמן שבוצעו חלק מעבודות השיפוצים בנכס </w:t>
      </w:r>
      <w:r>
        <w:rPr>
          <w:rtl/>
        </w:rPr>
        <w:t>–</w:t>
      </w:r>
      <w:r>
        <w:rPr>
          <w:rFonts w:hint="cs"/>
          <w:rtl/>
        </w:rPr>
        <w:t>לעמדתי קשה להצדיק קביעה כמו זו של הדיין עמוס ולפיה העובדה שלא היו בידי המבקשת כספים מיגיע כפיה לשם השתתפות בבניית הבית או שיפוצו, שוללת כשלעצמה את המסקנה כי רכשה בו זכויות, למעט זכויות מכוח "שותפות מוחלשת", על פי חוק יחסי ממון, בשיעור המבטא שווי של 20% מהמבנה ללא רכיב הקרקע</w:t>
      </w:r>
      <w:r w:rsidRPr="00B25ED4">
        <w:rPr>
          <w:rFonts w:hint="cs"/>
          <w:rtl/>
        </w:rPr>
        <w:t>.</w:t>
      </w:r>
    </w:p>
    <w:p w:rsidR="00FA3A86" w:rsidRPr="00374E06" w:rsidRDefault="00FA3A86" w:rsidP="00FA3A86">
      <w:pPr>
        <w:pStyle w:val="Ruller4"/>
        <w:numPr>
          <w:ilvl w:val="0"/>
          <w:numId w:val="0"/>
        </w:numPr>
      </w:pPr>
    </w:p>
    <w:p w:rsidR="00FA3A86" w:rsidRDefault="00FA3A86" w:rsidP="00FA3A86">
      <w:pPr>
        <w:pStyle w:val="Ruller4"/>
        <w:rPr>
          <w:rtl/>
        </w:rPr>
      </w:pPr>
      <w:r>
        <w:rPr>
          <w:rFonts w:hint="cs"/>
          <w:rtl/>
        </w:rPr>
        <w:t>המצב הרישומי</w:t>
      </w:r>
      <w:r w:rsidRPr="00B25ED4">
        <w:rPr>
          <w:rFonts w:hint="cs"/>
          <w:rtl/>
        </w:rPr>
        <w:t xml:space="preserve"> של הנכס</w:t>
      </w:r>
      <w:r>
        <w:rPr>
          <w:rFonts w:hint="cs"/>
          <w:rtl/>
        </w:rPr>
        <w:t>, בהיותו נכס מקרקעין, אכן נושא משקל לא מבוטל,</w:t>
      </w:r>
      <w:r w:rsidRPr="00B25ED4">
        <w:rPr>
          <w:rFonts w:hint="cs"/>
          <w:rtl/>
        </w:rPr>
        <w:t xml:space="preserve"> </w:t>
      </w:r>
      <w:r>
        <w:rPr>
          <w:rFonts w:hint="cs"/>
          <w:rtl/>
        </w:rPr>
        <w:t>אך גם הוא אינ</w:t>
      </w:r>
      <w:r w:rsidRPr="00B25ED4">
        <w:rPr>
          <w:rFonts w:hint="cs"/>
          <w:rtl/>
        </w:rPr>
        <w:t>ו סוף פסוק</w:t>
      </w:r>
      <w:r>
        <w:rPr>
          <w:rFonts w:hint="cs"/>
          <w:rtl/>
        </w:rPr>
        <w:t xml:space="preserve"> ואין בו לעצמו כדי להכריע את הכף. ניסיון החיים מלמד כי תיתכנה סיבות שונות לכך שבית נרשם או נותר רשום על שם אחד מבני הזוג, אף שהתגבשה ביניהם כוונת שיתוף.</w:t>
      </w:r>
      <w:r w:rsidRPr="00B25ED4">
        <w:rPr>
          <w:rFonts w:hint="cs"/>
          <w:rtl/>
        </w:rPr>
        <w:t xml:space="preserve"> </w:t>
      </w:r>
      <w:r>
        <w:rPr>
          <w:rFonts w:hint="cs"/>
          <w:rtl/>
        </w:rPr>
        <w:t xml:space="preserve">במקרה דנן </w:t>
      </w:r>
      <w:r w:rsidRPr="00B25ED4">
        <w:rPr>
          <w:rFonts w:hint="cs"/>
          <w:rtl/>
        </w:rPr>
        <w:t xml:space="preserve">אני סבורה </w:t>
      </w:r>
      <w:r>
        <w:rPr>
          <w:rFonts w:hint="cs"/>
          <w:rtl/>
        </w:rPr>
        <w:t xml:space="preserve">כי העובדה שבית המגורים נרשם לאחר עסקת הקומבינציה על שמו של המשיב, אין בה לגישתי משום ראייה מכרעת המלמדת על כך שלא התגבשה כוונת שיתוף בין בני הזוג, במהלך עשרים שנות נישואיהם שחלפו מאז. </w:t>
      </w:r>
      <w:r w:rsidRPr="00B25ED4">
        <w:rPr>
          <w:rFonts w:hint="cs"/>
          <w:rtl/>
        </w:rPr>
        <w:t xml:space="preserve">כאמור לעיל, משך המגורים של בני הזוג בנכס </w:t>
      </w:r>
      <w:r>
        <w:rPr>
          <w:rFonts w:hint="cs"/>
          <w:rtl/>
        </w:rPr>
        <w:t xml:space="preserve">ועיצוב התא המשפחתי שלהם בו, </w:t>
      </w:r>
      <w:r w:rsidRPr="00B25ED4">
        <w:rPr>
          <w:rFonts w:hint="cs"/>
          <w:rtl/>
        </w:rPr>
        <w:t xml:space="preserve">עשוי להוות שיקול </w:t>
      </w:r>
      <w:r>
        <w:rPr>
          <w:rFonts w:hint="cs"/>
          <w:rtl/>
        </w:rPr>
        <w:t>חשוב בבואנו לבחון האם</w:t>
      </w:r>
      <w:r w:rsidRPr="00B25ED4">
        <w:rPr>
          <w:rFonts w:hint="cs"/>
          <w:rtl/>
        </w:rPr>
        <w:t xml:space="preserve"> </w:t>
      </w:r>
      <w:r>
        <w:rPr>
          <w:rFonts w:hint="cs"/>
          <w:rtl/>
        </w:rPr>
        <w:t>קיים</w:t>
      </w:r>
      <w:r w:rsidRPr="00B25ED4">
        <w:rPr>
          <w:rFonts w:hint="cs"/>
          <w:rtl/>
        </w:rPr>
        <w:t xml:space="preserve"> "דבר מה נוסף"</w:t>
      </w:r>
      <w:r>
        <w:rPr>
          <w:rFonts w:hint="cs"/>
          <w:rtl/>
        </w:rPr>
        <w:t xml:space="preserve"> המוליך אל המסקנה כי התגבשה כוונת שיתוף.</w:t>
      </w:r>
      <w:r w:rsidRPr="00B25ED4">
        <w:rPr>
          <w:rFonts w:hint="cs"/>
          <w:rtl/>
        </w:rPr>
        <w:t xml:space="preserve"> </w:t>
      </w:r>
      <w:r>
        <w:rPr>
          <w:rFonts w:hint="cs"/>
          <w:rtl/>
        </w:rPr>
        <w:t xml:space="preserve">בענייננו, </w:t>
      </w:r>
      <w:r w:rsidRPr="00B25ED4">
        <w:rPr>
          <w:rFonts w:hint="cs"/>
          <w:rtl/>
        </w:rPr>
        <w:t>התקופה הארוכה שבה התגוררו בני הזוג</w:t>
      </w:r>
      <w:r>
        <w:rPr>
          <w:rFonts w:hint="cs"/>
          <w:rtl/>
        </w:rPr>
        <w:t xml:space="preserve"> וילדיהם כמשפחה</w:t>
      </w:r>
      <w:r w:rsidRPr="00B25ED4">
        <w:rPr>
          <w:rFonts w:hint="cs"/>
          <w:rtl/>
        </w:rPr>
        <w:t xml:space="preserve"> בביתם המשותף</w:t>
      </w:r>
      <w:r>
        <w:rPr>
          <w:rFonts w:hint="cs"/>
          <w:rtl/>
        </w:rPr>
        <w:t>,</w:t>
      </w:r>
      <w:r w:rsidRPr="00B25ED4">
        <w:rPr>
          <w:rFonts w:hint="cs"/>
          <w:rtl/>
        </w:rPr>
        <w:t xml:space="preserve"> </w:t>
      </w:r>
      <w:r>
        <w:rPr>
          <w:rFonts w:hint="cs"/>
          <w:rtl/>
        </w:rPr>
        <w:t xml:space="preserve">יש בה בעיני משום אינדיקציה משמעותית </w:t>
      </w:r>
      <w:r w:rsidRPr="00E93CF3">
        <w:rPr>
          <w:rFonts w:hint="cs"/>
          <w:rtl/>
        </w:rPr>
        <w:t xml:space="preserve">לכוונת שיתוף בנכס, אף שהנכס נותר רשום על שמו של המשיב בלבד. חיזוק למסקנה זו, ניתן למצוא בהתבטאויותיו של המשיב עצמו במסגרת הדיון </w:t>
      </w:r>
      <w:r w:rsidRPr="00E93CF3">
        <w:rPr>
          <w:rFonts w:hint="eastAsia"/>
          <w:rtl/>
        </w:rPr>
        <w:t>בבג</w:t>
      </w:r>
      <w:r w:rsidRPr="00E93CF3">
        <w:rPr>
          <w:rtl/>
        </w:rPr>
        <w:t>"</w:t>
      </w:r>
      <w:r w:rsidRPr="00E93CF3">
        <w:rPr>
          <w:rFonts w:hint="eastAsia"/>
          <w:rtl/>
        </w:rPr>
        <w:t>ץ</w:t>
      </w:r>
      <w:r w:rsidRPr="00E93CF3">
        <w:rPr>
          <w:rtl/>
        </w:rPr>
        <w:t xml:space="preserve"> 4602/13</w:t>
      </w:r>
      <w:r w:rsidRPr="00E93CF3">
        <w:rPr>
          <w:rFonts w:hint="cs"/>
          <w:rtl/>
        </w:rPr>
        <w:t xml:space="preserve"> (ראו לעיל, בפסקה </w:t>
      </w:r>
      <w:r w:rsidRPr="00E93CF3">
        <w:rPr>
          <w:rtl/>
        </w:rPr>
        <w:t>5</w:t>
      </w:r>
      <w:r w:rsidRPr="00E93CF3">
        <w:rPr>
          <w:rFonts w:hint="cs"/>
          <w:rtl/>
        </w:rPr>
        <w:t xml:space="preserve"> לעיל; ובפסקה 3 לחוות דעתו של השופט </w:t>
      </w:r>
      <w:r w:rsidRPr="00E93CF3">
        <w:rPr>
          <w:rFonts w:ascii="Century" w:hAnsi="Century" w:cs="Miriam" w:hint="eastAsia"/>
          <w:b/>
          <w:spacing w:val="0"/>
          <w:szCs w:val="24"/>
          <w:rtl/>
        </w:rPr>
        <w:t>עמית</w:t>
      </w:r>
      <w:r w:rsidRPr="00E93CF3">
        <w:rPr>
          <w:rFonts w:hint="cs"/>
          <w:rtl/>
        </w:rPr>
        <w:t xml:space="preserve"> בפסק הדין נושא הדיון הנוסף). התבטאו</w:t>
      </w:r>
      <w:r>
        <w:rPr>
          <w:rFonts w:hint="cs"/>
          <w:rtl/>
        </w:rPr>
        <w:t xml:space="preserve">יות אלה, שעליהן עמד </w:t>
      </w:r>
      <w:r w:rsidRPr="00B25ED4">
        <w:rPr>
          <w:rFonts w:hint="cs"/>
          <w:rtl/>
        </w:rPr>
        <w:t>בית הדין הרבני האזורי</w:t>
      </w:r>
      <w:r>
        <w:rPr>
          <w:rFonts w:hint="cs"/>
          <w:rtl/>
        </w:rPr>
        <w:t>, מלמדות</w:t>
      </w:r>
      <w:r w:rsidRPr="00B25ED4">
        <w:rPr>
          <w:rFonts w:hint="cs"/>
          <w:rtl/>
        </w:rPr>
        <w:t xml:space="preserve"> על האופן שבו תפש</w:t>
      </w:r>
      <w:r>
        <w:rPr>
          <w:rFonts w:hint="cs"/>
          <w:rtl/>
        </w:rPr>
        <w:t xml:space="preserve"> המשיב את בית המגורים בזמן אמת כ</w:t>
      </w:r>
      <w:r w:rsidRPr="00B25ED4">
        <w:rPr>
          <w:rFonts w:hint="cs"/>
          <w:rtl/>
        </w:rPr>
        <w:t xml:space="preserve">נכס ששייך לו ולמבקשת, </w:t>
      </w:r>
      <w:r>
        <w:rPr>
          <w:rFonts w:hint="cs"/>
          <w:rtl/>
        </w:rPr>
        <w:t xml:space="preserve">ומהווה </w:t>
      </w:r>
      <w:r w:rsidRPr="00B25ED4">
        <w:rPr>
          <w:rFonts w:hint="cs"/>
          <w:rtl/>
        </w:rPr>
        <w:t>"פרי עמל</w:t>
      </w:r>
      <w:r>
        <w:rPr>
          <w:rFonts w:hint="cs"/>
          <w:rtl/>
        </w:rPr>
        <w:t>[ם]" ש</w:t>
      </w:r>
      <w:r w:rsidRPr="00B25ED4">
        <w:rPr>
          <w:rFonts w:hint="cs"/>
          <w:rtl/>
        </w:rPr>
        <w:t>אמור לשמש "ל[ו] או לה" לעת זקנה</w:t>
      </w:r>
      <w:r>
        <w:rPr>
          <w:rFonts w:hint="cs"/>
          <w:rtl/>
        </w:rPr>
        <w:t xml:space="preserve"> (וראו פרוטוקול הדיון בבג"ץ 4602/13 מיום 3.7.2013, ממנו עולה בבירור כי המשיב מתייחס לבית המגורים).</w:t>
      </w:r>
    </w:p>
    <w:p w:rsidR="00FA3A86" w:rsidRPr="00FD43CE" w:rsidRDefault="00FA3A86" w:rsidP="00FA3A86">
      <w:pPr>
        <w:pStyle w:val="Ruller41"/>
        <w:rPr>
          <w:rtl/>
        </w:rPr>
      </w:pPr>
    </w:p>
    <w:p w:rsidR="00FA3A86" w:rsidRDefault="00FA3A86" w:rsidP="00FA3A86">
      <w:pPr>
        <w:pStyle w:val="Ruller4"/>
      </w:pPr>
      <w:r w:rsidRPr="000B5400">
        <w:rPr>
          <w:rFonts w:hint="eastAsia"/>
          <w:rtl/>
        </w:rPr>
        <w:lastRenderedPageBreak/>
        <w:t>הנה</w:t>
      </w:r>
      <w:r w:rsidRPr="000B5400">
        <w:rPr>
          <w:rtl/>
        </w:rPr>
        <w:t xml:space="preserve"> </w:t>
      </w:r>
      <w:r w:rsidRPr="00D8166F">
        <w:rPr>
          <w:rFonts w:hint="eastAsia"/>
          <w:rtl/>
        </w:rPr>
        <w:t>כי</w:t>
      </w:r>
      <w:r w:rsidRPr="000375D8">
        <w:rPr>
          <w:rtl/>
        </w:rPr>
        <w:t xml:space="preserve"> </w:t>
      </w:r>
      <w:r w:rsidRPr="000375D8">
        <w:rPr>
          <w:rFonts w:hint="eastAsia"/>
          <w:rtl/>
        </w:rPr>
        <w:t>כן</w:t>
      </w:r>
      <w:r w:rsidRPr="000375D8">
        <w:rPr>
          <w:rtl/>
        </w:rPr>
        <w:t xml:space="preserve">, </w:t>
      </w:r>
      <w:r>
        <w:rPr>
          <w:rFonts w:hint="cs"/>
          <w:rtl/>
        </w:rPr>
        <w:t xml:space="preserve">האופן שבו בחן בית הדין את האינדיקציות להוכחת "דבר מה נוסף" ולגיבוש כוונת שיתוף, אינו עולה בקנה אחד עם אמות המידה שנקבעו בהקשר זה בדין האזרחי במסגרת הלכת השיתוף הספציפי. בפרט, אין בפסיקה תימוכין לקביעה כי </w:t>
      </w:r>
      <w:r w:rsidRPr="00FD43CE">
        <w:rPr>
          <w:rFonts w:ascii="Century" w:hAnsi="Century" w:cs="Miriam" w:hint="eastAsia"/>
          <w:b/>
          <w:spacing w:val="0"/>
          <w:sz w:val="22"/>
          <w:szCs w:val="24"/>
          <w:rtl/>
        </w:rPr>
        <w:t>היעדרה</w:t>
      </w:r>
      <w:r w:rsidRPr="00FD43CE">
        <w:rPr>
          <w:rFonts w:ascii="Century" w:hAnsi="Century" w:cs="Miriam"/>
          <w:b/>
          <w:spacing w:val="0"/>
          <w:sz w:val="22"/>
          <w:szCs w:val="24"/>
          <w:rtl/>
        </w:rPr>
        <w:t xml:space="preserve"> </w:t>
      </w:r>
      <w:r>
        <w:rPr>
          <w:rFonts w:hint="cs"/>
          <w:rtl/>
        </w:rPr>
        <w:t xml:space="preserve">של אינדיקציה עובדתית מסוימת (כגון היעדר רישום הנכס על שם שני הצדדים או היעדר השתתפות כספית של הטוען לשיתוף בשיפוצו) יש בה כדי </w:t>
      </w:r>
      <w:r>
        <w:rPr>
          <w:rFonts w:ascii="Century" w:hAnsi="Century" w:cs="Miriam" w:hint="cs"/>
          <w:b/>
          <w:spacing w:val="0"/>
          <w:sz w:val="22"/>
          <w:szCs w:val="24"/>
          <w:rtl/>
        </w:rPr>
        <w:t>לה</w:t>
      </w:r>
      <w:r w:rsidRPr="00FD6B99">
        <w:rPr>
          <w:rFonts w:ascii="Century" w:hAnsi="Century" w:cs="Miriam" w:hint="cs"/>
          <w:b/>
          <w:spacing w:val="0"/>
          <w:sz w:val="22"/>
          <w:szCs w:val="24"/>
          <w:rtl/>
        </w:rPr>
        <w:t xml:space="preserve">גביר את נטל ההוכחה </w:t>
      </w:r>
      <w:r>
        <w:rPr>
          <w:rFonts w:hint="cs"/>
          <w:rtl/>
        </w:rPr>
        <w:t>שמוטל על הטוען לשיתוף, ובכך להקשות עליו להוכיח כוונת שיתוף באמצעות אינדיקציות אחרות שכן הוכחו.</w:t>
      </w:r>
    </w:p>
    <w:p w:rsidR="00FA3A86" w:rsidRPr="002F59F8" w:rsidRDefault="00FA3A86" w:rsidP="00FA3A86">
      <w:pPr>
        <w:pStyle w:val="Ruller4"/>
        <w:numPr>
          <w:ilvl w:val="0"/>
          <w:numId w:val="0"/>
        </w:numPr>
      </w:pPr>
    </w:p>
    <w:p w:rsidR="00FA3A86" w:rsidRPr="00B25ED4" w:rsidRDefault="00FA3A86" w:rsidP="00FA3A86">
      <w:pPr>
        <w:pStyle w:val="Ruller4"/>
        <w:rPr>
          <w:rtl/>
        </w:rPr>
      </w:pPr>
      <w:r>
        <w:rPr>
          <w:rFonts w:hint="cs"/>
          <w:rtl/>
        </w:rPr>
        <w:t xml:space="preserve">יתכן כי בכך בלבד לא די היה על מנת לבסס עילה להתערבותו של בית המשפט הגבוה לצדק ולהתערבותנו במסגרת הדיון הנוסף. זאת, בהינתן הכלל </w:t>
      </w:r>
      <w:proofErr w:type="spellStart"/>
      <w:r>
        <w:rPr>
          <w:rFonts w:hint="cs"/>
          <w:rtl/>
        </w:rPr>
        <w:t>הנקוט</w:t>
      </w:r>
      <w:proofErr w:type="spellEnd"/>
      <w:r>
        <w:rPr>
          <w:rFonts w:hint="cs"/>
          <w:rtl/>
        </w:rPr>
        <w:t xml:space="preserve"> עמנו בהקשר זה מימים ימימה והמשמיע לנו היקף התערבות מצומצם בהחלטות בית הדין הרבני (ראו, מני רבים: </w:t>
      </w:r>
      <w:r w:rsidRPr="00EA18E9">
        <w:rPr>
          <w:rtl/>
        </w:rPr>
        <w:t xml:space="preserve">בג"ץ 3295/19 </w:t>
      </w:r>
      <w:r w:rsidRPr="009F15F0">
        <w:rPr>
          <w:rFonts w:ascii="Century" w:hAnsi="Century" w:cs="Miriam" w:hint="eastAsia"/>
          <w:b/>
          <w:spacing w:val="0"/>
          <w:sz w:val="22"/>
          <w:szCs w:val="24"/>
          <w:rtl/>
        </w:rPr>
        <w:t>פלונית</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נ</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בית</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הדין</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הרבני</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הגדול</w:t>
      </w:r>
      <w:r w:rsidRPr="00EA18E9">
        <w:rPr>
          <w:rtl/>
        </w:rPr>
        <w:t>, פסקה 8 (2.9.2019)</w:t>
      </w:r>
      <w:r>
        <w:rPr>
          <w:rFonts w:hint="cs"/>
          <w:rtl/>
        </w:rPr>
        <w:t xml:space="preserve">; </w:t>
      </w:r>
      <w:r w:rsidRPr="005F58F9">
        <w:rPr>
          <w:rtl/>
        </w:rPr>
        <w:t xml:space="preserve">בג"ץ 1252/20 </w:t>
      </w:r>
      <w:r w:rsidRPr="009F15F0">
        <w:rPr>
          <w:rFonts w:ascii="Century" w:hAnsi="Century" w:cs="Miriam" w:hint="eastAsia"/>
          <w:b/>
          <w:spacing w:val="0"/>
          <w:sz w:val="22"/>
          <w:szCs w:val="24"/>
          <w:rtl/>
        </w:rPr>
        <w:t>פלונית</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נ</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בית</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הדין</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הדתי</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הדרוזי</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בעכו</w:t>
      </w:r>
      <w:r w:rsidRPr="005F58F9">
        <w:rPr>
          <w:rtl/>
        </w:rPr>
        <w:t>, פסקה 14 (31.5.2020)</w:t>
      </w:r>
      <w:r>
        <w:rPr>
          <w:rFonts w:hint="cs"/>
          <w:rtl/>
        </w:rPr>
        <w:t xml:space="preserve">; </w:t>
      </w:r>
      <w:r w:rsidRPr="00440210">
        <w:rPr>
          <w:rtl/>
        </w:rPr>
        <w:t>בג</w:t>
      </w:r>
      <w:r>
        <w:rPr>
          <w:rFonts w:hint="cs"/>
          <w:rtl/>
        </w:rPr>
        <w:t>"</w:t>
      </w:r>
      <w:r w:rsidRPr="00440210">
        <w:rPr>
          <w:rtl/>
        </w:rPr>
        <w:t>ץ 314/20</w:t>
      </w:r>
      <w:r>
        <w:rPr>
          <w:rFonts w:hint="cs"/>
          <w:rtl/>
        </w:rPr>
        <w:t xml:space="preserve"> </w:t>
      </w:r>
      <w:r w:rsidRPr="009F15F0">
        <w:rPr>
          <w:rFonts w:ascii="Century" w:hAnsi="Century" w:cs="Miriam" w:hint="eastAsia"/>
          <w:b/>
          <w:spacing w:val="0"/>
          <w:sz w:val="22"/>
          <w:szCs w:val="24"/>
          <w:rtl/>
        </w:rPr>
        <w:t>פלוני</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נ</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בית</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הדין</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הרבני</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הגדול</w:t>
      </w:r>
      <w:r>
        <w:rPr>
          <w:rFonts w:hint="cs"/>
          <w:rtl/>
        </w:rPr>
        <w:t>, פסקה 5 (</w:t>
      </w:r>
      <w:bookmarkStart w:id="6" w:name="Nitan"/>
      <w:r>
        <w:rPr>
          <w:rFonts w:ascii="FrankRuehl" w:hAnsi="Arial TUR" w:hint="cs"/>
          <w:color w:val="000000"/>
          <w:sz w:val="28"/>
          <w:rtl/>
        </w:rPr>
        <w:t>‏29.6.2020</w:t>
      </w:r>
      <w:bookmarkEnd w:id="6"/>
      <w:r>
        <w:rPr>
          <w:rFonts w:hint="cs"/>
          <w:rtl/>
        </w:rPr>
        <w:t xml:space="preserve">); </w:t>
      </w:r>
      <w:r w:rsidRPr="000A58F4">
        <w:rPr>
          <w:rtl/>
        </w:rPr>
        <w:t>בג</w:t>
      </w:r>
      <w:r>
        <w:rPr>
          <w:rFonts w:hint="cs"/>
          <w:rtl/>
        </w:rPr>
        <w:t>"</w:t>
      </w:r>
      <w:r w:rsidRPr="000A58F4">
        <w:rPr>
          <w:rtl/>
        </w:rPr>
        <w:t>ץ 5040/17</w:t>
      </w:r>
      <w:r>
        <w:rPr>
          <w:rFonts w:hint="cs"/>
          <w:rtl/>
        </w:rPr>
        <w:t xml:space="preserve"> </w:t>
      </w:r>
      <w:r w:rsidRPr="009F15F0">
        <w:rPr>
          <w:rFonts w:ascii="Century" w:hAnsi="Century" w:cs="Miriam" w:hint="eastAsia"/>
          <w:b/>
          <w:spacing w:val="0"/>
          <w:sz w:val="22"/>
          <w:szCs w:val="24"/>
          <w:rtl/>
        </w:rPr>
        <w:t>פלוני</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נ</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בית</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הדין</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הרבני</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הגדול</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בירושלים</w:t>
      </w:r>
      <w:r>
        <w:rPr>
          <w:rFonts w:hint="cs"/>
          <w:rtl/>
        </w:rPr>
        <w:t xml:space="preserve">, פסקה 9 </w:t>
      </w:r>
      <w:r w:rsidRPr="000A58F4">
        <w:rPr>
          <w:rtl/>
        </w:rPr>
        <w:t>(‏25.9.2017)</w:t>
      </w:r>
      <w:r>
        <w:rPr>
          <w:rFonts w:hint="cs"/>
          <w:rtl/>
        </w:rPr>
        <w:t xml:space="preserve">). אך כפי שאבהיר להלן, חוות דעתם של שניים מתוך שלושת דייני בית הדין הרבני הגדול (הדיינים </w:t>
      </w:r>
      <w:r w:rsidRPr="00FD43CE">
        <w:rPr>
          <w:rFonts w:ascii="Century" w:hAnsi="Century" w:cs="Miriam" w:hint="eastAsia"/>
          <w:b/>
          <w:spacing w:val="0"/>
          <w:sz w:val="22"/>
          <w:szCs w:val="24"/>
          <w:rtl/>
        </w:rPr>
        <w:t>נהרי</w:t>
      </w:r>
      <w:r>
        <w:rPr>
          <w:rFonts w:hint="cs"/>
          <w:rtl/>
        </w:rPr>
        <w:t xml:space="preserve"> ו</w:t>
      </w:r>
      <w:r w:rsidRPr="00FD43CE">
        <w:rPr>
          <w:rFonts w:ascii="Century" w:hAnsi="Century" w:cs="Miriam" w:hint="eastAsia"/>
          <w:b/>
          <w:spacing w:val="0"/>
          <w:sz w:val="22"/>
          <w:szCs w:val="24"/>
          <w:rtl/>
        </w:rPr>
        <w:t>עמוס</w:t>
      </w:r>
      <w:r>
        <w:rPr>
          <w:rFonts w:hint="cs"/>
          <w:rtl/>
        </w:rPr>
        <w:t>), מצאו לנכון לבסס את מסקנתם</w:t>
      </w:r>
      <w:r w:rsidRPr="00B25ED4">
        <w:rPr>
          <w:rFonts w:hint="cs"/>
          <w:rtl/>
        </w:rPr>
        <w:t xml:space="preserve"> בדבר היעדר כוונת שיתוף </w:t>
      </w:r>
      <w:r>
        <w:rPr>
          <w:rFonts w:hint="cs"/>
          <w:rtl/>
        </w:rPr>
        <w:t xml:space="preserve">(או "שותפות מוחלשת" בבית המגורים ללא הקרקע) </w:t>
      </w:r>
      <w:r w:rsidRPr="00B25ED4">
        <w:rPr>
          <w:rFonts w:hint="cs"/>
          <w:rtl/>
        </w:rPr>
        <w:t xml:space="preserve">על שיקול נוסף, שעניינו </w:t>
      </w:r>
      <w:r>
        <w:rPr>
          <w:rFonts w:hint="cs"/>
          <w:rtl/>
        </w:rPr>
        <w:t>ה</w:t>
      </w:r>
      <w:r w:rsidRPr="00B25ED4">
        <w:rPr>
          <w:rFonts w:hint="cs"/>
          <w:rtl/>
        </w:rPr>
        <w:t xml:space="preserve">בגידה הנטענת של המבקשת במשיב. </w:t>
      </w:r>
      <w:r>
        <w:rPr>
          <w:rFonts w:hint="cs"/>
          <w:rtl/>
        </w:rPr>
        <w:t xml:space="preserve">עוצמתן המצטברת של שתי השגיאות שנפלו בפסק דינו של בית הדין הרבני הגדול </w:t>
      </w:r>
      <w:r>
        <w:rPr>
          <w:rtl/>
        </w:rPr>
        <w:t>–</w:t>
      </w:r>
      <w:r>
        <w:rPr>
          <w:rFonts w:hint="cs"/>
          <w:rtl/>
        </w:rPr>
        <w:t xml:space="preserve"> האופן השגוי שבו פורשה הלכת השיתוף הספציפי, לצד </w:t>
      </w:r>
      <w:r w:rsidRPr="00B25ED4">
        <w:rPr>
          <w:rFonts w:hint="cs"/>
          <w:rtl/>
        </w:rPr>
        <w:t>מתן משקל לסוגיית הבגידה</w:t>
      </w:r>
      <w:r>
        <w:rPr>
          <w:rFonts w:hint="cs"/>
          <w:rtl/>
        </w:rPr>
        <w:t xml:space="preserve"> </w:t>
      </w:r>
      <w:r>
        <w:rPr>
          <w:rtl/>
        </w:rPr>
        <w:t>–</w:t>
      </w:r>
      <w:r>
        <w:rPr>
          <w:rFonts w:hint="cs"/>
          <w:rtl/>
        </w:rPr>
        <w:t xml:space="preserve"> אינה עולה בקנה אחד עם הדין האזרחי ומקימה עילה להתערבותנו במקרה הנדון.</w:t>
      </w:r>
      <w:r w:rsidRPr="00B25ED4">
        <w:rPr>
          <w:rFonts w:hint="cs"/>
          <w:rtl/>
        </w:rPr>
        <w:t xml:space="preserve"> </w:t>
      </w:r>
    </w:p>
    <w:p w:rsidR="00FA3A86" w:rsidRPr="00B25ED4" w:rsidRDefault="00FA3A86" w:rsidP="00FA3A86">
      <w:pPr>
        <w:pStyle w:val="Ruller41"/>
        <w:rPr>
          <w:rFonts w:ascii="Garamond" w:hAnsi="Garamond"/>
          <w:sz w:val="24"/>
          <w:rtl/>
        </w:rPr>
      </w:pPr>
    </w:p>
    <w:p w:rsidR="00FA3A86" w:rsidRPr="00B25ED4" w:rsidRDefault="00FA3A86" w:rsidP="00FA3A86">
      <w:pPr>
        <w:pStyle w:val="Ruller4"/>
        <w:rPr>
          <w:rtl/>
        </w:rPr>
      </w:pPr>
      <w:r>
        <w:rPr>
          <w:rFonts w:hint="cs"/>
          <w:rtl/>
        </w:rPr>
        <w:t xml:space="preserve">הדיין </w:t>
      </w:r>
      <w:r w:rsidRPr="00AF3695">
        <w:rPr>
          <w:rFonts w:cs="Miriam" w:hint="cs"/>
          <w:sz w:val="22"/>
          <w:szCs w:val="24"/>
          <w:rtl/>
        </w:rPr>
        <w:t>נהרי</w:t>
      </w:r>
      <w:r>
        <w:rPr>
          <w:rFonts w:hint="cs"/>
          <w:rtl/>
        </w:rPr>
        <w:t xml:space="preserve"> קבע כי נדרשות</w:t>
      </w:r>
      <w:r w:rsidRPr="00B25ED4">
        <w:rPr>
          <w:rFonts w:hint="cs"/>
          <w:rtl/>
        </w:rPr>
        <w:t xml:space="preserve"> "אמות מ</w:t>
      </w:r>
      <w:r>
        <w:rPr>
          <w:rFonts w:hint="cs"/>
          <w:rtl/>
        </w:rPr>
        <w:t>ידה מחמירות" להוכחת כוונת שיתוף. עוד</w:t>
      </w:r>
      <w:r w:rsidRPr="00B25ED4">
        <w:rPr>
          <w:rFonts w:hint="cs"/>
          <w:rtl/>
        </w:rPr>
        <w:t xml:space="preserve"> </w:t>
      </w:r>
      <w:r>
        <w:rPr>
          <w:rFonts w:hint="cs"/>
          <w:rtl/>
        </w:rPr>
        <w:t>קבע</w:t>
      </w:r>
      <w:r w:rsidRPr="00B25ED4">
        <w:rPr>
          <w:rFonts w:hint="cs"/>
          <w:rtl/>
        </w:rPr>
        <w:t xml:space="preserve"> הדיין </w:t>
      </w:r>
      <w:r w:rsidRPr="00007314">
        <w:rPr>
          <w:rFonts w:ascii="Century" w:hAnsi="Century" w:cs="Miriam" w:hint="cs"/>
          <w:b/>
          <w:spacing w:val="0"/>
          <w:sz w:val="22"/>
          <w:szCs w:val="24"/>
          <w:rtl/>
        </w:rPr>
        <w:t>נהרי</w:t>
      </w:r>
      <w:r w:rsidRPr="00B25ED4">
        <w:rPr>
          <w:rFonts w:hint="cs"/>
          <w:rtl/>
        </w:rPr>
        <w:t xml:space="preserve"> כי "</w:t>
      </w:r>
      <w:r w:rsidRPr="00B25ED4">
        <w:rPr>
          <w:rFonts w:hint="eastAsia"/>
          <w:rtl/>
        </w:rPr>
        <w:t>כאשר</w:t>
      </w:r>
      <w:r w:rsidRPr="00B25ED4">
        <w:rPr>
          <w:rtl/>
        </w:rPr>
        <w:t xml:space="preserve"> </w:t>
      </w:r>
      <w:r w:rsidRPr="00B25ED4">
        <w:rPr>
          <w:rFonts w:hint="eastAsia"/>
          <w:rtl/>
        </w:rPr>
        <w:t>בתהליך</w:t>
      </w:r>
      <w:r w:rsidRPr="00B25ED4">
        <w:rPr>
          <w:rtl/>
        </w:rPr>
        <w:t xml:space="preserve"> </w:t>
      </w:r>
      <w:r w:rsidRPr="00B25ED4">
        <w:rPr>
          <w:rFonts w:hint="eastAsia"/>
          <w:rtl/>
        </w:rPr>
        <w:t>הנישואין</w:t>
      </w:r>
      <w:r w:rsidRPr="00B25ED4">
        <w:rPr>
          <w:rtl/>
        </w:rPr>
        <w:t xml:space="preserve"> </w:t>
      </w:r>
      <w:r w:rsidRPr="00B25ED4">
        <w:rPr>
          <w:rFonts w:hint="eastAsia"/>
          <w:rtl/>
        </w:rPr>
        <w:t>פוגע</w:t>
      </w:r>
      <w:r w:rsidRPr="00B25ED4">
        <w:rPr>
          <w:rtl/>
        </w:rPr>
        <w:t xml:space="preserve"> </w:t>
      </w:r>
      <w:r w:rsidRPr="00B25ED4">
        <w:rPr>
          <w:rFonts w:hint="eastAsia"/>
          <w:rtl/>
        </w:rPr>
        <w:t>בן</w:t>
      </w:r>
      <w:r w:rsidRPr="00B25ED4">
        <w:rPr>
          <w:rtl/>
        </w:rPr>
        <w:t xml:space="preserve"> </w:t>
      </w:r>
      <w:r w:rsidRPr="00B25ED4">
        <w:rPr>
          <w:rFonts w:hint="eastAsia"/>
          <w:rtl/>
        </w:rPr>
        <w:t>זוג</w:t>
      </w:r>
      <w:r w:rsidRPr="00B25ED4">
        <w:rPr>
          <w:rtl/>
        </w:rPr>
        <w:t xml:space="preserve"> </w:t>
      </w:r>
      <w:r w:rsidRPr="00B25ED4">
        <w:rPr>
          <w:rFonts w:hint="eastAsia"/>
          <w:rtl/>
        </w:rPr>
        <w:t>במרקם</w:t>
      </w:r>
      <w:r w:rsidRPr="00B25ED4">
        <w:rPr>
          <w:rtl/>
        </w:rPr>
        <w:t xml:space="preserve"> </w:t>
      </w:r>
      <w:r w:rsidRPr="00B25ED4">
        <w:rPr>
          <w:rFonts w:hint="eastAsia"/>
          <w:rtl/>
        </w:rPr>
        <w:t>מערכת</w:t>
      </w:r>
      <w:r w:rsidRPr="00B25ED4">
        <w:rPr>
          <w:rtl/>
        </w:rPr>
        <w:t xml:space="preserve"> </w:t>
      </w:r>
      <w:r w:rsidRPr="00B25ED4">
        <w:rPr>
          <w:rFonts w:hint="eastAsia"/>
          <w:rtl/>
        </w:rPr>
        <w:t>הנישואין</w:t>
      </w:r>
      <w:r w:rsidRPr="00B25ED4">
        <w:rPr>
          <w:rtl/>
        </w:rPr>
        <w:t xml:space="preserve"> </w:t>
      </w:r>
      <w:r w:rsidRPr="00B25ED4">
        <w:rPr>
          <w:rFonts w:hint="eastAsia"/>
          <w:rtl/>
        </w:rPr>
        <w:t>בצורה</w:t>
      </w:r>
      <w:r w:rsidRPr="00B25ED4">
        <w:rPr>
          <w:rtl/>
        </w:rPr>
        <w:t xml:space="preserve"> </w:t>
      </w:r>
      <w:r w:rsidRPr="00B25ED4">
        <w:rPr>
          <w:rFonts w:hint="eastAsia"/>
          <w:rtl/>
        </w:rPr>
        <w:t>כה</w:t>
      </w:r>
      <w:r w:rsidRPr="00B25ED4">
        <w:rPr>
          <w:rtl/>
        </w:rPr>
        <w:t xml:space="preserve"> </w:t>
      </w:r>
      <w:r w:rsidRPr="009B56A1">
        <w:rPr>
          <w:rFonts w:ascii="Arial TUR" w:hAnsi="Arial TUR" w:hint="eastAsia"/>
          <w:sz w:val="22"/>
          <w:rtl/>
        </w:rPr>
        <w:t>קיצונית</w:t>
      </w:r>
      <w:r w:rsidRPr="00B25ED4">
        <w:rPr>
          <w:rtl/>
        </w:rPr>
        <w:t xml:space="preserve"> </w:t>
      </w:r>
      <w:r w:rsidRPr="00B25ED4">
        <w:rPr>
          <w:rFonts w:hint="eastAsia"/>
          <w:rtl/>
        </w:rPr>
        <w:t>של</w:t>
      </w:r>
      <w:r w:rsidRPr="00B25ED4">
        <w:rPr>
          <w:rtl/>
        </w:rPr>
        <w:t xml:space="preserve"> </w:t>
      </w:r>
      <w:r w:rsidRPr="00B25ED4">
        <w:rPr>
          <w:rFonts w:hint="eastAsia"/>
          <w:rtl/>
        </w:rPr>
        <w:t>הפרת</w:t>
      </w:r>
      <w:r w:rsidRPr="00B25ED4">
        <w:rPr>
          <w:rtl/>
        </w:rPr>
        <w:t xml:space="preserve"> </w:t>
      </w:r>
      <w:r w:rsidRPr="00B25ED4">
        <w:rPr>
          <w:rFonts w:hint="eastAsia"/>
          <w:rtl/>
        </w:rPr>
        <w:t>האמון</w:t>
      </w:r>
      <w:r w:rsidRPr="00B25ED4">
        <w:rPr>
          <w:rtl/>
        </w:rPr>
        <w:t xml:space="preserve"> </w:t>
      </w:r>
      <w:r w:rsidRPr="00B25ED4">
        <w:rPr>
          <w:rFonts w:hint="eastAsia"/>
          <w:rtl/>
        </w:rPr>
        <w:t>והבסיס</w:t>
      </w:r>
      <w:r w:rsidRPr="00B25ED4">
        <w:rPr>
          <w:rtl/>
        </w:rPr>
        <w:t xml:space="preserve"> </w:t>
      </w:r>
      <w:r w:rsidRPr="00B25ED4">
        <w:rPr>
          <w:rFonts w:hint="eastAsia"/>
          <w:rtl/>
        </w:rPr>
        <w:t>של</w:t>
      </w:r>
      <w:r w:rsidRPr="00B25ED4">
        <w:rPr>
          <w:rtl/>
        </w:rPr>
        <w:t xml:space="preserve"> </w:t>
      </w:r>
      <w:r w:rsidRPr="00B25ED4">
        <w:rPr>
          <w:rFonts w:hint="eastAsia"/>
          <w:rtl/>
        </w:rPr>
        <w:t>המערכת</w:t>
      </w:r>
      <w:r w:rsidRPr="00B25ED4">
        <w:rPr>
          <w:rtl/>
        </w:rPr>
        <w:t xml:space="preserve"> </w:t>
      </w:r>
      <w:r w:rsidRPr="00B25ED4">
        <w:rPr>
          <w:rFonts w:hint="eastAsia"/>
          <w:rtl/>
        </w:rPr>
        <w:t>המשותפת</w:t>
      </w:r>
      <w:r w:rsidRPr="00B25ED4">
        <w:rPr>
          <w:rtl/>
        </w:rPr>
        <w:t xml:space="preserve">, </w:t>
      </w:r>
      <w:r w:rsidRPr="00B25ED4">
        <w:rPr>
          <w:rFonts w:ascii="Century" w:hAnsi="Century" w:cs="Miriam" w:hint="eastAsia"/>
          <w:b/>
          <w:spacing w:val="0"/>
          <w:sz w:val="22"/>
          <w:szCs w:val="24"/>
          <w:rtl/>
        </w:rPr>
        <w:t>הרי</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שיש</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לראות</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זאת</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כהתנהגות</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מחפירה</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המצדיקה</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את</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טענת</w:t>
      </w:r>
      <w:r w:rsidRPr="00B25ED4">
        <w:rPr>
          <w:rFonts w:ascii="Century" w:hAnsi="Century" w:cs="Miriam"/>
          <w:b/>
          <w:spacing w:val="0"/>
          <w:sz w:val="22"/>
          <w:szCs w:val="24"/>
          <w:rtl/>
        </w:rPr>
        <w:t xml:space="preserve"> </w:t>
      </w:r>
      <w:r>
        <w:rPr>
          <w:rFonts w:ascii="Century" w:hAnsi="Century" w:cs="Miriam" w:hint="cs"/>
          <w:b/>
          <w:spacing w:val="0"/>
          <w:sz w:val="22"/>
          <w:szCs w:val="24"/>
          <w:rtl/>
        </w:rPr>
        <w:t>[המשיב]</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לחזרה</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מכוונת</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שיתוף</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ככל</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שהייתה</w:t>
      </w:r>
      <w:r>
        <w:rPr>
          <w:rFonts w:hint="cs"/>
          <w:rtl/>
        </w:rPr>
        <w:t>" (ההדגשה במקור), ו</w:t>
      </w:r>
      <w:r w:rsidRPr="00B25ED4">
        <w:rPr>
          <w:rFonts w:hint="cs"/>
          <w:rtl/>
        </w:rPr>
        <w:t>הוסיף:</w:t>
      </w:r>
    </w:p>
    <w:p w:rsidR="00FA3A86" w:rsidRPr="00B25ED4" w:rsidRDefault="00FA3A86" w:rsidP="00FA3A86">
      <w:pPr>
        <w:tabs>
          <w:tab w:val="left" w:pos="800"/>
        </w:tabs>
        <w:jc w:val="both"/>
        <w:rPr>
          <w:rFonts w:ascii="Garamond" w:hAnsi="Garamond"/>
          <w:sz w:val="24"/>
          <w:rtl/>
        </w:rPr>
      </w:pPr>
    </w:p>
    <w:p w:rsidR="00FA3A86" w:rsidRPr="00B25ED4" w:rsidRDefault="00FA3A86" w:rsidP="00FA3A86">
      <w:pPr>
        <w:pStyle w:val="Ruller5"/>
        <w:rPr>
          <w:rFonts w:ascii="Garamond" w:hAnsi="Garamond"/>
          <w:sz w:val="24"/>
          <w:rtl/>
        </w:rPr>
      </w:pPr>
      <w:r w:rsidRPr="00B25ED4">
        <w:rPr>
          <w:rFonts w:ascii="Garamond" w:hAnsi="Garamond" w:hint="cs"/>
          <w:sz w:val="24"/>
          <w:rtl/>
        </w:rPr>
        <w:t>"</w:t>
      </w:r>
      <w:r w:rsidRPr="00B25ED4">
        <w:rPr>
          <w:rFonts w:ascii="Garamond" w:hAnsi="Garamond" w:hint="eastAsia"/>
          <w:sz w:val="24"/>
          <w:rtl/>
        </w:rPr>
        <w:t>אני</w:t>
      </w:r>
      <w:r w:rsidRPr="00B25ED4">
        <w:rPr>
          <w:rFonts w:ascii="Garamond" w:hAnsi="Garamond"/>
          <w:sz w:val="24"/>
          <w:rtl/>
        </w:rPr>
        <w:t xml:space="preserve"> </w:t>
      </w:r>
      <w:r w:rsidRPr="00B25ED4">
        <w:rPr>
          <w:rFonts w:ascii="Garamond" w:hAnsi="Garamond" w:hint="eastAsia"/>
          <w:sz w:val="24"/>
          <w:rtl/>
        </w:rPr>
        <w:t>סבור</w:t>
      </w:r>
      <w:r w:rsidRPr="00B25ED4">
        <w:rPr>
          <w:rFonts w:ascii="Garamond" w:hAnsi="Garamond"/>
          <w:sz w:val="24"/>
          <w:rtl/>
        </w:rPr>
        <w:t xml:space="preserve"> </w:t>
      </w:r>
      <w:r w:rsidRPr="00B25ED4">
        <w:rPr>
          <w:rFonts w:ascii="Garamond" w:hAnsi="Garamond" w:hint="eastAsia"/>
          <w:sz w:val="24"/>
          <w:rtl/>
        </w:rPr>
        <w:t>שהכוונה</w:t>
      </w:r>
      <w:r w:rsidRPr="00B25ED4">
        <w:rPr>
          <w:rFonts w:ascii="Garamond" w:hAnsi="Garamond"/>
          <w:sz w:val="24"/>
          <w:rtl/>
        </w:rPr>
        <w:t xml:space="preserve"> </w:t>
      </w:r>
      <w:r w:rsidRPr="00B25ED4">
        <w:rPr>
          <w:rFonts w:ascii="Garamond" w:hAnsi="Garamond" w:hint="eastAsia"/>
          <w:sz w:val="24"/>
          <w:rtl/>
        </w:rPr>
        <w:t>נמדדת</w:t>
      </w:r>
      <w:r w:rsidRPr="00B25ED4">
        <w:rPr>
          <w:rFonts w:ascii="Garamond" w:hAnsi="Garamond"/>
          <w:sz w:val="24"/>
          <w:rtl/>
        </w:rPr>
        <w:t xml:space="preserve"> </w:t>
      </w:r>
      <w:r w:rsidRPr="00B25ED4">
        <w:rPr>
          <w:rFonts w:ascii="Garamond" w:hAnsi="Garamond" w:hint="eastAsia"/>
          <w:sz w:val="24"/>
          <w:rtl/>
        </w:rPr>
        <w:t>בהליך</w:t>
      </w:r>
      <w:r w:rsidRPr="00B25ED4">
        <w:rPr>
          <w:rFonts w:ascii="Garamond" w:hAnsi="Garamond"/>
          <w:sz w:val="24"/>
          <w:rtl/>
        </w:rPr>
        <w:t xml:space="preserve"> </w:t>
      </w:r>
      <w:r w:rsidRPr="00B25ED4">
        <w:rPr>
          <w:rFonts w:ascii="Garamond" w:hAnsi="Garamond" w:hint="eastAsia"/>
          <w:sz w:val="24"/>
          <w:rtl/>
        </w:rPr>
        <w:t>ממושך</w:t>
      </w:r>
      <w:r w:rsidRPr="00B25ED4">
        <w:rPr>
          <w:rFonts w:ascii="Garamond" w:hAnsi="Garamond"/>
          <w:sz w:val="24"/>
          <w:rtl/>
        </w:rPr>
        <w:t xml:space="preserve"> </w:t>
      </w:r>
      <w:r w:rsidRPr="00B25ED4">
        <w:rPr>
          <w:rFonts w:ascii="Garamond" w:hAnsi="Garamond" w:hint="eastAsia"/>
          <w:sz w:val="24"/>
          <w:rtl/>
        </w:rPr>
        <w:t>ולא</w:t>
      </w:r>
      <w:r w:rsidRPr="00B25ED4">
        <w:rPr>
          <w:rFonts w:ascii="Garamond" w:hAnsi="Garamond"/>
          <w:sz w:val="24"/>
          <w:rtl/>
        </w:rPr>
        <w:t xml:space="preserve"> </w:t>
      </w:r>
      <w:r w:rsidRPr="00B25ED4">
        <w:rPr>
          <w:rFonts w:ascii="Garamond" w:hAnsi="Garamond" w:hint="eastAsia"/>
          <w:sz w:val="24"/>
          <w:rtl/>
        </w:rPr>
        <w:t>כתוצאה</w:t>
      </w:r>
      <w:r w:rsidRPr="00B25ED4">
        <w:rPr>
          <w:rFonts w:ascii="Garamond" w:hAnsi="Garamond"/>
          <w:sz w:val="24"/>
          <w:rtl/>
        </w:rPr>
        <w:t xml:space="preserve"> </w:t>
      </w:r>
      <w:r w:rsidRPr="00B25ED4">
        <w:rPr>
          <w:rFonts w:ascii="Garamond" w:hAnsi="Garamond" w:hint="eastAsia"/>
          <w:sz w:val="24"/>
          <w:rtl/>
        </w:rPr>
        <w:t>ממעשה</w:t>
      </w:r>
      <w:r w:rsidRPr="00B25ED4">
        <w:rPr>
          <w:rFonts w:ascii="Garamond" w:hAnsi="Garamond"/>
          <w:sz w:val="24"/>
          <w:rtl/>
        </w:rPr>
        <w:t xml:space="preserve"> </w:t>
      </w:r>
      <w:r w:rsidRPr="00B25ED4">
        <w:rPr>
          <w:rFonts w:ascii="Garamond" w:hAnsi="Garamond" w:hint="eastAsia"/>
          <w:sz w:val="24"/>
          <w:rtl/>
        </w:rPr>
        <w:t>מסוים</w:t>
      </w:r>
      <w:r w:rsidRPr="00B25ED4">
        <w:rPr>
          <w:rFonts w:ascii="Garamond" w:hAnsi="Garamond"/>
          <w:sz w:val="24"/>
          <w:rtl/>
        </w:rPr>
        <w:t xml:space="preserve"> </w:t>
      </w:r>
      <w:r w:rsidRPr="00B25ED4">
        <w:rPr>
          <w:rFonts w:ascii="Garamond" w:hAnsi="Garamond" w:hint="eastAsia"/>
          <w:sz w:val="24"/>
          <w:rtl/>
        </w:rPr>
        <w:t>המוכיח</w:t>
      </w:r>
      <w:r w:rsidRPr="00B25ED4">
        <w:rPr>
          <w:rFonts w:ascii="Garamond" w:hAnsi="Garamond"/>
          <w:sz w:val="24"/>
          <w:rtl/>
        </w:rPr>
        <w:t xml:space="preserve"> </w:t>
      </w:r>
      <w:r w:rsidRPr="00B25ED4">
        <w:rPr>
          <w:rFonts w:ascii="Garamond" w:hAnsi="Garamond" w:hint="eastAsia"/>
          <w:sz w:val="24"/>
          <w:rtl/>
        </w:rPr>
        <w:t>כוונת</w:t>
      </w:r>
      <w:r w:rsidRPr="00B25ED4">
        <w:rPr>
          <w:rFonts w:ascii="Garamond" w:hAnsi="Garamond"/>
          <w:sz w:val="24"/>
          <w:rtl/>
        </w:rPr>
        <w:t xml:space="preserve"> </w:t>
      </w:r>
      <w:r w:rsidRPr="00B25ED4">
        <w:rPr>
          <w:rFonts w:ascii="Garamond" w:hAnsi="Garamond" w:hint="eastAsia"/>
          <w:sz w:val="24"/>
          <w:rtl/>
        </w:rPr>
        <w:t>שיתוף</w:t>
      </w:r>
      <w:r w:rsidRPr="00B25ED4">
        <w:rPr>
          <w:rFonts w:ascii="Garamond" w:hAnsi="Garamond"/>
          <w:sz w:val="24"/>
          <w:rtl/>
        </w:rPr>
        <w:t xml:space="preserve"> </w:t>
      </w:r>
      <w:r w:rsidRPr="00B25ED4">
        <w:rPr>
          <w:rFonts w:ascii="Garamond" w:hAnsi="Garamond" w:hint="eastAsia"/>
          <w:sz w:val="24"/>
          <w:rtl/>
        </w:rPr>
        <w:t>ומכאן</w:t>
      </w:r>
      <w:r w:rsidRPr="00B25ED4">
        <w:rPr>
          <w:rFonts w:ascii="Garamond" w:hAnsi="Garamond"/>
          <w:sz w:val="24"/>
          <w:rtl/>
        </w:rPr>
        <w:t xml:space="preserve"> </w:t>
      </w:r>
      <w:r w:rsidRPr="00B25ED4">
        <w:rPr>
          <w:rFonts w:ascii="Garamond" w:hAnsi="Garamond" w:hint="eastAsia"/>
          <w:sz w:val="24"/>
          <w:rtl/>
        </w:rPr>
        <w:t>הבנתי</w:t>
      </w:r>
      <w:r w:rsidRPr="00B25ED4">
        <w:rPr>
          <w:rFonts w:ascii="Garamond" w:hAnsi="Garamond"/>
          <w:sz w:val="24"/>
          <w:rtl/>
        </w:rPr>
        <w:t xml:space="preserve"> </w:t>
      </w:r>
      <w:r w:rsidRPr="00B25ED4">
        <w:rPr>
          <w:rFonts w:ascii="Garamond" w:hAnsi="Garamond" w:hint="eastAsia"/>
          <w:sz w:val="24"/>
          <w:rtl/>
        </w:rPr>
        <w:t>שיש</w:t>
      </w:r>
      <w:r w:rsidRPr="00B25ED4">
        <w:rPr>
          <w:rFonts w:ascii="Garamond" w:hAnsi="Garamond"/>
          <w:sz w:val="24"/>
          <w:rtl/>
        </w:rPr>
        <w:t xml:space="preserve"> </w:t>
      </w:r>
      <w:r w:rsidRPr="00B25ED4">
        <w:rPr>
          <w:rFonts w:ascii="Garamond" w:hAnsi="Garamond" w:hint="eastAsia"/>
          <w:sz w:val="24"/>
          <w:rtl/>
        </w:rPr>
        <w:t>להוכחת</w:t>
      </w:r>
      <w:r w:rsidRPr="00B25ED4">
        <w:rPr>
          <w:rFonts w:ascii="Garamond" w:hAnsi="Garamond"/>
          <w:sz w:val="24"/>
          <w:rtl/>
        </w:rPr>
        <w:t xml:space="preserve"> </w:t>
      </w:r>
      <w:r w:rsidRPr="00B25ED4">
        <w:rPr>
          <w:rFonts w:ascii="Garamond" w:hAnsi="Garamond" w:hint="eastAsia"/>
          <w:sz w:val="24"/>
          <w:rtl/>
        </w:rPr>
        <w:t>כוונת</w:t>
      </w:r>
      <w:r w:rsidRPr="00B25ED4">
        <w:rPr>
          <w:rFonts w:ascii="Garamond" w:hAnsi="Garamond"/>
          <w:sz w:val="24"/>
          <w:rtl/>
        </w:rPr>
        <w:t xml:space="preserve"> </w:t>
      </w:r>
      <w:r w:rsidRPr="00B25ED4">
        <w:rPr>
          <w:rFonts w:ascii="Garamond" w:hAnsi="Garamond" w:hint="eastAsia"/>
          <w:sz w:val="24"/>
          <w:rtl/>
        </w:rPr>
        <w:t>שיתוף</w:t>
      </w:r>
      <w:r w:rsidRPr="00B25ED4">
        <w:rPr>
          <w:rFonts w:ascii="Garamond" w:hAnsi="Garamond"/>
          <w:sz w:val="24"/>
          <w:rtl/>
        </w:rPr>
        <w:t xml:space="preserve"> </w:t>
      </w:r>
      <w:r w:rsidRPr="00B25ED4">
        <w:rPr>
          <w:rFonts w:ascii="Garamond" w:hAnsi="Garamond" w:hint="eastAsia"/>
          <w:sz w:val="24"/>
          <w:rtl/>
        </w:rPr>
        <w:t>דמיון</w:t>
      </w:r>
      <w:r w:rsidRPr="00B25ED4">
        <w:rPr>
          <w:rFonts w:ascii="Garamond" w:hAnsi="Garamond"/>
          <w:sz w:val="24"/>
          <w:rtl/>
        </w:rPr>
        <w:t xml:space="preserve"> </w:t>
      </w:r>
      <w:r w:rsidRPr="00B25ED4">
        <w:rPr>
          <w:rFonts w:ascii="Garamond" w:hAnsi="Garamond" w:hint="eastAsia"/>
          <w:sz w:val="24"/>
          <w:rtl/>
        </w:rPr>
        <w:t>לדיני</w:t>
      </w:r>
      <w:r w:rsidRPr="00B25ED4">
        <w:rPr>
          <w:rFonts w:ascii="Garamond" w:hAnsi="Garamond"/>
          <w:sz w:val="24"/>
          <w:rtl/>
        </w:rPr>
        <w:t xml:space="preserve"> </w:t>
      </w:r>
      <w:r w:rsidRPr="00B25ED4">
        <w:rPr>
          <w:rFonts w:ascii="Garamond" w:hAnsi="Garamond" w:hint="eastAsia"/>
          <w:sz w:val="24"/>
          <w:rtl/>
        </w:rPr>
        <w:t>מתנה</w:t>
      </w:r>
      <w:r w:rsidRPr="00B25ED4">
        <w:rPr>
          <w:rFonts w:ascii="Garamond" w:hAnsi="Garamond"/>
          <w:sz w:val="24"/>
          <w:rtl/>
        </w:rPr>
        <w:t xml:space="preserve"> </w:t>
      </w:r>
      <w:r w:rsidRPr="00B25ED4">
        <w:rPr>
          <w:rFonts w:ascii="Garamond" w:hAnsi="Garamond" w:hint="eastAsia"/>
          <w:sz w:val="24"/>
          <w:rtl/>
        </w:rPr>
        <w:t>שכל</w:t>
      </w:r>
      <w:r w:rsidRPr="00B25ED4">
        <w:rPr>
          <w:rFonts w:ascii="Garamond" w:hAnsi="Garamond"/>
          <w:sz w:val="24"/>
          <w:rtl/>
        </w:rPr>
        <w:t xml:space="preserve"> </w:t>
      </w:r>
      <w:r w:rsidRPr="00B25ED4">
        <w:rPr>
          <w:rFonts w:ascii="Garamond" w:hAnsi="Garamond" w:hint="eastAsia"/>
          <w:sz w:val="24"/>
          <w:rtl/>
        </w:rPr>
        <w:t>עוד</w:t>
      </w:r>
      <w:r w:rsidRPr="00B25ED4">
        <w:rPr>
          <w:rFonts w:ascii="Garamond" w:hAnsi="Garamond"/>
          <w:sz w:val="24"/>
          <w:rtl/>
        </w:rPr>
        <w:t xml:space="preserve"> </w:t>
      </w:r>
      <w:r w:rsidRPr="00B25ED4">
        <w:rPr>
          <w:rFonts w:ascii="Garamond" w:hAnsi="Garamond" w:hint="eastAsia"/>
          <w:sz w:val="24"/>
          <w:rtl/>
        </w:rPr>
        <w:t>לא</w:t>
      </w:r>
      <w:r w:rsidRPr="00B25ED4">
        <w:rPr>
          <w:rFonts w:ascii="Garamond" w:hAnsi="Garamond"/>
          <w:sz w:val="24"/>
          <w:rtl/>
        </w:rPr>
        <w:t xml:space="preserve"> </w:t>
      </w:r>
      <w:r w:rsidRPr="00B25ED4">
        <w:rPr>
          <w:rFonts w:ascii="Garamond" w:hAnsi="Garamond" w:hint="eastAsia"/>
          <w:sz w:val="24"/>
          <w:rtl/>
        </w:rPr>
        <w:t>חל</w:t>
      </w:r>
      <w:r w:rsidRPr="00B25ED4">
        <w:rPr>
          <w:rFonts w:ascii="Garamond" w:hAnsi="Garamond"/>
          <w:sz w:val="24"/>
          <w:rtl/>
        </w:rPr>
        <w:t xml:space="preserve"> </w:t>
      </w:r>
      <w:r w:rsidRPr="00B25ED4">
        <w:rPr>
          <w:rFonts w:ascii="Garamond" w:hAnsi="Garamond" w:hint="eastAsia"/>
          <w:sz w:val="24"/>
          <w:rtl/>
        </w:rPr>
        <w:t>רישום</w:t>
      </w:r>
      <w:r w:rsidRPr="00B25ED4">
        <w:rPr>
          <w:rFonts w:ascii="Garamond" w:hAnsi="Garamond"/>
          <w:sz w:val="24"/>
          <w:rtl/>
        </w:rPr>
        <w:t xml:space="preserve"> </w:t>
      </w:r>
      <w:r w:rsidRPr="00B25ED4">
        <w:rPr>
          <w:rFonts w:ascii="Garamond" w:hAnsi="Garamond" w:hint="eastAsia"/>
          <w:sz w:val="24"/>
          <w:rtl/>
        </w:rPr>
        <w:t>בפועל</w:t>
      </w:r>
      <w:r w:rsidRPr="00B25ED4">
        <w:rPr>
          <w:rFonts w:ascii="Garamond" w:hAnsi="Garamond"/>
          <w:sz w:val="24"/>
          <w:rtl/>
        </w:rPr>
        <w:t xml:space="preserve"> </w:t>
      </w:r>
      <w:r w:rsidRPr="00B25ED4">
        <w:rPr>
          <w:rFonts w:ascii="Garamond" w:hAnsi="Garamond" w:hint="eastAsia"/>
          <w:sz w:val="24"/>
          <w:rtl/>
        </w:rPr>
        <w:t>אזי</w:t>
      </w:r>
      <w:r w:rsidRPr="00B25ED4">
        <w:rPr>
          <w:rFonts w:ascii="Garamond" w:hAnsi="Garamond"/>
          <w:sz w:val="24"/>
          <w:rtl/>
        </w:rPr>
        <w:t xml:space="preserve"> </w:t>
      </w:r>
      <w:r w:rsidRPr="00B25ED4">
        <w:rPr>
          <w:rFonts w:ascii="Garamond" w:hAnsi="Garamond" w:hint="eastAsia"/>
          <w:sz w:val="24"/>
          <w:rtl/>
        </w:rPr>
        <w:t>יש</w:t>
      </w:r>
      <w:r w:rsidRPr="00B25ED4">
        <w:rPr>
          <w:rFonts w:ascii="Garamond" w:hAnsi="Garamond"/>
          <w:sz w:val="24"/>
          <w:rtl/>
        </w:rPr>
        <w:t xml:space="preserve"> </w:t>
      </w:r>
      <w:r w:rsidRPr="00B25ED4">
        <w:rPr>
          <w:rFonts w:ascii="Garamond" w:hAnsi="Garamond" w:hint="eastAsia"/>
          <w:sz w:val="24"/>
          <w:rtl/>
        </w:rPr>
        <w:t>לבחון</w:t>
      </w:r>
      <w:r w:rsidRPr="00B25ED4">
        <w:rPr>
          <w:rFonts w:ascii="Garamond" w:hAnsi="Garamond"/>
          <w:sz w:val="24"/>
          <w:rtl/>
        </w:rPr>
        <w:t xml:space="preserve"> </w:t>
      </w:r>
      <w:r w:rsidRPr="00B25ED4">
        <w:rPr>
          <w:rFonts w:ascii="Garamond" w:hAnsi="Garamond" w:hint="eastAsia"/>
          <w:sz w:val="24"/>
          <w:rtl/>
        </w:rPr>
        <w:t>את</w:t>
      </w:r>
      <w:r w:rsidRPr="00B25ED4">
        <w:rPr>
          <w:rFonts w:ascii="Garamond" w:hAnsi="Garamond"/>
          <w:sz w:val="24"/>
          <w:rtl/>
        </w:rPr>
        <w:t xml:space="preserve"> </w:t>
      </w:r>
      <w:r w:rsidRPr="00B25ED4">
        <w:rPr>
          <w:rFonts w:ascii="Garamond" w:hAnsi="Garamond" w:hint="eastAsia"/>
          <w:sz w:val="24"/>
          <w:rtl/>
        </w:rPr>
        <w:t>מכלול</w:t>
      </w:r>
      <w:r w:rsidRPr="00B25ED4">
        <w:rPr>
          <w:rFonts w:ascii="Garamond" w:hAnsi="Garamond"/>
          <w:sz w:val="24"/>
          <w:rtl/>
        </w:rPr>
        <w:t xml:space="preserve"> </w:t>
      </w:r>
      <w:r w:rsidRPr="00B25ED4">
        <w:rPr>
          <w:rFonts w:ascii="Garamond" w:hAnsi="Garamond" w:hint="eastAsia"/>
          <w:sz w:val="24"/>
          <w:rtl/>
        </w:rPr>
        <w:t>הרכיבים</w:t>
      </w:r>
      <w:r w:rsidRPr="00B25ED4">
        <w:rPr>
          <w:rFonts w:ascii="Garamond" w:hAnsi="Garamond"/>
          <w:sz w:val="24"/>
          <w:rtl/>
        </w:rPr>
        <w:t xml:space="preserve"> </w:t>
      </w:r>
      <w:r w:rsidRPr="00B25ED4">
        <w:rPr>
          <w:rFonts w:ascii="Garamond" w:hAnsi="Garamond" w:hint="eastAsia"/>
          <w:sz w:val="24"/>
          <w:rtl/>
        </w:rPr>
        <w:t>בעת</w:t>
      </w:r>
      <w:r w:rsidRPr="00B25ED4">
        <w:rPr>
          <w:rFonts w:ascii="Garamond" w:hAnsi="Garamond"/>
          <w:sz w:val="24"/>
          <w:rtl/>
        </w:rPr>
        <w:t xml:space="preserve"> </w:t>
      </w:r>
      <w:r w:rsidRPr="00B25ED4">
        <w:rPr>
          <w:rFonts w:ascii="Garamond" w:hAnsi="Garamond" w:hint="eastAsia"/>
          <w:sz w:val="24"/>
          <w:rtl/>
        </w:rPr>
        <w:t>פירוק</w:t>
      </w:r>
      <w:r w:rsidRPr="00B25ED4">
        <w:rPr>
          <w:rFonts w:ascii="Garamond" w:hAnsi="Garamond"/>
          <w:sz w:val="24"/>
          <w:rtl/>
        </w:rPr>
        <w:t xml:space="preserve"> </w:t>
      </w:r>
      <w:r w:rsidRPr="00B25ED4">
        <w:rPr>
          <w:rFonts w:ascii="Garamond" w:hAnsi="Garamond" w:hint="eastAsia"/>
          <w:sz w:val="24"/>
          <w:rtl/>
        </w:rPr>
        <w:t>השיתוף</w:t>
      </w:r>
      <w:r w:rsidRPr="00B25ED4">
        <w:rPr>
          <w:rFonts w:ascii="Garamond" w:hAnsi="Garamond"/>
          <w:sz w:val="24"/>
          <w:rtl/>
        </w:rPr>
        <w:t xml:space="preserve">, </w:t>
      </w:r>
      <w:r w:rsidRPr="00B25ED4">
        <w:rPr>
          <w:rFonts w:ascii="Garamond" w:hAnsi="Garamond" w:hint="eastAsia"/>
          <w:sz w:val="24"/>
          <w:rtl/>
        </w:rPr>
        <w:t>וכאמור</w:t>
      </w:r>
      <w:r w:rsidRPr="00B25ED4">
        <w:rPr>
          <w:rFonts w:ascii="Garamond" w:hAnsi="Garamond"/>
          <w:sz w:val="24"/>
          <w:rtl/>
        </w:rPr>
        <w:t xml:space="preserve"> </w:t>
      </w:r>
      <w:r w:rsidRPr="00B25ED4">
        <w:rPr>
          <w:rFonts w:ascii="Garamond" w:hAnsi="Garamond" w:hint="eastAsia"/>
          <w:sz w:val="24"/>
          <w:rtl/>
        </w:rPr>
        <w:t>במקרה</w:t>
      </w:r>
      <w:r w:rsidRPr="00B25ED4">
        <w:rPr>
          <w:rFonts w:ascii="Garamond" w:hAnsi="Garamond"/>
          <w:sz w:val="24"/>
          <w:rtl/>
        </w:rPr>
        <w:t xml:space="preserve"> </w:t>
      </w:r>
      <w:r w:rsidRPr="00F634ED">
        <w:rPr>
          <w:rFonts w:ascii="Century" w:hAnsi="Century" w:hint="eastAsia"/>
          <w:rtl/>
        </w:rPr>
        <w:t>דנן</w:t>
      </w:r>
      <w:r w:rsidRPr="00F634ED">
        <w:rPr>
          <w:rFonts w:ascii="Century" w:hAnsi="Century"/>
          <w:rtl/>
        </w:rPr>
        <w:t xml:space="preserve"> </w:t>
      </w:r>
      <w:r w:rsidRPr="00F634ED">
        <w:rPr>
          <w:rFonts w:ascii="Century" w:hAnsi="Century" w:hint="eastAsia"/>
          <w:rtl/>
        </w:rPr>
        <w:t>הדעת</w:t>
      </w:r>
      <w:r w:rsidRPr="00F634ED">
        <w:rPr>
          <w:rFonts w:ascii="Century" w:hAnsi="Century"/>
          <w:rtl/>
        </w:rPr>
        <w:t xml:space="preserve"> </w:t>
      </w:r>
      <w:r w:rsidRPr="00F634ED">
        <w:rPr>
          <w:rFonts w:ascii="Century" w:hAnsi="Century" w:hint="eastAsia"/>
          <w:rtl/>
        </w:rPr>
        <w:t>נוטה</w:t>
      </w:r>
      <w:r w:rsidRPr="00F634ED">
        <w:rPr>
          <w:rFonts w:ascii="Century" w:hAnsi="Century"/>
          <w:rtl/>
        </w:rPr>
        <w:t xml:space="preserve"> </w:t>
      </w:r>
      <w:r w:rsidRPr="00F634ED">
        <w:rPr>
          <w:rFonts w:ascii="Century" w:hAnsi="Century" w:hint="eastAsia"/>
          <w:rtl/>
        </w:rPr>
        <w:t>שאין</w:t>
      </w:r>
      <w:r w:rsidRPr="00F634ED">
        <w:rPr>
          <w:rFonts w:ascii="Century" w:hAnsi="Century"/>
          <w:rtl/>
        </w:rPr>
        <w:t xml:space="preserve"> </w:t>
      </w:r>
      <w:r w:rsidRPr="00F634ED">
        <w:rPr>
          <w:rFonts w:ascii="Century" w:hAnsi="Century" w:hint="eastAsia"/>
          <w:rtl/>
        </w:rPr>
        <w:t>כוונת</w:t>
      </w:r>
      <w:r w:rsidRPr="00F634ED">
        <w:rPr>
          <w:rFonts w:ascii="Century" w:hAnsi="Century"/>
          <w:rtl/>
        </w:rPr>
        <w:t xml:space="preserve"> </w:t>
      </w:r>
      <w:r w:rsidRPr="00F634ED">
        <w:rPr>
          <w:rFonts w:ascii="Century" w:hAnsi="Century" w:hint="eastAsia"/>
          <w:rtl/>
        </w:rPr>
        <w:t>שיתוף</w:t>
      </w:r>
      <w:r w:rsidRPr="00F634ED">
        <w:rPr>
          <w:rFonts w:ascii="Century" w:hAnsi="Century"/>
          <w:rtl/>
        </w:rPr>
        <w:t xml:space="preserve"> </w:t>
      </w:r>
      <w:r w:rsidRPr="00F634ED">
        <w:rPr>
          <w:rFonts w:ascii="Century" w:hAnsi="Century" w:hint="eastAsia"/>
          <w:rtl/>
        </w:rPr>
        <w:t>למי</w:t>
      </w:r>
      <w:r w:rsidRPr="00F634ED">
        <w:rPr>
          <w:rFonts w:ascii="Century" w:hAnsi="Century"/>
          <w:rtl/>
        </w:rPr>
        <w:t xml:space="preserve"> </w:t>
      </w:r>
      <w:r w:rsidRPr="00F634ED">
        <w:rPr>
          <w:rFonts w:ascii="Century" w:hAnsi="Century" w:hint="eastAsia"/>
          <w:rtl/>
        </w:rPr>
        <w:t>שבגד</w:t>
      </w:r>
      <w:r w:rsidRPr="00F634ED">
        <w:rPr>
          <w:rFonts w:ascii="Century" w:hAnsi="Century"/>
          <w:rtl/>
        </w:rPr>
        <w:t xml:space="preserve"> </w:t>
      </w:r>
      <w:r w:rsidRPr="00F634ED">
        <w:rPr>
          <w:rFonts w:ascii="Century" w:hAnsi="Century" w:hint="eastAsia"/>
          <w:rtl/>
        </w:rPr>
        <w:t>במערכת</w:t>
      </w:r>
      <w:r w:rsidRPr="00F634ED">
        <w:rPr>
          <w:rFonts w:ascii="Century" w:hAnsi="Century"/>
          <w:rtl/>
        </w:rPr>
        <w:t xml:space="preserve"> </w:t>
      </w:r>
      <w:r w:rsidRPr="00F634ED">
        <w:rPr>
          <w:rFonts w:ascii="Century" w:hAnsi="Century" w:hint="eastAsia"/>
          <w:rtl/>
        </w:rPr>
        <w:t>הנישואין</w:t>
      </w:r>
      <w:r>
        <w:rPr>
          <w:rFonts w:ascii="Garamond" w:hAnsi="Garamond" w:hint="cs"/>
          <w:sz w:val="24"/>
          <w:rtl/>
        </w:rPr>
        <w:t>"</w:t>
      </w:r>
      <w:r w:rsidRPr="00B25ED4">
        <w:rPr>
          <w:rFonts w:ascii="Garamond" w:hAnsi="Garamond" w:hint="cs"/>
          <w:sz w:val="24"/>
          <w:rtl/>
        </w:rPr>
        <w:t>.</w:t>
      </w:r>
    </w:p>
    <w:p w:rsidR="00FA3A86" w:rsidRPr="00B25ED4" w:rsidRDefault="00FA3A86" w:rsidP="00FA3A86">
      <w:pPr>
        <w:tabs>
          <w:tab w:val="left" w:pos="800"/>
        </w:tabs>
        <w:spacing w:line="360" w:lineRule="auto"/>
        <w:jc w:val="both"/>
        <w:rPr>
          <w:rFonts w:ascii="Garamond" w:hAnsi="Garamond"/>
          <w:sz w:val="24"/>
          <w:rtl/>
        </w:rPr>
      </w:pPr>
    </w:p>
    <w:p w:rsidR="00FA3A86" w:rsidRPr="00F31C09" w:rsidRDefault="00FA3A86" w:rsidP="00FA3A86">
      <w:pPr>
        <w:tabs>
          <w:tab w:val="left" w:pos="800"/>
        </w:tabs>
        <w:spacing w:line="360" w:lineRule="auto"/>
        <w:jc w:val="both"/>
        <w:rPr>
          <w:rFonts w:ascii="Garamond" w:hAnsi="Garamond" w:cs="FrankRuehl"/>
          <w:spacing w:val="10"/>
          <w:sz w:val="24"/>
          <w:szCs w:val="28"/>
          <w:rtl/>
        </w:rPr>
      </w:pPr>
      <w:r w:rsidRPr="00B25ED4">
        <w:rPr>
          <w:rFonts w:ascii="Garamond" w:hAnsi="Garamond"/>
          <w:sz w:val="24"/>
          <w:rtl/>
        </w:rPr>
        <w:lastRenderedPageBreak/>
        <w:tab/>
      </w:r>
      <w:r w:rsidRPr="00F31C09">
        <w:rPr>
          <w:rFonts w:ascii="Garamond" w:hAnsi="Garamond" w:cs="FrankRuehl" w:hint="cs"/>
          <w:spacing w:val="10"/>
          <w:sz w:val="24"/>
          <w:szCs w:val="28"/>
          <w:rtl/>
        </w:rPr>
        <w:t xml:space="preserve">אי לכך קבע הדיין </w:t>
      </w:r>
      <w:r w:rsidRPr="00F31C09">
        <w:rPr>
          <w:rFonts w:ascii="Garamond" w:hAnsi="Garamond" w:cs="Miriam" w:hint="cs"/>
          <w:spacing w:val="10"/>
          <w:sz w:val="22"/>
          <w:rtl/>
        </w:rPr>
        <w:t>נהרי</w:t>
      </w:r>
      <w:r w:rsidRPr="00F31C09">
        <w:rPr>
          <w:rFonts w:ascii="Garamond" w:hAnsi="Garamond" w:cs="FrankRuehl" w:hint="cs"/>
          <w:spacing w:val="10"/>
          <w:sz w:val="24"/>
          <w:szCs w:val="28"/>
          <w:rtl/>
        </w:rPr>
        <w:t xml:space="preserve"> כי גם אם יש ממש בטענת המבקשת בדבר השתתפותה בשיפוץ הבית, למשיב עומדת הזכות לטעון שלא התכוון לשתף עמה את הנכס </w:t>
      </w:r>
      <w:r w:rsidRPr="00F31C09">
        <w:rPr>
          <w:rFonts w:ascii="Garamond" w:hAnsi="Garamond" w:cs="FrankRuehl"/>
          <w:spacing w:val="10"/>
          <w:sz w:val="24"/>
          <w:szCs w:val="28"/>
          <w:rtl/>
        </w:rPr>
        <w:t>–</w:t>
      </w:r>
      <w:r w:rsidRPr="00F31C09">
        <w:rPr>
          <w:rFonts w:ascii="Garamond" w:hAnsi="Garamond" w:cs="FrankRuehl" w:hint="cs"/>
          <w:spacing w:val="10"/>
          <w:sz w:val="24"/>
          <w:szCs w:val="28"/>
          <w:rtl/>
        </w:rPr>
        <w:t xml:space="preserve"> ולחלופין </w:t>
      </w:r>
      <w:r>
        <w:rPr>
          <w:rFonts w:ascii="Garamond" w:hAnsi="Garamond" w:cs="FrankRuehl" w:hint="cs"/>
          <w:spacing w:val="10"/>
          <w:sz w:val="24"/>
          <w:szCs w:val="28"/>
          <w:rtl/>
        </w:rPr>
        <w:t xml:space="preserve">יש לו </w:t>
      </w:r>
      <w:r w:rsidRPr="00F31C09">
        <w:rPr>
          <w:rFonts w:ascii="Garamond" w:hAnsi="Garamond" w:cs="FrankRuehl" w:hint="cs"/>
          <w:spacing w:val="10"/>
          <w:sz w:val="24"/>
          <w:szCs w:val="28"/>
          <w:rtl/>
        </w:rPr>
        <w:t xml:space="preserve">הזכות לחזור בו מ"כוונת ההתחייבות לשיתופה בנכס". חוות דעתו של הדיין </w:t>
      </w:r>
      <w:r w:rsidRPr="00F31C09">
        <w:rPr>
          <w:rFonts w:ascii="FrankRuehl" w:hAnsi="FrankRuehl" w:cs="Miriam" w:hint="cs"/>
          <w:spacing w:val="10"/>
          <w:sz w:val="22"/>
          <w:rtl/>
        </w:rPr>
        <w:t>נהרי</w:t>
      </w:r>
      <w:r w:rsidRPr="00F31C09">
        <w:rPr>
          <w:rFonts w:ascii="Garamond" w:hAnsi="Garamond" w:cs="FrankRuehl" w:hint="cs"/>
          <w:spacing w:val="10"/>
          <w:sz w:val="24"/>
          <w:szCs w:val="28"/>
          <w:rtl/>
        </w:rPr>
        <w:t xml:space="preserve"> מבוססת, אפוא, על שלושה אדנים: הראשון, קביעתו כי "</w:t>
      </w:r>
      <w:r w:rsidRPr="00F31C09">
        <w:rPr>
          <w:rFonts w:ascii="Garamond" w:hAnsi="Garamond" w:cs="FrankRuehl" w:hint="eastAsia"/>
          <w:spacing w:val="10"/>
          <w:sz w:val="24"/>
          <w:szCs w:val="28"/>
          <w:rtl/>
        </w:rPr>
        <w:t>על</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בית</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הדין</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לנהוג</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באמות</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מידה</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מחמירות</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להוכחות</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כוונת</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שיתוף</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הבנויה</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על</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הפסיקה</w:t>
      </w:r>
      <w:r w:rsidRPr="00F31C09">
        <w:rPr>
          <w:rFonts w:ascii="Garamond" w:hAnsi="Garamond" w:cs="FrankRuehl"/>
          <w:spacing w:val="10"/>
          <w:sz w:val="24"/>
          <w:szCs w:val="28"/>
          <w:rtl/>
        </w:rPr>
        <w:t xml:space="preserve"> </w:t>
      </w:r>
      <w:r w:rsidRPr="00F31C09">
        <w:rPr>
          <w:rFonts w:ascii="Garamond" w:hAnsi="Garamond" w:cs="FrankRuehl" w:hint="eastAsia"/>
          <w:spacing w:val="10"/>
          <w:sz w:val="24"/>
          <w:szCs w:val="28"/>
          <w:rtl/>
        </w:rPr>
        <w:t>האזרחית</w:t>
      </w:r>
      <w:r w:rsidRPr="00F31C09">
        <w:rPr>
          <w:rFonts w:ascii="Garamond" w:hAnsi="Garamond" w:cs="FrankRuehl" w:hint="cs"/>
          <w:spacing w:val="10"/>
          <w:sz w:val="24"/>
          <w:szCs w:val="28"/>
          <w:rtl/>
        </w:rPr>
        <w:t>"; השני, המסקנה כי הלכת השיתוף הספציפי יוצרת התחייבות של בן הזוג המשתף להקנות לבן זוגו זכויות בנכס</w:t>
      </w:r>
      <w:r w:rsidRPr="00BD32EA">
        <w:rPr>
          <w:rFonts w:ascii="Garamond" w:hAnsi="Garamond" w:cs="FrankRuehl" w:hint="cs"/>
          <w:spacing w:val="10"/>
          <w:sz w:val="24"/>
          <w:szCs w:val="28"/>
          <w:rtl/>
        </w:rPr>
        <w:t xml:space="preserve"> </w:t>
      </w:r>
      <w:r w:rsidRPr="00F31C09">
        <w:rPr>
          <w:rFonts w:ascii="Garamond" w:hAnsi="Garamond" w:cs="FrankRuehl" w:hint="cs"/>
          <w:spacing w:val="10"/>
          <w:sz w:val="24"/>
          <w:szCs w:val="28"/>
          <w:rtl/>
        </w:rPr>
        <w:t xml:space="preserve">בעתיד, בדומה לדיני המתנה; והשלישי, קביעה לפיה ככל שבן הזוג הטוען לשיתוף בגד במשנהו, הרי שלא ניתן לקבוע שבן הזוג המשתף התכוון ליצור שיתוף בנכס, </w:t>
      </w:r>
      <w:r>
        <w:rPr>
          <w:rFonts w:ascii="Garamond" w:hAnsi="Garamond" w:cs="FrankRuehl" w:hint="cs"/>
          <w:spacing w:val="10"/>
          <w:sz w:val="24"/>
          <w:szCs w:val="28"/>
          <w:rtl/>
        </w:rPr>
        <w:t>ומכל מקום,</w:t>
      </w:r>
      <w:r w:rsidRPr="00F31C09">
        <w:rPr>
          <w:rFonts w:ascii="Garamond" w:hAnsi="Garamond" w:cs="FrankRuehl" w:hint="cs"/>
          <w:spacing w:val="10"/>
          <w:sz w:val="24"/>
          <w:szCs w:val="28"/>
          <w:rtl/>
        </w:rPr>
        <w:t xml:space="preserve"> בן הזוג המשתף </w:t>
      </w:r>
      <w:r>
        <w:rPr>
          <w:rFonts w:ascii="Garamond" w:hAnsi="Garamond" w:cs="FrankRuehl" w:hint="cs"/>
          <w:spacing w:val="10"/>
          <w:sz w:val="24"/>
          <w:szCs w:val="28"/>
          <w:rtl/>
        </w:rPr>
        <w:t xml:space="preserve">רשאי </w:t>
      </w:r>
      <w:r w:rsidRPr="00F31C09">
        <w:rPr>
          <w:rFonts w:ascii="Garamond" w:hAnsi="Garamond" w:cs="FrankRuehl" w:hint="cs"/>
          <w:spacing w:val="10"/>
          <w:sz w:val="24"/>
          <w:szCs w:val="28"/>
          <w:rtl/>
        </w:rPr>
        <w:t>לחזור בו מכוונת השיתוף, ככל שהייתה כזו.</w:t>
      </w:r>
    </w:p>
    <w:p w:rsidR="00FA3A86" w:rsidRPr="00F31C09" w:rsidRDefault="00FA3A86" w:rsidP="00FA3A86">
      <w:pPr>
        <w:tabs>
          <w:tab w:val="left" w:pos="800"/>
        </w:tabs>
        <w:spacing w:line="360" w:lineRule="auto"/>
        <w:jc w:val="both"/>
        <w:rPr>
          <w:rFonts w:ascii="Garamond" w:hAnsi="Garamond" w:cs="FrankRuehl"/>
          <w:spacing w:val="10"/>
          <w:sz w:val="24"/>
          <w:szCs w:val="28"/>
          <w:rtl/>
        </w:rPr>
      </w:pPr>
    </w:p>
    <w:p w:rsidR="00FA3A86" w:rsidRPr="00F31C09" w:rsidRDefault="00FA3A86" w:rsidP="00FA3A86">
      <w:pPr>
        <w:tabs>
          <w:tab w:val="left" w:pos="800"/>
        </w:tabs>
        <w:spacing w:line="360" w:lineRule="auto"/>
        <w:jc w:val="both"/>
        <w:rPr>
          <w:rFonts w:ascii="Garamond" w:hAnsi="Garamond" w:cs="FrankRuehl"/>
          <w:spacing w:val="10"/>
          <w:sz w:val="24"/>
          <w:szCs w:val="28"/>
          <w:rtl/>
        </w:rPr>
      </w:pPr>
      <w:r w:rsidRPr="00F31C09">
        <w:rPr>
          <w:rFonts w:ascii="Garamond" w:hAnsi="Garamond" w:cs="FrankRuehl"/>
          <w:spacing w:val="10"/>
          <w:sz w:val="24"/>
          <w:szCs w:val="28"/>
          <w:rtl/>
        </w:rPr>
        <w:tab/>
      </w:r>
      <w:r w:rsidRPr="00F31C09">
        <w:rPr>
          <w:rFonts w:ascii="Garamond" w:hAnsi="Garamond" w:cs="FrankRuehl" w:hint="cs"/>
          <w:spacing w:val="10"/>
          <w:sz w:val="24"/>
          <w:szCs w:val="28"/>
          <w:rtl/>
        </w:rPr>
        <w:t>על האדן הראשון הרחבנו לעיל ואין צורך לחזור על הדברים. עתה יש להידרש לשאלה אם צדק הדיין</w:t>
      </w:r>
      <w:r w:rsidRPr="006951BD">
        <w:rPr>
          <w:rFonts w:ascii="Garamond" w:hAnsi="Garamond" w:cs="Miriam" w:hint="cs"/>
          <w:spacing w:val="10"/>
          <w:sz w:val="22"/>
          <w:rtl/>
        </w:rPr>
        <w:t xml:space="preserve"> נהרי</w:t>
      </w:r>
      <w:r w:rsidRPr="006951BD">
        <w:rPr>
          <w:rFonts w:ascii="Garamond" w:hAnsi="Garamond" w:cs="FrankRuehl" w:hint="cs"/>
          <w:spacing w:val="10"/>
          <w:sz w:val="22"/>
          <w:rtl/>
        </w:rPr>
        <w:t xml:space="preserve"> </w:t>
      </w:r>
      <w:r w:rsidRPr="00F31C09">
        <w:rPr>
          <w:rFonts w:ascii="Garamond" w:hAnsi="Garamond" w:cs="FrankRuehl" w:hint="cs"/>
          <w:spacing w:val="10"/>
          <w:sz w:val="24"/>
          <w:szCs w:val="28"/>
          <w:rtl/>
        </w:rPr>
        <w:t>בקבעו כי ניתן לשלול בדיעבד שיתוף שהתגבש בין בני זוג בנכס ספציפי, בפרט על רקע של אי-נאמנות מינית מצד בן הזוג הטוען לשיתוף.</w:t>
      </w:r>
    </w:p>
    <w:p w:rsidR="00FA3A86" w:rsidRPr="00F31C09" w:rsidRDefault="00FA3A86" w:rsidP="00FA3A86">
      <w:pPr>
        <w:tabs>
          <w:tab w:val="left" w:pos="800"/>
        </w:tabs>
        <w:spacing w:line="360" w:lineRule="auto"/>
        <w:jc w:val="both"/>
        <w:rPr>
          <w:rFonts w:ascii="Garamond" w:hAnsi="Garamond" w:cs="FrankRuehl"/>
          <w:spacing w:val="10"/>
          <w:sz w:val="24"/>
          <w:szCs w:val="28"/>
          <w:rtl/>
        </w:rPr>
      </w:pPr>
    </w:p>
    <w:p w:rsidR="00FA3A86" w:rsidRPr="00B25ED4" w:rsidRDefault="00FA3A86" w:rsidP="00FA3A86">
      <w:pPr>
        <w:pStyle w:val="1"/>
        <w:rPr>
          <w:rtl/>
        </w:rPr>
      </w:pPr>
      <w:r w:rsidRPr="00B25ED4">
        <w:rPr>
          <w:rFonts w:hint="cs"/>
          <w:rtl/>
        </w:rPr>
        <w:t>שלילת כוונת שיתוף בדיעבד עקב בגידה</w:t>
      </w:r>
    </w:p>
    <w:p w:rsidR="00FA3A86" w:rsidRPr="00B25ED4" w:rsidRDefault="00FA3A86" w:rsidP="00FA3A86">
      <w:pPr>
        <w:pStyle w:val="Ruller41"/>
        <w:rPr>
          <w:rtl/>
        </w:rPr>
      </w:pPr>
    </w:p>
    <w:p w:rsidR="00FA3A86" w:rsidRPr="00B25ED4" w:rsidRDefault="00FA3A86" w:rsidP="00FA3A86">
      <w:pPr>
        <w:pStyle w:val="Ruller4"/>
      </w:pPr>
      <w:r w:rsidRPr="00B25ED4">
        <w:rPr>
          <w:rFonts w:hint="cs"/>
          <w:rtl/>
        </w:rPr>
        <w:t>כפי שהובהר לעיל, השיתוף שנוצר מכוח</w:t>
      </w:r>
      <w:r>
        <w:rPr>
          <w:rFonts w:hint="cs"/>
          <w:rtl/>
        </w:rPr>
        <w:t xml:space="preserve"> </w:t>
      </w:r>
      <w:r w:rsidRPr="00B25ED4">
        <w:rPr>
          <w:rFonts w:hint="cs"/>
          <w:rtl/>
        </w:rPr>
        <w:t xml:space="preserve">הלכת השיתוף הספציפי מתגבש </w:t>
      </w:r>
      <w:r>
        <w:rPr>
          <w:rFonts w:hint="cs"/>
          <w:rtl/>
        </w:rPr>
        <w:t>בשלב מסוים במהלך חיי הנישואין, טרם פירוקם</w:t>
      </w:r>
      <w:r w:rsidRPr="00B25ED4">
        <w:rPr>
          <w:rFonts w:hint="cs"/>
          <w:rtl/>
        </w:rPr>
        <w:t xml:space="preserve"> (</w:t>
      </w:r>
      <w:r>
        <w:rPr>
          <w:rFonts w:hint="cs"/>
          <w:rtl/>
        </w:rPr>
        <w:t xml:space="preserve">ראו </w:t>
      </w:r>
      <w:r w:rsidRPr="00B25ED4">
        <w:rPr>
          <w:rFonts w:hint="cs"/>
          <w:rtl/>
        </w:rPr>
        <w:t xml:space="preserve">עניין </w:t>
      </w:r>
      <w:r w:rsidRPr="00007314">
        <w:rPr>
          <w:rFonts w:ascii="Century" w:hAnsi="Century" w:cs="Miriam" w:hint="cs"/>
          <w:b/>
          <w:spacing w:val="0"/>
          <w:sz w:val="22"/>
          <w:szCs w:val="24"/>
          <w:rtl/>
        </w:rPr>
        <w:t xml:space="preserve">בן </w:t>
      </w:r>
      <w:proofErr w:type="spellStart"/>
      <w:r w:rsidRPr="00007314">
        <w:rPr>
          <w:rFonts w:ascii="Century" w:hAnsi="Century" w:cs="Miriam" w:hint="cs"/>
          <w:b/>
          <w:spacing w:val="0"/>
          <w:sz w:val="22"/>
          <w:szCs w:val="24"/>
          <w:rtl/>
        </w:rPr>
        <w:t>גיאת</w:t>
      </w:r>
      <w:proofErr w:type="spellEnd"/>
      <w:r w:rsidRPr="00B25ED4">
        <w:rPr>
          <w:rFonts w:hint="cs"/>
          <w:rtl/>
        </w:rPr>
        <w:t xml:space="preserve">). לפיכך ניתן כבר עתה לשלול את ההיקש שביקש הדיין </w:t>
      </w:r>
      <w:r w:rsidRPr="00FD43CE">
        <w:rPr>
          <w:rFonts w:ascii="FrankRuehl" w:hAnsi="FrankRuehl" w:cs="Miriam" w:hint="eastAsia"/>
          <w:sz w:val="22"/>
          <w:szCs w:val="24"/>
          <w:rtl/>
        </w:rPr>
        <w:t>נהרי</w:t>
      </w:r>
      <w:r w:rsidRPr="00FD43CE">
        <w:rPr>
          <w:rFonts w:ascii="FrankRuehl" w:hAnsi="FrankRuehl" w:cs="Miriam"/>
          <w:sz w:val="22"/>
          <w:szCs w:val="24"/>
          <w:rtl/>
        </w:rPr>
        <w:t xml:space="preserve"> </w:t>
      </w:r>
      <w:r>
        <w:rPr>
          <w:rFonts w:hint="cs"/>
          <w:rtl/>
        </w:rPr>
        <w:t>לערוך</w:t>
      </w:r>
      <w:r w:rsidRPr="00B25ED4">
        <w:rPr>
          <w:rFonts w:hint="cs"/>
          <w:rtl/>
        </w:rPr>
        <w:t xml:space="preserve"> מדיני המתנה, שכן הלכת השיתוף הספציפי אינה יוצרת </w:t>
      </w:r>
      <w:r w:rsidRPr="00007314">
        <w:rPr>
          <w:rFonts w:ascii="Century" w:hAnsi="Century" w:cs="Miriam" w:hint="cs"/>
          <w:b/>
          <w:spacing w:val="0"/>
          <w:sz w:val="22"/>
          <w:szCs w:val="24"/>
          <w:rtl/>
        </w:rPr>
        <w:t xml:space="preserve">התחייבות </w:t>
      </w:r>
      <w:r w:rsidRPr="00B25ED4">
        <w:rPr>
          <w:rFonts w:hint="cs"/>
          <w:rtl/>
        </w:rPr>
        <w:t>מצד בן הזוג לשתף את משנהו בנכס בשלב כלשהו בעתיד</w:t>
      </w:r>
      <w:r>
        <w:rPr>
          <w:rFonts w:hint="cs"/>
          <w:rtl/>
        </w:rPr>
        <w:t>, בדומה להתחייבות לתת מתנה</w:t>
      </w:r>
      <w:r w:rsidRPr="00B25ED4">
        <w:rPr>
          <w:rFonts w:hint="cs"/>
          <w:rtl/>
        </w:rPr>
        <w:t xml:space="preserve">, אלא יוצרת שיתוף לכל דבר ועניין. שיתוף זה </w:t>
      </w:r>
      <w:r>
        <w:rPr>
          <w:rFonts w:hint="cs"/>
          <w:rtl/>
        </w:rPr>
        <w:t xml:space="preserve">בנכס חיצוני </w:t>
      </w:r>
      <w:r w:rsidRPr="00B25ED4">
        <w:rPr>
          <w:rFonts w:hint="cs"/>
          <w:rtl/>
        </w:rPr>
        <w:t xml:space="preserve">מתגבש </w:t>
      </w:r>
      <w:r>
        <w:rPr>
          <w:rFonts w:hint="cs"/>
          <w:rtl/>
        </w:rPr>
        <w:t>כאמור כבר במהלך הנישואין וטרם</w:t>
      </w:r>
      <w:r w:rsidRPr="00B25ED4">
        <w:rPr>
          <w:rFonts w:hint="cs"/>
          <w:rtl/>
        </w:rPr>
        <w:t xml:space="preserve"> שלב איזון המשאבים</w:t>
      </w:r>
      <w:r>
        <w:rPr>
          <w:rFonts w:hint="cs"/>
          <w:rtl/>
        </w:rPr>
        <w:t>,</w:t>
      </w:r>
      <w:r w:rsidRPr="00B25ED4">
        <w:rPr>
          <w:rFonts w:hint="cs"/>
          <w:rtl/>
        </w:rPr>
        <w:t xml:space="preserve"> המתרחש לאחר שהיחסים הזוגיים תמו</w:t>
      </w:r>
      <w:r>
        <w:rPr>
          <w:rFonts w:hint="cs"/>
          <w:rtl/>
        </w:rPr>
        <w:t xml:space="preserve"> (במאמר מוסגר יצוין כי גם בהקשר הייחודי של פרשנות הפעולה המשפטית המהווה התחייבות ליתן מתנה, נפסק כי אין להתמקד אך ורק בכוונתו של המתחייב, ויש לקחת בחשבון את מכלול נסיבות המקרה (</w:t>
      </w:r>
      <w:r w:rsidRPr="00B7113C">
        <w:rPr>
          <w:rFonts w:hint="eastAsia"/>
          <w:rtl/>
        </w:rPr>
        <w:t>ע</w:t>
      </w:r>
      <w:r w:rsidRPr="00B7113C">
        <w:rPr>
          <w:rtl/>
        </w:rPr>
        <w:t>"</w:t>
      </w:r>
      <w:r w:rsidRPr="00B7113C">
        <w:rPr>
          <w:rFonts w:hint="eastAsia"/>
          <w:rtl/>
        </w:rPr>
        <w:t>א</w:t>
      </w:r>
      <w:r w:rsidRPr="00B7113C">
        <w:rPr>
          <w:rtl/>
        </w:rPr>
        <w:t xml:space="preserve"> 6439/99 </w:t>
      </w:r>
      <w:r w:rsidRPr="00B7113C">
        <w:rPr>
          <w:rFonts w:ascii="Century" w:hAnsi="Century" w:cs="Miriam"/>
          <w:b/>
          <w:spacing w:val="0"/>
          <w:sz w:val="22"/>
          <w:szCs w:val="24"/>
          <w:rtl/>
        </w:rPr>
        <w:t>"</w:t>
      </w:r>
      <w:r w:rsidRPr="00B7113C">
        <w:rPr>
          <w:rFonts w:ascii="Century" w:hAnsi="Century" w:cs="Miriam" w:hint="eastAsia"/>
          <w:b/>
          <w:spacing w:val="0"/>
          <w:sz w:val="22"/>
          <w:szCs w:val="24"/>
          <w:rtl/>
        </w:rPr>
        <w:t>טפחות</w:t>
      </w:r>
      <w:r w:rsidRPr="00B7113C">
        <w:rPr>
          <w:rFonts w:ascii="Century" w:hAnsi="Century" w:cs="Miriam"/>
          <w:b/>
          <w:spacing w:val="0"/>
          <w:sz w:val="22"/>
          <w:szCs w:val="24"/>
          <w:rtl/>
        </w:rPr>
        <w:t xml:space="preserve">" </w:t>
      </w:r>
      <w:r w:rsidRPr="00B7113C">
        <w:rPr>
          <w:rFonts w:ascii="Century" w:hAnsi="Century" w:cs="Miriam" w:hint="eastAsia"/>
          <w:b/>
          <w:spacing w:val="0"/>
          <w:sz w:val="22"/>
          <w:szCs w:val="24"/>
          <w:rtl/>
        </w:rPr>
        <w:t>בנק</w:t>
      </w:r>
      <w:r w:rsidRPr="00B7113C">
        <w:rPr>
          <w:rFonts w:ascii="Century" w:hAnsi="Century" w:cs="Miriam"/>
          <w:b/>
          <w:spacing w:val="0"/>
          <w:sz w:val="22"/>
          <w:szCs w:val="24"/>
          <w:rtl/>
        </w:rPr>
        <w:t xml:space="preserve"> </w:t>
      </w:r>
      <w:r w:rsidRPr="00B7113C">
        <w:rPr>
          <w:rFonts w:ascii="Century" w:hAnsi="Century" w:cs="Miriam" w:hint="eastAsia"/>
          <w:b/>
          <w:spacing w:val="0"/>
          <w:sz w:val="22"/>
          <w:szCs w:val="24"/>
          <w:rtl/>
        </w:rPr>
        <w:t>משכנתאות</w:t>
      </w:r>
      <w:r w:rsidRPr="00B7113C">
        <w:rPr>
          <w:rFonts w:ascii="Century" w:hAnsi="Century" w:cs="Miriam"/>
          <w:b/>
          <w:spacing w:val="0"/>
          <w:sz w:val="22"/>
          <w:szCs w:val="24"/>
          <w:rtl/>
        </w:rPr>
        <w:t xml:space="preserve"> </w:t>
      </w:r>
      <w:r w:rsidRPr="00B7113C">
        <w:rPr>
          <w:rFonts w:ascii="Century" w:hAnsi="Century" w:cs="Miriam" w:hint="eastAsia"/>
          <w:b/>
          <w:spacing w:val="0"/>
          <w:sz w:val="22"/>
          <w:szCs w:val="24"/>
          <w:rtl/>
        </w:rPr>
        <w:t>לישראל</w:t>
      </w:r>
      <w:r w:rsidRPr="00B7113C">
        <w:rPr>
          <w:rFonts w:ascii="Century" w:hAnsi="Century" w:cs="Miriam"/>
          <w:b/>
          <w:spacing w:val="0"/>
          <w:sz w:val="22"/>
          <w:szCs w:val="24"/>
          <w:rtl/>
        </w:rPr>
        <w:t xml:space="preserve"> </w:t>
      </w:r>
      <w:r w:rsidRPr="00B7113C">
        <w:rPr>
          <w:rFonts w:ascii="Century" w:hAnsi="Century" w:cs="Miriam" w:hint="eastAsia"/>
          <w:b/>
          <w:spacing w:val="0"/>
          <w:sz w:val="22"/>
          <w:szCs w:val="24"/>
          <w:rtl/>
        </w:rPr>
        <w:t>בע</w:t>
      </w:r>
      <w:r w:rsidRPr="00B7113C">
        <w:rPr>
          <w:rFonts w:ascii="Century" w:hAnsi="Century" w:cs="Miriam"/>
          <w:b/>
          <w:spacing w:val="0"/>
          <w:sz w:val="22"/>
          <w:szCs w:val="24"/>
          <w:rtl/>
        </w:rPr>
        <w:t>"</w:t>
      </w:r>
      <w:r w:rsidRPr="00B7113C">
        <w:rPr>
          <w:rFonts w:ascii="Century" w:hAnsi="Century" w:cs="Miriam" w:hint="eastAsia"/>
          <w:b/>
          <w:spacing w:val="0"/>
          <w:sz w:val="22"/>
          <w:szCs w:val="24"/>
          <w:rtl/>
        </w:rPr>
        <w:t>מ</w:t>
      </w:r>
      <w:r w:rsidRPr="00B7113C">
        <w:rPr>
          <w:rFonts w:ascii="Century" w:hAnsi="Century" w:cs="Miriam"/>
          <w:b/>
          <w:spacing w:val="0"/>
          <w:sz w:val="22"/>
          <w:szCs w:val="24"/>
          <w:rtl/>
        </w:rPr>
        <w:t xml:space="preserve"> </w:t>
      </w:r>
      <w:r w:rsidRPr="00B7113C">
        <w:rPr>
          <w:rFonts w:ascii="Century" w:hAnsi="Century" w:cs="Miriam" w:hint="eastAsia"/>
          <w:b/>
          <w:spacing w:val="0"/>
          <w:sz w:val="22"/>
          <w:szCs w:val="24"/>
          <w:rtl/>
        </w:rPr>
        <w:t>נ</w:t>
      </w:r>
      <w:r w:rsidRPr="00B7113C">
        <w:rPr>
          <w:rFonts w:ascii="Century" w:hAnsi="Century" w:cs="Miriam"/>
          <w:b/>
          <w:spacing w:val="0"/>
          <w:sz w:val="22"/>
          <w:szCs w:val="24"/>
          <w:rtl/>
        </w:rPr>
        <w:t xml:space="preserve">' </w:t>
      </w:r>
      <w:r w:rsidRPr="00B7113C">
        <w:rPr>
          <w:rFonts w:ascii="Century" w:hAnsi="Century" w:cs="Miriam" w:hint="eastAsia"/>
          <w:b/>
          <w:spacing w:val="0"/>
          <w:sz w:val="22"/>
          <w:szCs w:val="24"/>
          <w:rtl/>
        </w:rPr>
        <w:t>פרח</w:t>
      </w:r>
      <w:r w:rsidRPr="00B7113C">
        <w:rPr>
          <w:rtl/>
        </w:rPr>
        <w:t xml:space="preserve">, </w:t>
      </w:r>
      <w:r w:rsidRPr="00B7113C">
        <w:rPr>
          <w:rFonts w:hint="eastAsia"/>
          <w:rtl/>
        </w:rPr>
        <w:t>פ</w:t>
      </w:r>
      <w:r w:rsidRPr="00B7113C">
        <w:rPr>
          <w:rtl/>
        </w:rPr>
        <w:t>"</w:t>
      </w:r>
      <w:r w:rsidRPr="00B7113C">
        <w:rPr>
          <w:rFonts w:hint="eastAsia"/>
          <w:rtl/>
        </w:rPr>
        <w:t>ד</w:t>
      </w:r>
      <w:r w:rsidRPr="00B7113C">
        <w:rPr>
          <w:rtl/>
        </w:rPr>
        <w:t xml:space="preserve"> </w:t>
      </w:r>
      <w:r w:rsidRPr="00B7113C">
        <w:rPr>
          <w:rFonts w:hint="eastAsia"/>
          <w:rtl/>
        </w:rPr>
        <w:t>נח</w:t>
      </w:r>
      <w:r w:rsidRPr="00B7113C">
        <w:rPr>
          <w:rtl/>
        </w:rPr>
        <w:t>(2) 106, 119-118 (2003)</w:t>
      </w:r>
      <w:r>
        <w:rPr>
          <w:rFonts w:hint="cs"/>
          <w:rtl/>
        </w:rPr>
        <w:t>)</w:t>
      </w:r>
      <w:r w:rsidRPr="00B25ED4">
        <w:rPr>
          <w:rFonts w:hint="cs"/>
          <w:rtl/>
        </w:rPr>
        <w:t>.</w:t>
      </w:r>
    </w:p>
    <w:p w:rsidR="00FA3A86" w:rsidRPr="00B25ED4" w:rsidRDefault="00FA3A86" w:rsidP="00FA3A86">
      <w:pPr>
        <w:pStyle w:val="Ruller4"/>
        <w:numPr>
          <w:ilvl w:val="0"/>
          <w:numId w:val="0"/>
        </w:numPr>
      </w:pPr>
    </w:p>
    <w:p w:rsidR="00FA3A86" w:rsidRPr="00B25ED4" w:rsidRDefault="00FA3A86" w:rsidP="00FA3A86">
      <w:pPr>
        <w:pStyle w:val="Ruller4"/>
      </w:pPr>
      <w:r w:rsidRPr="009B56A1">
        <w:rPr>
          <w:rFonts w:ascii="Arial TUR" w:hAnsi="Arial TUR" w:hint="cs"/>
          <w:sz w:val="22"/>
          <w:rtl/>
        </w:rPr>
        <w:t>עוד</w:t>
      </w:r>
      <w:r w:rsidRPr="00B25ED4">
        <w:rPr>
          <w:rFonts w:hint="cs"/>
          <w:rtl/>
        </w:rPr>
        <w:t xml:space="preserve"> </w:t>
      </w:r>
      <w:r>
        <w:rPr>
          <w:rFonts w:hint="cs"/>
          <w:rtl/>
        </w:rPr>
        <w:t xml:space="preserve">נפסק זה מכבר </w:t>
      </w:r>
      <w:r w:rsidRPr="00B25ED4">
        <w:rPr>
          <w:rFonts w:hint="cs"/>
          <w:rtl/>
        </w:rPr>
        <w:t>כי אי-נאמנות מינית אינה מהווה נסיבה שיש בכו</w:t>
      </w:r>
      <w:r>
        <w:rPr>
          <w:rFonts w:hint="cs"/>
          <w:rtl/>
        </w:rPr>
        <w:t xml:space="preserve">חה לשלול בדיעבד זכויות שהתגבשו, </w:t>
      </w:r>
      <w:r w:rsidRPr="00B25ED4">
        <w:rPr>
          <w:rFonts w:hint="cs"/>
          <w:rtl/>
        </w:rPr>
        <w:t>ו</w:t>
      </w:r>
      <w:r>
        <w:rPr>
          <w:rFonts w:hint="cs"/>
          <w:rtl/>
        </w:rPr>
        <w:t xml:space="preserve">כי אין שוללים </w:t>
      </w:r>
      <w:r w:rsidRPr="00B25ED4">
        <w:rPr>
          <w:rFonts w:hint="cs"/>
          <w:rtl/>
        </w:rPr>
        <w:t xml:space="preserve">זכות שהתגבשה בשל נסיבות עובדתיות שאירעו לאחר התגבשותה. </w:t>
      </w:r>
      <w:r>
        <w:rPr>
          <w:rFonts w:hint="cs"/>
          <w:rtl/>
        </w:rPr>
        <w:t xml:space="preserve">אומנם, </w:t>
      </w:r>
      <w:r w:rsidRPr="00B25ED4">
        <w:rPr>
          <w:rFonts w:hint="cs"/>
          <w:rtl/>
        </w:rPr>
        <w:t xml:space="preserve">לא ניתן להוציא מכלל אפשרות קיומן של נסיבות חריגות </w:t>
      </w:r>
      <w:r w:rsidRPr="00B25ED4">
        <w:rPr>
          <w:rtl/>
        </w:rPr>
        <w:t>–</w:t>
      </w:r>
      <w:r w:rsidRPr="00B25ED4">
        <w:rPr>
          <w:rFonts w:hint="cs"/>
          <w:rtl/>
        </w:rPr>
        <w:t xml:space="preserve"> וקיצוניות </w:t>
      </w:r>
      <w:r w:rsidRPr="00B25ED4">
        <w:rPr>
          <w:rtl/>
        </w:rPr>
        <w:t>–</w:t>
      </w:r>
      <w:r w:rsidRPr="00B25ED4">
        <w:rPr>
          <w:rFonts w:hint="cs"/>
          <w:rtl/>
        </w:rPr>
        <w:t xml:space="preserve"> </w:t>
      </w:r>
      <w:r>
        <w:rPr>
          <w:rFonts w:hint="cs"/>
          <w:rtl/>
        </w:rPr>
        <w:t xml:space="preserve">אשר יש בהן כדי לפגום </w:t>
      </w:r>
      <w:r>
        <w:rPr>
          <w:rFonts w:ascii="Century" w:hAnsi="Century" w:cs="Miriam" w:hint="cs"/>
          <w:b/>
          <w:spacing w:val="0"/>
          <w:sz w:val="22"/>
          <w:szCs w:val="24"/>
          <w:rtl/>
        </w:rPr>
        <w:t>בהתגבשות ההסכמה מלכתחילה</w:t>
      </w:r>
      <w:r>
        <w:rPr>
          <w:rFonts w:hint="cs"/>
          <w:rtl/>
        </w:rPr>
        <w:t xml:space="preserve">  וכוונתי לפגמים בכריתה</w:t>
      </w:r>
      <w:r w:rsidRPr="0035121B">
        <w:rPr>
          <w:rFonts w:hint="cs"/>
          <w:rtl/>
        </w:rPr>
        <w:t>, מסוג הפגמים שבהם עוסק פרק ב' לחוק החוזים (חלק כללי), התשל"ג-1973</w:t>
      </w:r>
      <w:r>
        <w:rPr>
          <w:rFonts w:hint="cs"/>
          <w:rtl/>
        </w:rPr>
        <w:t xml:space="preserve"> (להלן: </w:t>
      </w:r>
      <w:r w:rsidRPr="0035121B">
        <w:rPr>
          <w:rFonts w:ascii="Miriam" w:hAnsi="Miriam" w:cs="Miriam"/>
          <w:szCs w:val="24"/>
          <w:rtl/>
        </w:rPr>
        <w:t>חוק החוזים</w:t>
      </w:r>
      <w:r>
        <w:rPr>
          <w:rFonts w:ascii="Miriam" w:hAnsi="Miriam" w:cs="Miriam" w:hint="cs"/>
          <w:szCs w:val="24"/>
          <w:rtl/>
        </w:rPr>
        <w:t xml:space="preserve"> (חלק כללי)</w:t>
      </w:r>
      <w:r>
        <w:rPr>
          <w:rFonts w:hint="cs"/>
          <w:rtl/>
        </w:rPr>
        <w:t xml:space="preserve">) ואשר מתרחשים כולם בשלב גיבוש ההסכמה </w:t>
      </w:r>
      <w:r>
        <w:rPr>
          <w:rFonts w:hint="cs"/>
          <w:rtl/>
        </w:rPr>
        <w:lastRenderedPageBreak/>
        <w:t xml:space="preserve">(לפירוט בנושא ראו </w:t>
      </w:r>
      <w:r w:rsidRPr="00B25ED4">
        <w:rPr>
          <w:rFonts w:hint="eastAsia"/>
          <w:rtl/>
        </w:rPr>
        <w:t>גבריאלה</w:t>
      </w:r>
      <w:r w:rsidRPr="00B25ED4">
        <w:rPr>
          <w:rtl/>
        </w:rPr>
        <w:t xml:space="preserve"> </w:t>
      </w:r>
      <w:r w:rsidRPr="00B25ED4">
        <w:rPr>
          <w:rFonts w:hint="eastAsia"/>
          <w:rtl/>
        </w:rPr>
        <w:t>שלו</w:t>
      </w:r>
      <w:r w:rsidRPr="00B25ED4">
        <w:rPr>
          <w:rtl/>
        </w:rPr>
        <w:t xml:space="preserve"> </w:t>
      </w:r>
      <w:r w:rsidRPr="00B25ED4">
        <w:rPr>
          <w:rFonts w:hint="eastAsia"/>
          <w:rtl/>
        </w:rPr>
        <w:t>ואפי</w:t>
      </w:r>
      <w:r w:rsidRPr="00B25ED4">
        <w:rPr>
          <w:rtl/>
        </w:rPr>
        <w:t xml:space="preserve"> </w:t>
      </w:r>
      <w:r w:rsidRPr="00B25ED4">
        <w:rPr>
          <w:rFonts w:hint="eastAsia"/>
          <w:rtl/>
        </w:rPr>
        <w:t>צמח</w:t>
      </w:r>
      <w:r w:rsidRPr="00B25ED4">
        <w:rPr>
          <w:rtl/>
        </w:rPr>
        <w:t xml:space="preserve"> </w:t>
      </w:r>
      <w:r w:rsidRPr="00B25ED4">
        <w:rPr>
          <w:rFonts w:ascii="Century" w:hAnsi="Century" w:cs="Miriam" w:hint="eastAsia"/>
          <w:b/>
          <w:spacing w:val="0"/>
          <w:sz w:val="22"/>
          <w:szCs w:val="24"/>
          <w:rtl/>
        </w:rPr>
        <w:t>דיני</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חוזים</w:t>
      </w:r>
      <w:r w:rsidRPr="00B25ED4">
        <w:rPr>
          <w:rtl/>
        </w:rPr>
        <w:t xml:space="preserve"> </w:t>
      </w:r>
      <w:r>
        <w:rPr>
          <w:rFonts w:hint="cs"/>
          <w:rtl/>
        </w:rPr>
        <w:t xml:space="preserve">298-281 (מהדורה רביעית, 2019) (להלן: </w:t>
      </w:r>
      <w:r w:rsidRPr="009F15F0">
        <w:rPr>
          <w:rFonts w:ascii="Century" w:hAnsi="Century" w:cs="Miriam" w:hint="eastAsia"/>
          <w:b/>
          <w:spacing w:val="0"/>
          <w:sz w:val="22"/>
          <w:szCs w:val="24"/>
          <w:rtl/>
        </w:rPr>
        <w:t>שלו</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וצמח</w:t>
      </w:r>
      <w:r>
        <w:rPr>
          <w:rFonts w:hint="cs"/>
          <w:rtl/>
        </w:rPr>
        <w:t>)).  פגמים כאלה עשויים להתרחש, למשל, אם מתברר כי</w:t>
      </w:r>
      <w:r w:rsidRPr="00B25ED4">
        <w:rPr>
          <w:rFonts w:hint="cs"/>
          <w:rtl/>
        </w:rPr>
        <w:t xml:space="preserve"> השיתוף נוצר </w:t>
      </w:r>
      <w:r>
        <w:rPr>
          <w:rFonts w:hint="cs"/>
          <w:rtl/>
        </w:rPr>
        <w:t>בנסיבות של</w:t>
      </w:r>
      <w:r w:rsidRPr="00B25ED4">
        <w:rPr>
          <w:rFonts w:hint="cs"/>
          <w:rtl/>
        </w:rPr>
        <w:t xml:space="preserve"> ניצול </w:t>
      </w:r>
      <w:r>
        <w:rPr>
          <w:rFonts w:hint="cs"/>
          <w:rtl/>
        </w:rPr>
        <w:t>מצוקה נפשית</w:t>
      </w:r>
      <w:r w:rsidRPr="00B25ED4">
        <w:rPr>
          <w:rFonts w:hint="cs"/>
          <w:rtl/>
        </w:rPr>
        <w:t xml:space="preserve"> </w:t>
      </w:r>
      <w:r>
        <w:rPr>
          <w:rFonts w:hint="cs"/>
          <w:rtl/>
        </w:rPr>
        <w:t xml:space="preserve">של בן הזוג המשתף, המגיעות כדי עושק </w:t>
      </w:r>
      <w:r w:rsidRPr="002C73F7">
        <w:rPr>
          <w:rFonts w:hint="cs"/>
          <w:rtl/>
        </w:rPr>
        <w:t xml:space="preserve">או כפייה (סעיפים 17 ו-18 לחוק החוזים (חלק כללי)), או כאשר בן הזוג המשתף מגלה ברבות השנים כי משנהו </w:t>
      </w:r>
      <w:r w:rsidRPr="002C73F7">
        <w:rPr>
          <w:rFonts w:hint="eastAsia"/>
          <w:rtl/>
        </w:rPr>
        <w:t>ניהל</w:t>
      </w:r>
      <w:r w:rsidRPr="002C73F7">
        <w:rPr>
          <w:rtl/>
        </w:rPr>
        <w:t xml:space="preserve"> </w:t>
      </w:r>
      <w:r w:rsidRPr="002C73F7">
        <w:rPr>
          <w:rFonts w:hint="eastAsia"/>
          <w:rtl/>
        </w:rPr>
        <w:t>לכל</w:t>
      </w:r>
      <w:r w:rsidRPr="002C73F7">
        <w:rPr>
          <w:rtl/>
        </w:rPr>
        <w:t xml:space="preserve"> </w:t>
      </w:r>
      <w:r w:rsidRPr="002C73F7">
        <w:rPr>
          <w:rFonts w:hint="eastAsia"/>
          <w:rtl/>
        </w:rPr>
        <w:t>אורך</w:t>
      </w:r>
      <w:r w:rsidRPr="002C73F7">
        <w:rPr>
          <w:rtl/>
        </w:rPr>
        <w:t xml:space="preserve"> </w:t>
      </w:r>
      <w:r w:rsidRPr="002C73F7">
        <w:rPr>
          <w:rFonts w:hint="eastAsia"/>
          <w:rtl/>
        </w:rPr>
        <w:t>חייהם</w:t>
      </w:r>
      <w:r w:rsidRPr="002C73F7">
        <w:rPr>
          <w:rtl/>
        </w:rPr>
        <w:t xml:space="preserve"> </w:t>
      </w:r>
      <w:r w:rsidRPr="002C73F7">
        <w:rPr>
          <w:rFonts w:hint="eastAsia"/>
          <w:rtl/>
        </w:rPr>
        <w:t>המשותפים</w:t>
      </w:r>
      <w:r w:rsidRPr="00B25ED4">
        <w:rPr>
          <w:rtl/>
        </w:rPr>
        <w:t xml:space="preserve"> "</w:t>
      </w:r>
      <w:r w:rsidRPr="00B25ED4">
        <w:rPr>
          <w:rFonts w:hint="eastAsia"/>
          <w:rtl/>
        </w:rPr>
        <w:t>חיים</w:t>
      </w:r>
      <w:r w:rsidRPr="00B25ED4">
        <w:rPr>
          <w:rtl/>
        </w:rPr>
        <w:t xml:space="preserve"> </w:t>
      </w:r>
      <w:r w:rsidRPr="00B25ED4">
        <w:rPr>
          <w:rFonts w:hint="eastAsia"/>
          <w:rtl/>
        </w:rPr>
        <w:t>כפולים</w:t>
      </w:r>
      <w:r w:rsidRPr="00B25ED4">
        <w:rPr>
          <w:rtl/>
        </w:rPr>
        <w:t xml:space="preserve">" </w:t>
      </w:r>
      <w:r w:rsidRPr="00B25ED4">
        <w:rPr>
          <w:rFonts w:hint="eastAsia"/>
          <w:rtl/>
        </w:rPr>
        <w:t>עם</w:t>
      </w:r>
      <w:r w:rsidRPr="00B25ED4">
        <w:rPr>
          <w:rtl/>
        </w:rPr>
        <w:t xml:space="preserve"> </w:t>
      </w:r>
      <w:r w:rsidRPr="00B25ED4">
        <w:rPr>
          <w:rFonts w:hint="eastAsia"/>
          <w:rtl/>
        </w:rPr>
        <w:t>אדם</w:t>
      </w:r>
      <w:r w:rsidRPr="00B25ED4">
        <w:rPr>
          <w:rtl/>
        </w:rPr>
        <w:t xml:space="preserve"> </w:t>
      </w:r>
      <w:r w:rsidRPr="00B25ED4">
        <w:rPr>
          <w:rFonts w:hint="eastAsia"/>
          <w:rtl/>
        </w:rPr>
        <w:t>אחר</w:t>
      </w:r>
      <w:r>
        <w:rPr>
          <w:rFonts w:hint="cs"/>
          <w:rtl/>
        </w:rPr>
        <w:t xml:space="preserve"> (סעיף 15 לחוק החוזים (חלק כללי)), והם עשויים להצדיק את ביטול השיתוף הספציפי שעליו הוסכם</w:t>
      </w:r>
      <w:r w:rsidRPr="00B25ED4">
        <w:rPr>
          <w:rtl/>
        </w:rPr>
        <w:t xml:space="preserve"> (</w:t>
      </w:r>
      <w:r w:rsidRPr="00B25ED4">
        <w:rPr>
          <w:rFonts w:hint="eastAsia"/>
          <w:rtl/>
        </w:rPr>
        <w:t>השוו</w:t>
      </w:r>
      <w:r w:rsidRPr="00B25ED4">
        <w:rPr>
          <w:rtl/>
        </w:rPr>
        <w:t xml:space="preserve"> </w:t>
      </w:r>
      <w:r w:rsidRPr="00B25ED4">
        <w:rPr>
          <w:rFonts w:hint="eastAsia"/>
          <w:rtl/>
        </w:rPr>
        <w:t>לנסיבות</w:t>
      </w:r>
      <w:r w:rsidRPr="00B25ED4">
        <w:rPr>
          <w:rtl/>
        </w:rPr>
        <w:t xml:space="preserve"> </w:t>
      </w:r>
      <w:r w:rsidRPr="00B25ED4">
        <w:rPr>
          <w:rFonts w:hint="eastAsia"/>
          <w:rtl/>
        </w:rPr>
        <w:t>המקרה</w:t>
      </w:r>
      <w:r w:rsidRPr="00B25ED4">
        <w:rPr>
          <w:rtl/>
        </w:rPr>
        <w:t xml:space="preserve"> </w:t>
      </w:r>
      <w:r w:rsidRPr="00B25ED4">
        <w:rPr>
          <w:rFonts w:hint="eastAsia"/>
          <w:rtl/>
        </w:rPr>
        <w:t>בבג</w:t>
      </w:r>
      <w:r w:rsidRPr="00B25ED4">
        <w:rPr>
          <w:rtl/>
        </w:rPr>
        <w:t>"</w:t>
      </w:r>
      <w:r w:rsidRPr="00B25ED4">
        <w:rPr>
          <w:rFonts w:hint="eastAsia"/>
          <w:rtl/>
        </w:rPr>
        <w:t>ץ</w:t>
      </w:r>
      <w:r w:rsidRPr="00B25ED4">
        <w:rPr>
          <w:rtl/>
        </w:rPr>
        <w:t xml:space="preserve"> 3995/00 </w:t>
      </w:r>
      <w:r w:rsidRPr="00227200">
        <w:rPr>
          <w:rFonts w:ascii="Century" w:hAnsi="Century" w:cs="Miriam" w:hint="eastAsia"/>
          <w:b/>
          <w:spacing w:val="0"/>
          <w:sz w:val="22"/>
          <w:szCs w:val="24"/>
          <w:rtl/>
        </w:rPr>
        <w:t>פלונית</w:t>
      </w:r>
      <w:r w:rsidRPr="00227200">
        <w:rPr>
          <w:rFonts w:ascii="Century" w:hAnsi="Century" w:cs="Miriam"/>
          <w:b/>
          <w:spacing w:val="0"/>
          <w:sz w:val="22"/>
          <w:szCs w:val="24"/>
          <w:rtl/>
        </w:rPr>
        <w:t xml:space="preserve"> </w:t>
      </w:r>
      <w:r w:rsidRPr="00227200">
        <w:rPr>
          <w:rFonts w:ascii="Century" w:hAnsi="Century" w:cs="Miriam" w:hint="eastAsia"/>
          <w:b/>
          <w:spacing w:val="0"/>
          <w:sz w:val="22"/>
          <w:szCs w:val="24"/>
          <w:rtl/>
        </w:rPr>
        <w:t>נ</w:t>
      </w:r>
      <w:r w:rsidRPr="00227200">
        <w:rPr>
          <w:rFonts w:ascii="Century" w:hAnsi="Century" w:cs="Miriam"/>
          <w:b/>
          <w:spacing w:val="0"/>
          <w:sz w:val="22"/>
          <w:szCs w:val="24"/>
          <w:rtl/>
        </w:rPr>
        <w:t xml:space="preserve">' </w:t>
      </w:r>
      <w:r w:rsidRPr="00227200">
        <w:rPr>
          <w:rFonts w:ascii="Century" w:hAnsi="Century" w:cs="Miriam" w:hint="eastAsia"/>
          <w:b/>
          <w:spacing w:val="0"/>
          <w:sz w:val="22"/>
          <w:szCs w:val="24"/>
          <w:rtl/>
        </w:rPr>
        <w:t>בית</w:t>
      </w:r>
      <w:r w:rsidRPr="00227200">
        <w:rPr>
          <w:rFonts w:ascii="Century" w:hAnsi="Century" w:cs="Miriam"/>
          <w:b/>
          <w:spacing w:val="0"/>
          <w:sz w:val="22"/>
          <w:szCs w:val="24"/>
          <w:rtl/>
        </w:rPr>
        <w:t>-</w:t>
      </w:r>
      <w:r w:rsidRPr="00227200">
        <w:rPr>
          <w:rFonts w:ascii="Century" w:hAnsi="Century" w:cs="Miriam" w:hint="eastAsia"/>
          <w:b/>
          <w:spacing w:val="0"/>
          <w:sz w:val="22"/>
          <w:szCs w:val="24"/>
          <w:rtl/>
        </w:rPr>
        <w:t>הדין</w:t>
      </w:r>
      <w:r w:rsidRPr="00227200">
        <w:rPr>
          <w:rFonts w:ascii="Century" w:hAnsi="Century" w:cs="Miriam"/>
          <w:b/>
          <w:spacing w:val="0"/>
          <w:sz w:val="22"/>
          <w:szCs w:val="24"/>
          <w:rtl/>
        </w:rPr>
        <w:t xml:space="preserve"> </w:t>
      </w:r>
      <w:r w:rsidRPr="00227200">
        <w:rPr>
          <w:rFonts w:ascii="Century" w:hAnsi="Century" w:cs="Miriam" w:hint="eastAsia"/>
          <w:b/>
          <w:spacing w:val="0"/>
          <w:sz w:val="22"/>
          <w:szCs w:val="24"/>
          <w:rtl/>
        </w:rPr>
        <w:t>הרבני</w:t>
      </w:r>
      <w:r w:rsidRPr="00227200">
        <w:rPr>
          <w:rFonts w:ascii="Century" w:hAnsi="Century" w:cs="Miriam"/>
          <w:b/>
          <w:spacing w:val="0"/>
          <w:sz w:val="22"/>
          <w:szCs w:val="24"/>
          <w:rtl/>
        </w:rPr>
        <w:t xml:space="preserve"> </w:t>
      </w:r>
      <w:r w:rsidRPr="00227200">
        <w:rPr>
          <w:rFonts w:ascii="Century" w:hAnsi="Century" w:cs="Miriam" w:hint="eastAsia"/>
          <w:b/>
          <w:spacing w:val="0"/>
          <w:sz w:val="22"/>
          <w:szCs w:val="24"/>
          <w:rtl/>
        </w:rPr>
        <w:t>הגדול</w:t>
      </w:r>
      <w:r w:rsidRPr="00227200">
        <w:rPr>
          <w:rFonts w:ascii="Century" w:hAnsi="Century" w:cs="Miriam"/>
          <w:b/>
          <w:spacing w:val="0"/>
          <w:sz w:val="22"/>
          <w:szCs w:val="24"/>
          <w:rtl/>
        </w:rPr>
        <w:t xml:space="preserve"> </w:t>
      </w:r>
      <w:r w:rsidRPr="00227200">
        <w:rPr>
          <w:rFonts w:ascii="Century" w:hAnsi="Century" w:cs="Miriam" w:hint="eastAsia"/>
          <w:b/>
          <w:spacing w:val="0"/>
          <w:sz w:val="22"/>
          <w:szCs w:val="24"/>
          <w:rtl/>
        </w:rPr>
        <w:t>לערעורים</w:t>
      </w:r>
      <w:r w:rsidRPr="00227200">
        <w:rPr>
          <w:rFonts w:ascii="Century" w:hAnsi="Century" w:cs="Miriam"/>
          <w:b/>
          <w:spacing w:val="0"/>
          <w:sz w:val="22"/>
          <w:szCs w:val="24"/>
          <w:rtl/>
        </w:rPr>
        <w:t xml:space="preserve"> </w:t>
      </w:r>
      <w:r w:rsidRPr="00227200">
        <w:rPr>
          <w:rFonts w:ascii="Century" w:hAnsi="Century" w:cs="Miriam" w:hint="eastAsia"/>
          <w:b/>
          <w:spacing w:val="0"/>
          <w:sz w:val="22"/>
          <w:szCs w:val="24"/>
          <w:rtl/>
        </w:rPr>
        <w:t>בירושלים</w:t>
      </w:r>
      <w:r w:rsidRPr="00B25ED4">
        <w:rPr>
          <w:rtl/>
        </w:rPr>
        <w:t xml:space="preserve">, </w:t>
      </w:r>
      <w:r w:rsidRPr="00B25ED4">
        <w:rPr>
          <w:rFonts w:hint="eastAsia"/>
          <w:rtl/>
        </w:rPr>
        <w:t>פ</w:t>
      </w:r>
      <w:r w:rsidRPr="00B25ED4">
        <w:rPr>
          <w:rtl/>
        </w:rPr>
        <w:t>"</w:t>
      </w:r>
      <w:r w:rsidRPr="00B25ED4">
        <w:rPr>
          <w:rFonts w:hint="eastAsia"/>
          <w:rtl/>
        </w:rPr>
        <w:t>ד</w:t>
      </w:r>
      <w:r w:rsidRPr="00B25ED4">
        <w:rPr>
          <w:rtl/>
        </w:rPr>
        <w:t xml:space="preserve"> </w:t>
      </w:r>
      <w:r w:rsidRPr="00B25ED4">
        <w:rPr>
          <w:rFonts w:hint="eastAsia"/>
          <w:rtl/>
        </w:rPr>
        <w:t>נו</w:t>
      </w:r>
      <w:r w:rsidRPr="00B25ED4">
        <w:rPr>
          <w:rtl/>
        </w:rPr>
        <w:t xml:space="preserve">(6) 883 (2002)). </w:t>
      </w:r>
      <w:r w:rsidRPr="00B25ED4">
        <w:rPr>
          <w:rFonts w:ascii="FrankRuehl" w:hAnsi="FrankRuehl" w:hint="cs"/>
          <w:sz w:val="28"/>
          <w:rtl/>
        </w:rPr>
        <w:t xml:space="preserve">לצורך הוכחת טענה מעין זו, </w:t>
      </w:r>
      <w:r>
        <w:rPr>
          <w:rFonts w:ascii="FrankRuehl" w:hAnsi="FrankRuehl" w:hint="cs"/>
          <w:sz w:val="28"/>
          <w:rtl/>
        </w:rPr>
        <w:t xml:space="preserve">יהא </w:t>
      </w:r>
      <w:r w:rsidRPr="00B25ED4">
        <w:rPr>
          <w:rFonts w:ascii="FrankRuehl" w:hAnsi="FrankRuehl" w:hint="cs"/>
          <w:sz w:val="28"/>
          <w:rtl/>
        </w:rPr>
        <w:t xml:space="preserve">על בן הזוג </w:t>
      </w:r>
      <w:r w:rsidRPr="00007314">
        <w:rPr>
          <w:rFonts w:ascii="Century" w:hAnsi="Century" w:cs="Miriam" w:hint="cs"/>
          <w:b/>
          <w:spacing w:val="0"/>
          <w:sz w:val="22"/>
          <w:szCs w:val="24"/>
          <w:rtl/>
        </w:rPr>
        <w:t xml:space="preserve">הטוען </w:t>
      </w:r>
      <w:r>
        <w:rPr>
          <w:rFonts w:ascii="Century" w:hAnsi="Century" w:cs="Miriam" w:hint="cs"/>
          <w:b/>
          <w:spacing w:val="0"/>
          <w:sz w:val="22"/>
          <w:szCs w:val="24"/>
          <w:rtl/>
        </w:rPr>
        <w:t>לבטלות</w:t>
      </w:r>
      <w:r w:rsidRPr="00007314">
        <w:rPr>
          <w:rFonts w:ascii="Century" w:hAnsi="Century" w:cs="Miriam" w:hint="cs"/>
          <w:b/>
          <w:spacing w:val="0"/>
          <w:sz w:val="22"/>
          <w:szCs w:val="24"/>
          <w:rtl/>
        </w:rPr>
        <w:t xml:space="preserve"> השיתוף </w:t>
      </w:r>
      <w:r w:rsidRPr="00B25ED4">
        <w:rPr>
          <w:rFonts w:ascii="FrankRuehl" w:hAnsi="FrankRuehl" w:hint="cs"/>
          <w:sz w:val="28"/>
          <w:rtl/>
        </w:rPr>
        <w:t xml:space="preserve">להוכיח כי אותו "אירוע מפרק" </w:t>
      </w:r>
      <w:r w:rsidRPr="00B25ED4">
        <w:rPr>
          <w:rFonts w:ascii="Century" w:hAnsi="Century" w:hint="cs"/>
          <w:sz w:val="22"/>
          <w:rtl/>
        </w:rPr>
        <w:t xml:space="preserve">קדם להיווצרות השיתוף; </w:t>
      </w:r>
      <w:r w:rsidRPr="00B25ED4">
        <w:rPr>
          <w:rFonts w:ascii="FrankRuehl" w:hAnsi="FrankRuehl" w:hint="cs"/>
          <w:sz w:val="28"/>
          <w:rtl/>
        </w:rPr>
        <w:t xml:space="preserve">כי </w:t>
      </w:r>
      <w:r>
        <w:rPr>
          <w:rFonts w:ascii="FrankRuehl" w:hAnsi="FrankRuehl" w:hint="cs"/>
          <w:sz w:val="28"/>
          <w:rtl/>
        </w:rPr>
        <w:t>הוא</w:t>
      </w:r>
      <w:r w:rsidRPr="00B25ED4">
        <w:rPr>
          <w:rFonts w:ascii="FrankRuehl" w:hAnsi="FrankRuehl" w:hint="cs"/>
          <w:sz w:val="28"/>
          <w:rtl/>
        </w:rPr>
        <w:t xml:space="preserve"> לא היה מודע לאירוע בזמן אמת; וכי אילו היה יודע עליו, לא היה מסכים ליצירת השיתוף.</w:t>
      </w:r>
      <w:r>
        <w:rPr>
          <w:rFonts w:ascii="FrankRuehl" w:hAnsi="FrankRuehl" w:hint="cs"/>
          <w:sz w:val="28"/>
          <w:rtl/>
        </w:rPr>
        <w:t xml:space="preserve"> </w:t>
      </w:r>
      <w:proofErr w:type="spellStart"/>
      <w:r>
        <w:rPr>
          <w:rFonts w:hint="cs"/>
          <w:rtl/>
        </w:rPr>
        <w:t>ודוקו</w:t>
      </w:r>
      <w:proofErr w:type="spellEnd"/>
      <w:r>
        <w:rPr>
          <w:rFonts w:hint="cs"/>
          <w:rtl/>
        </w:rPr>
        <w:t xml:space="preserve"> </w:t>
      </w:r>
      <w:r w:rsidRPr="00B25ED4">
        <w:rPr>
          <w:rtl/>
        </w:rPr>
        <w:t>–</w:t>
      </w:r>
      <w:r w:rsidRPr="00B25ED4">
        <w:rPr>
          <w:rFonts w:hint="cs"/>
          <w:rtl/>
        </w:rPr>
        <w:t xml:space="preserve"> במקרים </w:t>
      </w:r>
      <w:r>
        <w:rPr>
          <w:rFonts w:hint="cs"/>
          <w:rtl/>
        </w:rPr>
        <w:t>נדירים כ</w:t>
      </w:r>
      <w:r w:rsidRPr="00B25ED4">
        <w:rPr>
          <w:rFonts w:hint="cs"/>
          <w:rtl/>
        </w:rPr>
        <w:t>אלה</w:t>
      </w:r>
      <w:r>
        <w:rPr>
          <w:rFonts w:hint="cs"/>
          <w:rtl/>
        </w:rPr>
        <w:t xml:space="preserve">, היעתרות לבקשתו של בן הזוג המבקש לשלול את זכויותיו של משנהו, </w:t>
      </w:r>
      <w:r w:rsidRPr="00B25ED4">
        <w:rPr>
          <w:rFonts w:hint="cs"/>
          <w:rtl/>
        </w:rPr>
        <w:t xml:space="preserve">אין </w:t>
      </w:r>
      <w:r>
        <w:rPr>
          <w:rFonts w:hint="cs"/>
          <w:rtl/>
        </w:rPr>
        <w:t xml:space="preserve">משמעה </w:t>
      </w:r>
      <w:r w:rsidRPr="002C73F7">
        <w:rPr>
          <w:rFonts w:ascii="FrankRuehl" w:hAnsi="FrankRuehl"/>
          <w:b/>
          <w:spacing w:val="0"/>
          <w:sz w:val="28"/>
          <w:rtl/>
        </w:rPr>
        <w:t>שלילה למפרע</w:t>
      </w:r>
      <w:r w:rsidRPr="00007314">
        <w:rPr>
          <w:rFonts w:ascii="Century" w:hAnsi="Century" w:cs="Miriam" w:hint="cs"/>
          <w:b/>
          <w:spacing w:val="0"/>
          <w:sz w:val="22"/>
          <w:szCs w:val="24"/>
          <w:rtl/>
        </w:rPr>
        <w:t xml:space="preserve"> </w:t>
      </w:r>
      <w:r w:rsidRPr="00B25ED4">
        <w:rPr>
          <w:rFonts w:hint="cs"/>
          <w:rtl/>
        </w:rPr>
        <w:t>של שיתוף שהתגבש</w:t>
      </w:r>
      <w:r>
        <w:rPr>
          <w:rFonts w:hint="cs"/>
          <w:rtl/>
        </w:rPr>
        <w:t xml:space="preserve"> בשל אירועים שהתרחשו </w:t>
      </w:r>
      <w:r w:rsidRPr="00C57004">
        <w:rPr>
          <w:rFonts w:ascii="Century" w:hAnsi="Century" w:cs="Miriam" w:hint="eastAsia"/>
          <w:b/>
          <w:spacing w:val="0"/>
          <w:sz w:val="22"/>
          <w:szCs w:val="24"/>
          <w:rtl/>
        </w:rPr>
        <w:t>לאחר</w:t>
      </w:r>
      <w:r>
        <w:rPr>
          <w:rFonts w:hint="cs"/>
          <w:rtl/>
        </w:rPr>
        <w:t xml:space="preserve"> התגבשות השיתוף</w:t>
      </w:r>
      <w:r w:rsidRPr="00B25ED4">
        <w:rPr>
          <w:rFonts w:hint="cs"/>
          <w:rtl/>
        </w:rPr>
        <w:t xml:space="preserve">, ובוודאי שאין מדובר ב"ענישה" רטרואקטיבית על </w:t>
      </w:r>
      <w:r w:rsidRPr="00C57004">
        <w:rPr>
          <w:rFonts w:ascii="Century" w:hAnsi="Century" w:cs="Miriam" w:hint="eastAsia"/>
          <w:b/>
          <w:spacing w:val="0"/>
          <w:sz w:val="22"/>
          <w:szCs w:val="24"/>
          <w:rtl/>
        </w:rPr>
        <w:t>מעשים</w:t>
      </w:r>
      <w:r w:rsidRPr="00C57004">
        <w:rPr>
          <w:rFonts w:ascii="Century" w:hAnsi="Century" w:cs="Miriam"/>
          <w:b/>
          <w:spacing w:val="0"/>
          <w:sz w:val="22"/>
          <w:szCs w:val="24"/>
          <w:rtl/>
        </w:rPr>
        <w:t xml:space="preserve"> </w:t>
      </w:r>
      <w:r w:rsidRPr="00C57004">
        <w:rPr>
          <w:rFonts w:ascii="Century" w:hAnsi="Century" w:cs="Miriam" w:hint="eastAsia"/>
          <w:b/>
          <w:spacing w:val="0"/>
          <w:sz w:val="22"/>
          <w:szCs w:val="24"/>
          <w:rtl/>
        </w:rPr>
        <w:t>מאוחרים</w:t>
      </w:r>
      <w:r w:rsidRPr="0022198C">
        <w:rPr>
          <w:rFonts w:hint="cs"/>
          <w:rtl/>
        </w:rPr>
        <w:t xml:space="preserve"> </w:t>
      </w:r>
      <w:r w:rsidRPr="00B25ED4">
        <w:rPr>
          <w:rFonts w:hint="cs"/>
          <w:rtl/>
        </w:rPr>
        <w:t>להתגבשותו של השיתוף הספציפי</w:t>
      </w:r>
      <w:r>
        <w:rPr>
          <w:rFonts w:hint="cs"/>
          <w:rtl/>
        </w:rPr>
        <w:t xml:space="preserve"> </w:t>
      </w:r>
      <w:r w:rsidRPr="00227200">
        <w:rPr>
          <w:rFonts w:ascii="FrankRuehl" w:hAnsi="FrankRuehl" w:hint="cs"/>
          <w:sz w:val="28"/>
          <w:rtl/>
        </w:rPr>
        <w:t>(השוו ל</w:t>
      </w:r>
      <w:r w:rsidRPr="00227200">
        <w:rPr>
          <w:rFonts w:ascii="FrankRuehl" w:hAnsi="FrankRuehl" w:hint="eastAsia"/>
          <w:sz w:val="28"/>
          <w:rtl/>
        </w:rPr>
        <w:t>פסקה</w:t>
      </w:r>
      <w:r w:rsidRPr="00227200">
        <w:rPr>
          <w:rFonts w:ascii="FrankRuehl" w:hAnsi="FrankRuehl"/>
          <w:sz w:val="28"/>
          <w:rtl/>
        </w:rPr>
        <w:t xml:space="preserve"> 14 </w:t>
      </w:r>
      <w:r w:rsidRPr="00227200">
        <w:rPr>
          <w:rFonts w:ascii="FrankRuehl" w:hAnsi="FrankRuehl" w:hint="eastAsia"/>
          <w:sz w:val="28"/>
          <w:rtl/>
        </w:rPr>
        <w:t>לחוות</w:t>
      </w:r>
      <w:r w:rsidRPr="00227200">
        <w:rPr>
          <w:rFonts w:ascii="FrankRuehl" w:hAnsi="FrankRuehl"/>
          <w:sz w:val="28"/>
          <w:rtl/>
        </w:rPr>
        <w:t xml:space="preserve"> </w:t>
      </w:r>
      <w:r w:rsidRPr="00227200">
        <w:rPr>
          <w:rFonts w:ascii="FrankRuehl" w:hAnsi="FrankRuehl" w:hint="eastAsia"/>
          <w:sz w:val="28"/>
          <w:rtl/>
        </w:rPr>
        <w:t>דעתו</w:t>
      </w:r>
      <w:r w:rsidRPr="00227200">
        <w:rPr>
          <w:rFonts w:ascii="FrankRuehl" w:hAnsi="FrankRuehl"/>
          <w:sz w:val="28"/>
          <w:rtl/>
        </w:rPr>
        <w:t xml:space="preserve"> </w:t>
      </w:r>
      <w:r w:rsidRPr="00227200">
        <w:rPr>
          <w:rFonts w:ascii="FrankRuehl" w:hAnsi="FrankRuehl" w:hint="eastAsia"/>
          <w:sz w:val="28"/>
          <w:rtl/>
        </w:rPr>
        <w:t>של</w:t>
      </w:r>
      <w:r w:rsidRPr="00227200">
        <w:rPr>
          <w:rFonts w:ascii="FrankRuehl" w:hAnsi="FrankRuehl"/>
          <w:sz w:val="28"/>
          <w:rtl/>
        </w:rPr>
        <w:t xml:space="preserve"> </w:t>
      </w:r>
      <w:r w:rsidRPr="00227200">
        <w:rPr>
          <w:rFonts w:ascii="FrankRuehl" w:hAnsi="FrankRuehl" w:hint="eastAsia"/>
          <w:sz w:val="28"/>
          <w:rtl/>
        </w:rPr>
        <w:t>השופט</w:t>
      </w:r>
      <w:r w:rsidRPr="00227200">
        <w:rPr>
          <w:rFonts w:ascii="FrankRuehl" w:hAnsi="FrankRuehl"/>
          <w:sz w:val="28"/>
          <w:rtl/>
        </w:rPr>
        <w:t xml:space="preserve"> </w:t>
      </w:r>
      <w:r w:rsidRPr="00227200">
        <w:rPr>
          <w:rFonts w:ascii="Century" w:hAnsi="Century" w:cs="Miriam" w:hint="eastAsia"/>
          <w:b/>
          <w:spacing w:val="0"/>
          <w:sz w:val="22"/>
          <w:szCs w:val="24"/>
          <w:rtl/>
        </w:rPr>
        <w:t>עמית</w:t>
      </w:r>
      <w:r w:rsidRPr="00227200">
        <w:rPr>
          <w:rFonts w:ascii="Century" w:hAnsi="Century" w:cs="Miriam"/>
          <w:b/>
          <w:spacing w:val="0"/>
          <w:sz w:val="22"/>
          <w:szCs w:val="24"/>
          <w:rtl/>
        </w:rPr>
        <w:t xml:space="preserve"> </w:t>
      </w:r>
      <w:r w:rsidRPr="00227200">
        <w:rPr>
          <w:rFonts w:ascii="FrankRuehl" w:hAnsi="FrankRuehl" w:hint="eastAsia"/>
          <w:sz w:val="28"/>
          <w:rtl/>
        </w:rPr>
        <w:t>ו</w:t>
      </w:r>
      <w:r w:rsidRPr="00227200">
        <w:rPr>
          <w:rFonts w:ascii="FrankRuehl" w:hAnsi="FrankRuehl" w:hint="cs"/>
          <w:sz w:val="28"/>
          <w:rtl/>
        </w:rPr>
        <w:t>ל</w:t>
      </w:r>
      <w:r w:rsidRPr="00227200">
        <w:rPr>
          <w:rFonts w:ascii="FrankRuehl" w:hAnsi="FrankRuehl" w:hint="eastAsia"/>
          <w:sz w:val="28"/>
          <w:rtl/>
        </w:rPr>
        <w:t>פסקה</w:t>
      </w:r>
      <w:r w:rsidRPr="00227200">
        <w:rPr>
          <w:rFonts w:ascii="FrankRuehl" w:hAnsi="FrankRuehl"/>
          <w:sz w:val="28"/>
          <w:rtl/>
        </w:rPr>
        <w:t xml:space="preserve"> 7 </w:t>
      </w:r>
      <w:r w:rsidRPr="00227200">
        <w:rPr>
          <w:rFonts w:ascii="FrankRuehl" w:hAnsi="FrankRuehl" w:hint="eastAsia"/>
          <w:sz w:val="28"/>
          <w:rtl/>
        </w:rPr>
        <w:t>לחוות</w:t>
      </w:r>
      <w:r w:rsidRPr="00227200">
        <w:rPr>
          <w:rFonts w:ascii="FrankRuehl" w:hAnsi="FrankRuehl"/>
          <w:sz w:val="28"/>
          <w:rtl/>
        </w:rPr>
        <w:t xml:space="preserve"> </w:t>
      </w:r>
      <w:r w:rsidRPr="00227200">
        <w:rPr>
          <w:rFonts w:ascii="FrankRuehl" w:hAnsi="FrankRuehl" w:hint="eastAsia"/>
          <w:sz w:val="28"/>
          <w:rtl/>
        </w:rPr>
        <w:t>דעתו</w:t>
      </w:r>
      <w:r w:rsidRPr="00227200">
        <w:rPr>
          <w:rFonts w:ascii="FrankRuehl" w:hAnsi="FrankRuehl"/>
          <w:sz w:val="28"/>
          <w:rtl/>
        </w:rPr>
        <w:t xml:space="preserve"> </w:t>
      </w:r>
      <w:r w:rsidRPr="00227200">
        <w:rPr>
          <w:rFonts w:ascii="FrankRuehl" w:hAnsi="FrankRuehl" w:hint="eastAsia"/>
          <w:sz w:val="28"/>
          <w:rtl/>
        </w:rPr>
        <w:t>של</w:t>
      </w:r>
      <w:r w:rsidRPr="00227200">
        <w:rPr>
          <w:rFonts w:ascii="FrankRuehl" w:hAnsi="FrankRuehl"/>
          <w:sz w:val="28"/>
          <w:rtl/>
        </w:rPr>
        <w:t xml:space="preserve"> </w:t>
      </w:r>
      <w:r w:rsidRPr="00227200">
        <w:rPr>
          <w:rFonts w:ascii="FrankRuehl" w:hAnsi="FrankRuehl" w:hint="eastAsia"/>
          <w:sz w:val="28"/>
          <w:rtl/>
        </w:rPr>
        <w:t>השופט</w:t>
      </w:r>
      <w:r w:rsidRPr="00227200">
        <w:rPr>
          <w:rFonts w:ascii="FrankRuehl" w:hAnsi="FrankRuehl"/>
          <w:sz w:val="28"/>
          <w:rtl/>
        </w:rPr>
        <w:t xml:space="preserve"> </w:t>
      </w:r>
      <w:r w:rsidRPr="00227200">
        <w:rPr>
          <w:rFonts w:ascii="Century" w:hAnsi="Century" w:cs="Miriam" w:hint="eastAsia"/>
          <w:b/>
          <w:spacing w:val="0"/>
          <w:sz w:val="22"/>
          <w:szCs w:val="24"/>
          <w:rtl/>
        </w:rPr>
        <w:t>מינץ</w:t>
      </w:r>
      <w:r w:rsidRPr="00227200">
        <w:rPr>
          <w:rFonts w:ascii="Century" w:hAnsi="Century" w:cs="Miriam"/>
          <w:b/>
          <w:spacing w:val="0"/>
          <w:sz w:val="22"/>
          <w:szCs w:val="24"/>
          <w:rtl/>
        </w:rPr>
        <w:t xml:space="preserve"> </w:t>
      </w:r>
      <w:r w:rsidRPr="00227200">
        <w:rPr>
          <w:rFonts w:ascii="FrankRuehl" w:hAnsi="FrankRuehl" w:hint="eastAsia"/>
          <w:sz w:val="28"/>
          <w:rtl/>
        </w:rPr>
        <w:t>בפסק</w:t>
      </w:r>
      <w:r w:rsidRPr="00227200">
        <w:rPr>
          <w:rFonts w:ascii="FrankRuehl" w:hAnsi="FrankRuehl"/>
          <w:sz w:val="28"/>
          <w:rtl/>
        </w:rPr>
        <w:t xml:space="preserve"> </w:t>
      </w:r>
      <w:r w:rsidRPr="00227200">
        <w:rPr>
          <w:rFonts w:ascii="FrankRuehl" w:hAnsi="FrankRuehl" w:hint="eastAsia"/>
          <w:sz w:val="28"/>
          <w:rtl/>
        </w:rPr>
        <w:t>הדין</w:t>
      </w:r>
      <w:r w:rsidRPr="00227200">
        <w:rPr>
          <w:rFonts w:ascii="FrankRuehl" w:hAnsi="FrankRuehl"/>
          <w:sz w:val="28"/>
          <w:rtl/>
        </w:rPr>
        <w:t xml:space="preserve"> </w:t>
      </w:r>
      <w:r w:rsidRPr="00227200">
        <w:rPr>
          <w:rFonts w:ascii="FrankRuehl" w:hAnsi="FrankRuehl" w:hint="eastAsia"/>
          <w:sz w:val="28"/>
          <w:rtl/>
        </w:rPr>
        <w:t>נושא</w:t>
      </w:r>
      <w:r w:rsidRPr="00227200">
        <w:rPr>
          <w:rFonts w:ascii="FrankRuehl" w:hAnsi="FrankRuehl"/>
          <w:sz w:val="28"/>
          <w:rtl/>
        </w:rPr>
        <w:t xml:space="preserve"> </w:t>
      </w:r>
      <w:r w:rsidRPr="00227200">
        <w:rPr>
          <w:rFonts w:ascii="FrankRuehl" w:hAnsi="FrankRuehl" w:hint="eastAsia"/>
          <w:sz w:val="28"/>
          <w:rtl/>
        </w:rPr>
        <w:t>הדיון</w:t>
      </w:r>
      <w:r w:rsidRPr="00227200">
        <w:rPr>
          <w:rFonts w:ascii="FrankRuehl" w:hAnsi="FrankRuehl"/>
          <w:sz w:val="28"/>
          <w:rtl/>
        </w:rPr>
        <w:t xml:space="preserve"> </w:t>
      </w:r>
      <w:r w:rsidRPr="00227200">
        <w:rPr>
          <w:rFonts w:ascii="FrankRuehl" w:hAnsi="FrankRuehl" w:hint="eastAsia"/>
          <w:sz w:val="28"/>
          <w:rtl/>
        </w:rPr>
        <w:t>הנוסף</w:t>
      </w:r>
      <w:r w:rsidRPr="00227200">
        <w:rPr>
          <w:rFonts w:ascii="FrankRuehl" w:hAnsi="FrankRuehl"/>
          <w:sz w:val="28"/>
          <w:rtl/>
        </w:rPr>
        <w:t>)</w:t>
      </w:r>
      <w:r w:rsidRPr="00B25ED4">
        <w:rPr>
          <w:rFonts w:hint="cs"/>
          <w:rtl/>
        </w:rPr>
        <w:t xml:space="preserve">. </w:t>
      </w:r>
    </w:p>
    <w:p w:rsidR="00FA3A86" w:rsidRPr="00B25ED4" w:rsidRDefault="00FA3A86" w:rsidP="00FA3A86">
      <w:pPr>
        <w:pStyle w:val="Ruller4"/>
        <w:numPr>
          <w:ilvl w:val="0"/>
          <w:numId w:val="0"/>
        </w:numPr>
        <w:rPr>
          <w:rtl/>
        </w:rPr>
      </w:pPr>
    </w:p>
    <w:p w:rsidR="00FA3A86" w:rsidRPr="00B25ED4" w:rsidRDefault="00FA3A86" w:rsidP="00FA3A86">
      <w:pPr>
        <w:pStyle w:val="Ruller4"/>
        <w:rPr>
          <w:rtl/>
        </w:rPr>
      </w:pPr>
      <w:r w:rsidRPr="00B25ED4">
        <w:rPr>
          <w:rFonts w:ascii="FrankRuehl" w:hAnsi="FrankRuehl" w:hint="cs"/>
          <w:sz w:val="28"/>
          <w:rtl/>
        </w:rPr>
        <w:t xml:space="preserve">בהקשר זה </w:t>
      </w:r>
      <w:r w:rsidRPr="00B25ED4">
        <w:rPr>
          <w:rFonts w:ascii="FrankRuehl" w:hAnsi="FrankRuehl"/>
          <w:sz w:val="28"/>
          <w:rtl/>
        </w:rPr>
        <w:t xml:space="preserve">אבקש להתייחס </w:t>
      </w:r>
      <w:r w:rsidRPr="00B25ED4">
        <w:rPr>
          <w:rFonts w:ascii="FrankRuehl" w:hAnsi="FrankRuehl" w:hint="cs"/>
          <w:sz w:val="28"/>
          <w:rtl/>
        </w:rPr>
        <w:t xml:space="preserve">בקצרה </w:t>
      </w:r>
      <w:r w:rsidRPr="00B25ED4">
        <w:rPr>
          <w:rFonts w:ascii="FrankRuehl" w:hAnsi="FrankRuehl"/>
          <w:sz w:val="28"/>
          <w:rtl/>
        </w:rPr>
        <w:t xml:space="preserve">לעמדתו של חברי השופט </w:t>
      </w:r>
      <w:r w:rsidRPr="00B25ED4">
        <w:rPr>
          <w:rFonts w:ascii="Miriam" w:hAnsi="Miriam" w:cs="Miriam"/>
          <w:szCs w:val="24"/>
          <w:rtl/>
        </w:rPr>
        <w:t>שטיין</w:t>
      </w:r>
      <w:r>
        <w:rPr>
          <w:rFonts w:ascii="FrankRuehl" w:hAnsi="FrankRuehl" w:hint="cs"/>
          <w:sz w:val="28"/>
          <w:rtl/>
        </w:rPr>
        <w:t>, אותה הביע בפסק הדין נושא הדיון הנוסף,</w:t>
      </w:r>
      <w:r w:rsidRPr="00B25ED4">
        <w:rPr>
          <w:rFonts w:ascii="FrankRuehl" w:hAnsi="FrankRuehl"/>
          <w:sz w:val="28"/>
          <w:rtl/>
        </w:rPr>
        <w:t xml:space="preserve"> </w:t>
      </w:r>
      <w:r>
        <w:rPr>
          <w:rFonts w:ascii="FrankRuehl" w:hAnsi="FrankRuehl" w:hint="cs"/>
          <w:sz w:val="28"/>
          <w:rtl/>
        </w:rPr>
        <w:t>ו</w:t>
      </w:r>
      <w:r w:rsidRPr="00B25ED4">
        <w:rPr>
          <w:rFonts w:ascii="FrankRuehl" w:hAnsi="FrankRuehl"/>
          <w:sz w:val="28"/>
          <w:rtl/>
        </w:rPr>
        <w:t xml:space="preserve">לפיה יש מקום להכיר באפשרות קיומו של הסכם </w:t>
      </w:r>
      <w:r>
        <w:rPr>
          <w:rFonts w:ascii="FrankRuehl" w:hAnsi="FrankRuehl" w:hint="cs"/>
          <w:sz w:val="28"/>
          <w:rtl/>
        </w:rPr>
        <w:t xml:space="preserve">מכללא </w:t>
      </w:r>
      <w:r w:rsidRPr="00B25ED4">
        <w:rPr>
          <w:rFonts w:ascii="FrankRuehl" w:hAnsi="FrankRuehl"/>
          <w:sz w:val="28"/>
          <w:rtl/>
        </w:rPr>
        <w:t xml:space="preserve">בין בני זוג </w:t>
      </w:r>
      <w:r w:rsidRPr="00B25ED4">
        <w:rPr>
          <w:rFonts w:ascii="FrankRuehl" w:hAnsi="FrankRuehl" w:hint="cs"/>
          <w:sz w:val="28"/>
          <w:rtl/>
        </w:rPr>
        <w:t xml:space="preserve">לפיו </w:t>
      </w:r>
      <w:r w:rsidRPr="00B25ED4">
        <w:rPr>
          <w:rFonts w:ascii="FrankRuehl" w:hAnsi="FrankRuehl"/>
          <w:sz w:val="28"/>
          <w:rtl/>
        </w:rPr>
        <w:t xml:space="preserve">"הענקת שותפות שוות-זכויות בנכס לבן זוג תתבטל במקרה של 'בגידה'". לשיטת השופט </w:t>
      </w:r>
      <w:r w:rsidRPr="00B25ED4">
        <w:rPr>
          <w:rFonts w:ascii="Miriam" w:hAnsi="Miriam" w:cs="Miriam"/>
          <w:szCs w:val="24"/>
          <w:rtl/>
        </w:rPr>
        <w:t>שטיין</w:t>
      </w:r>
      <w:r w:rsidRPr="00B25ED4">
        <w:rPr>
          <w:rFonts w:ascii="FrankRuehl" w:hAnsi="FrankRuehl"/>
          <w:sz w:val="28"/>
          <w:rtl/>
        </w:rPr>
        <w:t xml:space="preserve">, אי-נאמנות מינית </w:t>
      </w:r>
      <w:r w:rsidRPr="00B25ED4">
        <w:rPr>
          <w:rFonts w:ascii="FrankRuehl" w:hAnsi="FrankRuehl" w:hint="cs"/>
          <w:sz w:val="28"/>
          <w:rtl/>
        </w:rPr>
        <w:t xml:space="preserve">עשויה </w:t>
      </w:r>
      <w:r w:rsidRPr="00B25ED4">
        <w:rPr>
          <w:rFonts w:ascii="FrankRuehl" w:hAnsi="FrankRuehl"/>
          <w:sz w:val="28"/>
          <w:rtl/>
        </w:rPr>
        <w:t xml:space="preserve">לשלול כוונת שיתוף "כעניין של עובדה ולא כעניין של אשמה ועונש". </w:t>
      </w:r>
      <w:r w:rsidRPr="00B25ED4">
        <w:rPr>
          <w:rFonts w:ascii="FrankRuehl" w:hAnsi="FrankRuehl" w:hint="cs"/>
          <w:sz w:val="28"/>
          <w:rtl/>
        </w:rPr>
        <w:t xml:space="preserve">במילים אחרות, לגישת השופט </w:t>
      </w:r>
      <w:r w:rsidRPr="00B25ED4">
        <w:rPr>
          <w:rFonts w:ascii="Century" w:hAnsi="Century" w:cs="Miriam" w:hint="cs"/>
          <w:b/>
          <w:spacing w:val="0"/>
          <w:sz w:val="22"/>
          <w:szCs w:val="24"/>
          <w:rtl/>
        </w:rPr>
        <w:t>שטיין</w:t>
      </w:r>
      <w:r w:rsidRPr="00B25ED4">
        <w:rPr>
          <w:rFonts w:ascii="FrankRuehl" w:hAnsi="FrankRuehl" w:hint="cs"/>
          <w:sz w:val="28"/>
          <w:rtl/>
        </w:rPr>
        <w:t xml:space="preserve">, לנוכח עיקרון האוטונומיה של הקשר הזוגי, </w:t>
      </w:r>
      <w:r w:rsidRPr="00B25ED4">
        <w:rPr>
          <w:rFonts w:ascii="Century" w:hAnsi="Century" w:hint="cs"/>
          <w:sz w:val="22"/>
          <w:rtl/>
        </w:rPr>
        <w:t>בעת בחינת קיומו או היעדרו של שיתוף בנכס נושא המריבה</w:t>
      </w:r>
      <w:r>
        <w:rPr>
          <w:rFonts w:ascii="Century" w:hAnsi="Century" w:hint="cs"/>
          <w:sz w:val="22"/>
          <w:rtl/>
        </w:rPr>
        <w:t>,</w:t>
      </w:r>
      <w:r w:rsidRPr="00B25ED4">
        <w:rPr>
          <w:rFonts w:ascii="Century" w:hAnsi="Century" w:hint="cs"/>
          <w:sz w:val="22"/>
          <w:rtl/>
        </w:rPr>
        <w:t xml:space="preserve"> על בתי המשפט ובתי הדין לדלות את מסקנתם מתוך "דפוס החיים של בני הזוג וציפיותיהם ההדדיות. </w:t>
      </w:r>
      <w:r>
        <w:rPr>
          <w:rFonts w:ascii="Century" w:hAnsi="Century" w:hint="cs"/>
          <w:sz w:val="22"/>
          <w:rtl/>
        </w:rPr>
        <w:t xml:space="preserve">לגישתו, </w:t>
      </w:r>
      <w:r w:rsidRPr="00B25ED4">
        <w:rPr>
          <w:rFonts w:ascii="Century" w:hAnsi="Century" w:hint="cs"/>
          <w:sz w:val="22"/>
          <w:rtl/>
        </w:rPr>
        <w:t>צי</w:t>
      </w:r>
      <w:r>
        <w:rPr>
          <w:rFonts w:ascii="Century" w:hAnsi="Century" w:hint="cs"/>
          <w:sz w:val="22"/>
          <w:rtl/>
        </w:rPr>
        <w:t xml:space="preserve">פיות אלו בהחלט יכולות לכלול </w:t>
      </w:r>
      <w:r w:rsidRPr="00B25ED4">
        <w:rPr>
          <w:rFonts w:ascii="Century" w:hAnsi="Century" w:hint="cs"/>
          <w:sz w:val="22"/>
          <w:rtl/>
        </w:rPr>
        <w:t>תנאי של נאמנות מוחלטת לבן הזוג במישור האינטימי כבסיס שאין בלתו להסכמת בן הזוג לחל</w:t>
      </w:r>
      <w:r>
        <w:rPr>
          <w:rFonts w:ascii="Century" w:hAnsi="Century" w:hint="cs"/>
          <w:sz w:val="22"/>
          <w:rtl/>
        </w:rPr>
        <w:t>וק את רכושו עם משנהו שווה-בשווה</w:t>
      </w:r>
      <w:r w:rsidRPr="00B25ED4">
        <w:rPr>
          <w:rFonts w:ascii="Century" w:hAnsi="Century" w:hint="cs"/>
          <w:sz w:val="22"/>
          <w:rtl/>
        </w:rPr>
        <w:t xml:space="preserve"> </w:t>
      </w:r>
      <w:r>
        <w:rPr>
          <w:rFonts w:ascii="Century" w:hAnsi="Century" w:hint="cs"/>
          <w:sz w:val="22"/>
          <w:rtl/>
        </w:rPr>
        <w:t>ו</w:t>
      </w:r>
      <w:r w:rsidRPr="00B25ED4">
        <w:rPr>
          <w:rFonts w:ascii="Century" w:hAnsi="Century" w:hint="cs"/>
          <w:sz w:val="22"/>
          <w:rtl/>
        </w:rPr>
        <w:t xml:space="preserve">תנאי כאמור, ככל שהוא קיים, בתי המשפט ובתי הדין </w:t>
      </w:r>
      <w:r>
        <w:rPr>
          <w:rFonts w:ascii="Century" w:hAnsi="Century" w:hint="cs"/>
          <w:sz w:val="22"/>
          <w:rtl/>
        </w:rPr>
        <w:t>"</w:t>
      </w:r>
      <w:r w:rsidRPr="00B25ED4">
        <w:rPr>
          <w:rFonts w:ascii="Century" w:hAnsi="Century" w:hint="cs"/>
          <w:sz w:val="22"/>
          <w:rtl/>
        </w:rPr>
        <w:t xml:space="preserve">חייבים לכבד ולאכוף" (פסקה 8 לחוות דעתו). </w:t>
      </w:r>
    </w:p>
    <w:p w:rsidR="00FA3A86" w:rsidRPr="00B25ED4" w:rsidRDefault="00FA3A86" w:rsidP="00FA3A86">
      <w:pPr>
        <w:pStyle w:val="Ruller4"/>
        <w:numPr>
          <w:ilvl w:val="0"/>
          <w:numId w:val="0"/>
        </w:numPr>
        <w:rPr>
          <w:rFonts w:ascii="FrankRuehl" w:hAnsi="FrankRuehl"/>
          <w:sz w:val="28"/>
          <w:rtl/>
        </w:rPr>
      </w:pPr>
    </w:p>
    <w:p w:rsidR="00FA3A86" w:rsidRPr="00B25ED4" w:rsidRDefault="00FA3A86" w:rsidP="00FA3A86">
      <w:pPr>
        <w:pStyle w:val="Ruller4"/>
      </w:pPr>
      <w:r w:rsidRPr="00B25ED4">
        <w:rPr>
          <w:rtl/>
        </w:rPr>
        <w:t xml:space="preserve">השאלה אם יש </w:t>
      </w:r>
      <w:r w:rsidRPr="00B25ED4">
        <w:rPr>
          <w:rFonts w:hint="cs"/>
          <w:rtl/>
        </w:rPr>
        <w:t xml:space="preserve">מקום </w:t>
      </w:r>
      <w:r w:rsidRPr="00B25ED4">
        <w:rPr>
          <w:rtl/>
        </w:rPr>
        <w:t xml:space="preserve">להכיר באפשרות כי בני הזוג יסכימו </w:t>
      </w:r>
      <w:r w:rsidRPr="00B25ED4">
        <w:rPr>
          <w:rFonts w:ascii="Century" w:hAnsi="Century" w:cs="Miriam"/>
          <w:b/>
          <w:szCs w:val="24"/>
          <w:rtl/>
        </w:rPr>
        <w:t>במפורש</w:t>
      </w:r>
      <w:r w:rsidRPr="00B25ED4">
        <w:rPr>
          <w:rtl/>
        </w:rPr>
        <w:t xml:space="preserve"> </w:t>
      </w:r>
      <w:r w:rsidRPr="00B25ED4">
        <w:rPr>
          <w:rFonts w:hint="cs"/>
          <w:rtl/>
        </w:rPr>
        <w:t xml:space="preserve">על תנאי לפיו </w:t>
      </w:r>
      <w:r w:rsidRPr="00B25ED4">
        <w:rPr>
          <w:rtl/>
        </w:rPr>
        <w:t xml:space="preserve">השיתוף הזוגי </w:t>
      </w:r>
      <w:r w:rsidRPr="00B25ED4">
        <w:rPr>
          <w:rFonts w:hint="cs"/>
          <w:rtl/>
        </w:rPr>
        <w:t xml:space="preserve">ביניהם, ככל שיתגבש, </w:t>
      </w:r>
      <w:r w:rsidRPr="00B25ED4">
        <w:rPr>
          <w:rtl/>
        </w:rPr>
        <w:t xml:space="preserve">יתבטל במקרה של אי-נאמנות מינית </w:t>
      </w:r>
      <w:r>
        <w:rPr>
          <w:rtl/>
        </w:rPr>
        <w:t>–</w:t>
      </w:r>
      <w:r>
        <w:rPr>
          <w:rFonts w:hint="cs"/>
          <w:rtl/>
        </w:rPr>
        <w:t xml:space="preserve"> </w:t>
      </w:r>
      <w:r w:rsidRPr="00B25ED4">
        <w:rPr>
          <w:rtl/>
        </w:rPr>
        <w:t>היא שאלה סבוכה</w:t>
      </w:r>
      <w:r w:rsidRPr="00B25ED4">
        <w:rPr>
          <w:rFonts w:hint="cs"/>
          <w:rtl/>
        </w:rPr>
        <w:t xml:space="preserve"> כש</w:t>
      </w:r>
      <w:r>
        <w:rPr>
          <w:rFonts w:hint="cs"/>
          <w:rtl/>
        </w:rPr>
        <w:t>ל</w:t>
      </w:r>
      <w:r w:rsidRPr="00B25ED4">
        <w:rPr>
          <w:rFonts w:hint="cs"/>
          <w:rtl/>
        </w:rPr>
        <w:t>עצמה</w:t>
      </w:r>
      <w:r>
        <w:rPr>
          <w:rFonts w:hint="cs"/>
          <w:rtl/>
        </w:rPr>
        <w:t>. ואולם</w:t>
      </w:r>
      <w:r w:rsidRPr="00B25ED4">
        <w:rPr>
          <w:rFonts w:hint="cs"/>
          <w:rtl/>
        </w:rPr>
        <w:t xml:space="preserve">, </w:t>
      </w:r>
      <w:r w:rsidRPr="00B25ED4">
        <w:rPr>
          <w:rtl/>
        </w:rPr>
        <w:t xml:space="preserve">שאלה זו איננה </w:t>
      </w:r>
      <w:r w:rsidRPr="00B25ED4">
        <w:rPr>
          <w:rFonts w:hint="cs"/>
          <w:rtl/>
        </w:rPr>
        <w:t>מתעוררת</w:t>
      </w:r>
      <w:r w:rsidRPr="00B25ED4">
        <w:rPr>
          <w:rtl/>
        </w:rPr>
        <w:t xml:space="preserve"> </w:t>
      </w:r>
      <w:r>
        <w:rPr>
          <w:rFonts w:hint="cs"/>
          <w:rtl/>
        </w:rPr>
        <w:t>במקרה דנן</w:t>
      </w:r>
      <w:r w:rsidRPr="00B25ED4">
        <w:rPr>
          <w:rFonts w:hint="cs"/>
          <w:rtl/>
        </w:rPr>
        <w:t>,</w:t>
      </w:r>
      <w:r w:rsidRPr="00B25ED4">
        <w:rPr>
          <w:rtl/>
        </w:rPr>
        <w:t xml:space="preserve"> שכן אין ספק </w:t>
      </w:r>
      <w:r w:rsidRPr="00B25ED4">
        <w:rPr>
          <w:rFonts w:hint="cs"/>
          <w:rtl/>
        </w:rPr>
        <w:t xml:space="preserve">שהמבקשת והמשיב לא הסכימו </w:t>
      </w:r>
      <w:r w:rsidRPr="00B25ED4">
        <w:rPr>
          <w:rFonts w:ascii="Century" w:hAnsi="Century" w:cs="Miriam" w:hint="cs"/>
          <w:b/>
          <w:szCs w:val="24"/>
          <w:rtl/>
        </w:rPr>
        <w:t xml:space="preserve">באופן מפורש ומראש </w:t>
      </w:r>
      <w:r w:rsidRPr="00B25ED4">
        <w:rPr>
          <w:rFonts w:hint="cs"/>
          <w:rtl/>
        </w:rPr>
        <w:t>על תניה מעין זו</w:t>
      </w:r>
      <w:r w:rsidRPr="00B25ED4">
        <w:rPr>
          <w:rtl/>
        </w:rPr>
        <w:t>. לפיכך</w:t>
      </w:r>
      <w:r>
        <w:rPr>
          <w:rFonts w:hint="cs"/>
          <w:rtl/>
        </w:rPr>
        <w:t>,</w:t>
      </w:r>
      <w:r w:rsidRPr="00B25ED4">
        <w:rPr>
          <w:rtl/>
        </w:rPr>
        <w:t xml:space="preserve"> השאלה </w:t>
      </w:r>
      <w:r>
        <w:rPr>
          <w:rFonts w:hint="cs"/>
          <w:rtl/>
        </w:rPr>
        <w:t>הרלוונטית</w:t>
      </w:r>
      <w:r w:rsidRPr="00B25ED4">
        <w:rPr>
          <w:rtl/>
        </w:rPr>
        <w:t xml:space="preserve"> היא אם </w:t>
      </w:r>
      <w:r>
        <w:rPr>
          <w:rFonts w:hint="cs"/>
          <w:rtl/>
        </w:rPr>
        <w:t xml:space="preserve">יש </w:t>
      </w:r>
      <w:r w:rsidRPr="00B25ED4">
        <w:rPr>
          <w:rtl/>
        </w:rPr>
        <w:t xml:space="preserve">להכיר באפשרות </w:t>
      </w:r>
      <w:r>
        <w:rPr>
          <w:rFonts w:hint="cs"/>
          <w:rtl/>
        </w:rPr>
        <w:t>של</w:t>
      </w:r>
      <w:r w:rsidRPr="00B25ED4">
        <w:rPr>
          <w:rtl/>
        </w:rPr>
        <w:t xml:space="preserve"> </w:t>
      </w:r>
      <w:r w:rsidRPr="00B25ED4">
        <w:rPr>
          <w:rFonts w:hint="cs"/>
          <w:rtl/>
        </w:rPr>
        <w:t>תני</w:t>
      </w:r>
      <w:r>
        <w:rPr>
          <w:rFonts w:hint="cs"/>
          <w:rtl/>
        </w:rPr>
        <w:t>ה</w:t>
      </w:r>
      <w:r w:rsidRPr="00B25ED4">
        <w:rPr>
          <w:rtl/>
        </w:rPr>
        <w:t xml:space="preserve"> </w:t>
      </w:r>
      <w:r w:rsidRPr="00B25ED4">
        <w:rPr>
          <w:rFonts w:ascii="Century" w:hAnsi="Century" w:cs="Miriam"/>
          <w:b/>
          <w:szCs w:val="24"/>
          <w:rtl/>
        </w:rPr>
        <w:t xml:space="preserve">מכללא </w:t>
      </w:r>
      <w:r w:rsidRPr="00B25ED4">
        <w:rPr>
          <w:rtl/>
        </w:rPr>
        <w:t>בהקשר זה.</w:t>
      </w:r>
    </w:p>
    <w:p w:rsidR="00FA3A86" w:rsidRPr="00B25ED4" w:rsidRDefault="00FA3A86" w:rsidP="00FA3A86">
      <w:pPr>
        <w:pStyle w:val="Ruller4"/>
        <w:numPr>
          <w:ilvl w:val="0"/>
          <w:numId w:val="0"/>
        </w:numPr>
      </w:pPr>
    </w:p>
    <w:p w:rsidR="00FA3A86" w:rsidRPr="00B25ED4" w:rsidRDefault="00FA3A86" w:rsidP="00FA3A86">
      <w:pPr>
        <w:pStyle w:val="Ruller4"/>
        <w:rPr>
          <w:rtl/>
        </w:rPr>
      </w:pPr>
      <w:r w:rsidRPr="00B25ED4">
        <w:rPr>
          <w:rFonts w:hint="cs"/>
          <w:rtl/>
        </w:rPr>
        <w:lastRenderedPageBreak/>
        <w:t xml:space="preserve">בפסקי דינם של בית הדין הרבני האזורי ובית הדין הרבני הגדול לא ניתן למצוא אינדיקציות לקיומה של תניה מכללא </w:t>
      </w:r>
      <w:r>
        <w:rPr>
          <w:rFonts w:hint="cs"/>
          <w:rtl/>
        </w:rPr>
        <w:t xml:space="preserve">כאמור בין בני הזוג. כך, לא נבחן </w:t>
      </w:r>
      <w:r w:rsidRPr="00B25ED4">
        <w:rPr>
          <w:rFonts w:hint="cs"/>
          <w:rtl/>
        </w:rPr>
        <w:t>יחסם של בני הזוג לאורך</w:t>
      </w:r>
      <w:r>
        <w:rPr>
          <w:rFonts w:hint="cs"/>
          <w:rtl/>
        </w:rPr>
        <w:t xml:space="preserve"> השנים לנושא של אי-נאמנות מינית,</w:t>
      </w:r>
      <w:r w:rsidRPr="00B25ED4">
        <w:rPr>
          <w:rFonts w:hint="cs"/>
          <w:rtl/>
        </w:rPr>
        <w:t xml:space="preserve"> לא </w:t>
      </w:r>
      <w:r>
        <w:rPr>
          <w:rFonts w:hint="cs"/>
          <w:rtl/>
        </w:rPr>
        <w:t xml:space="preserve">צוינו </w:t>
      </w:r>
      <w:r w:rsidRPr="00B25ED4">
        <w:rPr>
          <w:rFonts w:hint="cs"/>
          <w:rtl/>
        </w:rPr>
        <w:t xml:space="preserve">התבטאויות קונקרטיות של בני הזוג </w:t>
      </w:r>
      <w:r>
        <w:rPr>
          <w:rFonts w:hint="cs"/>
          <w:rtl/>
        </w:rPr>
        <w:t xml:space="preserve">במהלך נישואיהם בנוגע </w:t>
      </w:r>
      <w:r w:rsidRPr="00B25ED4">
        <w:rPr>
          <w:rFonts w:hint="cs"/>
          <w:rtl/>
        </w:rPr>
        <w:t>לשאלה אם "בגידה" עשויה להש</w:t>
      </w:r>
      <w:r>
        <w:rPr>
          <w:rFonts w:hint="cs"/>
          <w:rtl/>
        </w:rPr>
        <w:t xml:space="preserve">פיע על היחסים הזוגיים, ולא הובאו </w:t>
      </w:r>
      <w:r w:rsidRPr="00B25ED4">
        <w:rPr>
          <w:rFonts w:hint="cs"/>
          <w:rtl/>
        </w:rPr>
        <w:t xml:space="preserve">אינדיקציות לסברה שהמבקשת והמשיב הגיעו להסכמה משתמעת לפיה אי-נאמנות מינית תוביל </w:t>
      </w:r>
      <w:r>
        <w:rPr>
          <w:rFonts w:hint="cs"/>
          <w:rtl/>
        </w:rPr>
        <w:t>בהכרח</w:t>
      </w:r>
      <w:r w:rsidRPr="00B25ED4">
        <w:rPr>
          <w:rFonts w:hint="cs"/>
          <w:rtl/>
        </w:rPr>
        <w:t xml:space="preserve"> לשלילת זכויות ברכוש המשותף. </w:t>
      </w:r>
      <w:r>
        <w:rPr>
          <w:rFonts w:hint="cs"/>
          <w:rtl/>
        </w:rPr>
        <w:t xml:space="preserve">למעשה, </w:t>
      </w:r>
      <w:r w:rsidRPr="00B25ED4">
        <w:rPr>
          <w:rFonts w:hint="cs"/>
          <w:rtl/>
        </w:rPr>
        <w:t xml:space="preserve">הדיינים </w:t>
      </w:r>
      <w:r w:rsidRPr="00007314">
        <w:rPr>
          <w:rFonts w:ascii="Century" w:hAnsi="Century" w:cs="Miriam" w:hint="cs"/>
          <w:b/>
          <w:spacing w:val="0"/>
          <w:sz w:val="22"/>
          <w:szCs w:val="24"/>
          <w:rtl/>
        </w:rPr>
        <w:t>עמוס</w:t>
      </w:r>
      <w:r w:rsidRPr="00B25ED4">
        <w:rPr>
          <w:rFonts w:hint="cs"/>
          <w:rtl/>
        </w:rPr>
        <w:t xml:space="preserve"> ו</w:t>
      </w:r>
      <w:r w:rsidRPr="00007314">
        <w:rPr>
          <w:rFonts w:ascii="Century" w:hAnsi="Century" w:cs="Miriam" w:hint="cs"/>
          <w:b/>
          <w:spacing w:val="0"/>
          <w:sz w:val="22"/>
          <w:szCs w:val="24"/>
          <w:rtl/>
        </w:rPr>
        <w:t>נהרי</w:t>
      </w:r>
      <w:r w:rsidRPr="00B25ED4">
        <w:rPr>
          <w:rFonts w:hint="cs"/>
          <w:rtl/>
        </w:rPr>
        <w:t xml:space="preserve"> הסתפקו בהצהרות כלליות</w:t>
      </w:r>
      <w:r>
        <w:rPr>
          <w:rFonts w:hint="cs"/>
          <w:rtl/>
        </w:rPr>
        <w:t xml:space="preserve"> בלבד: הדיין </w:t>
      </w:r>
      <w:r w:rsidRPr="009F15F0">
        <w:rPr>
          <w:rFonts w:ascii="Century" w:hAnsi="Century" w:cs="Miriam" w:hint="eastAsia"/>
          <w:b/>
          <w:spacing w:val="0"/>
          <w:sz w:val="22"/>
          <w:szCs w:val="24"/>
          <w:rtl/>
        </w:rPr>
        <w:t>עמוס</w:t>
      </w:r>
      <w:r w:rsidRPr="00D85065">
        <w:rPr>
          <w:rFonts w:hint="cs"/>
          <w:rtl/>
        </w:rPr>
        <w:t xml:space="preserve"> </w:t>
      </w:r>
      <w:r>
        <w:rPr>
          <w:rFonts w:hint="cs"/>
          <w:rtl/>
        </w:rPr>
        <w:t xml:space="preserve">ציין כי </w:t>
      </w:r>
      <w:r w:rsidRPr="00B25ED4">
        <w:rPr>
          <w:rFonts w:hint="cs"/>
          <w:rtl/>
        </w:rPr>
        <w:t>במעשה הבגידה "יש</w:t>
      </w:r>
      <w:r w:rsidRPr="00B25ED4">
        <w:rPr>
          <w:rFonts w:hint="eastAsia"/>
          <w:rtl/>
        </w:rPr>
        <w:t xml:space="preserve"> </w:t>
      </w:r>
      <w:proofErr w:type="spellStart"/>
      <w:r w:rsidRPr="00B25ED4">
        <w:rPr>
          <w:rFonts w:hint="eastAsia"/>
          <w:rtl/>
        </w:rPr>
        <w:t>אומדנא</w:t>
      </w:r>
      <w:proofErr w:type="spellEnd"/>
      <w:r w:rsidRPr="00B25ED4">
        <w:rPr>
          <w:rtl/>
        </w:rPr>
        <w:t xml:space="preserve"> </w:t>
      </w:r>
      <w:proofErr w:type="spellStart"/>
      <w:r w:rsidRPr="00B25ED4">
        <w:rPr>
          <w:rFonts w:hint="eastAsia"/>
          <w:rtl/>
        </w:rPr>
        <w:t>דמוכח</w:t>
      </w:r>
      <w:proofErr w:type="spellEnd"/>
      <w:r w:rsidRPr="00B25ED4">
        <w:rPr>
          <w:rtl/>
        </w:rPr>
        <w:t xml:space="preserve"> </w:t>
      </w:r>
      <w:proofErr w:type="spellStart"/>
      <w:r w:rsidRPr="00B25ED4">
        <w:rPr>
          <w:rFonts w:hint="eastAsia"/>
          <w:rtl/>
        </w:rPr>
        <w:t>ואנן</w:t>
      </w:r>
      <w:proofErr w:type="spellEnd"/>
      <w:r w:rsidRPr="00B25ED4">
        <w:rPr>
          <w:rtl/>
        </w:rPr>
        <w:t xml:space="preserve"> </w:t>
      </w:r>
      <w:r w:rsidRPr="00B25ED4">
        <w:rPr>
          <w:rFonts w:hint="eastAsia"/>
          <w:rtl/>
        </w:rPr>
        <w:t>סהדי</w:t>
      </w:r>
      <w:r w:rsidRPr="00B25ED4">
        <w:rPr>
          <w:rtl/>
        </w:rPr>
        <w:t xml:space="preserve"> </w:t>
      </w:r>
      <w:r w:rsidRPr="00B25ED4">
        <w:rPr>
          <w:rFonts w:hint="eastAsia"/>
          <w:rtl/>
        </w:rPr>
        <w:t>כי</w:t>
      </w:r>
      <w:r w:rsidRPr="00B25ED4">
        <w:rPr>
          <w:rtl/>
        </w:rPr>
        <w:t xml:space="preserve"> </w:t>
      </w:r>
      <w:r w:rsidRPr="00B25ED4">
        <w:rPr>
          <w:rFonts w:hint="eastAsia"/>
          <w:rtl/>
        </w:rPr>
        <w:t>לא</w:t>
      </w:r>
      <w:r w:rsidRPr="00B25ED4">
        <w:rPr>
          <w:rtl/>
        </w:rPr>
        <w:t xml:space="preserve"> </w:t>
      </w:r>
      <w:r w:rsidRPr="00B25ED4">
        <w:rPr>
          <w:rFonts w:hint="eastAsia"/>
          <w:rtl/>
        </w:rPr>
        <w:t>הייתה</w:t>
      </w:r>
      <w:r w:rsidRPr="00B25ED4">
        <w:rPr>
          <w:rtl/>
        </w:rPr>
        <w:t xml:space="preserve"> </w:t>
      </w:r>
      <w:r w:rsidRPr="00B25ED4">
        <w:rPr>
          <w:rFonts w:hint="eastAsia"/>
          <w:rtl/>
        </w:rPr>
        <w:t>לו</w:t>
      </w:r>
      <w:r w:rsidRPr="00B25ED4">
        <w:rPr>
          <w:rtl/>
        </w:rPr>
        <w:t xml:space="preserve"> </w:t>
      </w:r>
      <w:r w:rsidRPr="00B25ED4">
        <w:rPr>
          <w:rFonts w:hint="eastAsia"/>
          <w:rtl/>
        </w:rPr>
        <w:t>כל</w:t>
      </w:r>
      <w:r w:rsidRPr="00B25ED4">
        <w:rPr>
          <w:rtl/>
        </w:rPr>
        <w:t xml:space="preserve"> </w:t>
      </w:r>
      <w:r w:rsidRPr="00B25ED4">
        <w:rPr>
          <w:rFonts w:hint="eastAsia"/>
          <w:rtl/>
        </w:rPr>
        <w:t>כוונה</w:t>
      </w:r>
      <w:r w:rsidRPr="00B25ED4">
        <w:rPr>
          <w:rtl/>
        </w:rPr>
        <w:t xml:space="preserve"> </w:t>
      </w:r>
      <w:r w:rsidRPr="00B25ED4">
        <w:rPr>
          <w:rFonts w:hint="eastAsia"/>
          <w:rtl/>
        </w:rPr>
        <w:t>לשתף</w:t>
      </w:r>
      <w:r w:rsidRPr="00B25ED4">
        <w:rPr>
          <w:rtl/>
        </w:rPr>
        <w:t xml:space="preserve"> </w:t>
      </w:r>
      <w:r w:rsidRPr="00B25ED4">
        <w:rPr>
          <w:rFonts w:hint="eastAsia"/>
          <w:rtl/>
        </w:rPr>
        <w:t>בנכסים</w:t>
      </w:r>
      <w:r w:rsidRPr="00B25ED4">
        <w:rPr>
          <w:rtl/>
        </w:rPr>
        <w:t xml:space="preserve"> </w:t>
      </w:r>
      <w:r w:rsidRPr="00B25ED4">
        <w:rPr>
          <w:rFonts w:hint="eastAsia"/>
          <w:rtl/>
        </w:rPr>
        <w:t>שעל</w:t>
      </w:r>
      <w:r w:rsidRPr="00B25ED4">
        <w:rPr>
          <w:rtl/>
        </w:rPr>
        <w:t xml:space="preserve"> </w:t>
      </w:r>
      <w:r w:rsidRPr="00B25ED4">
        <w:rPr>
          <w:rFonts w:hint="eastAsia"/>
          <w:rtl/>
        </w:rPr>
        <w:t>שמו</w:t>
      </w:r>
      <w:r w:rsidRPr="00B25ED4">
        <w:rPr>
          <w:rtl/>
        </w:rPr>
        <w:t xml:space="preserve"> </w:t>
      </w:r>
      <w:r w:rsidRPr="00B25ED4">
        <w:rPr>
          <w:rFonts w:hint="eastAsia"/>
          <w:rtl/>
        </w:rPr>
        <w:t>בלבד</w:t>
      </w:r>
      <w:r w:rsidRPr="00B25ED4">
        <w:rPr>
          <w:rtl/>
        </w:rPr>
        <w:t xml:space="preserve"> </w:t>
      </w:r>
      <w:r w:rsidRPr="00B25ED4">
        <w:rPr>
          <w:rFonts w:hint="eastAsia"/>
          <w:rtl/>
        </w:rPr>
        <w:t>את</w:t>
      </w:r>
      <w:r w:rsidRPr="00B25ED4">
        <w:rPr>
          <w:rtl/>
        </w:rPr>
        <w:t xml:space="preserve"> </w:t>
      </w:r>
      <w:r w:rsidRPr="00B25ED4">
        <w:rPr>
          <w:rFonts w:hint="eastAsia"/>
          <w:rtl/>
        </w:rPr>
        <w:t>הפוגע</w:t>
      </w:r>
      <w:r w:rsidRPr="00B25ED4">
        <w:rPr>
          <w:rtl/>
        </w:rPr>
        <w:t xml:space="preserve"> </w:t>
      </w:r>
      <w:r w:rsidRPr="00B25ED4">
        <w:rPr>
          <w:rFonts w:hint="eastAsia"/>
          <w:rtl/>
        </w:rPr>
        <w:t>ההורס</w:t>
      </w:r>
      <w:r w:rsidRPr="00B25ED4">
        <w:rPr>
          <w:rtl/>
        </w:rPr>
        <w:t xml:space="preserve"> </w:t>
      </w:r>
      <w:r w:rsidRPr="00B25ED4">
        <w:rPr>
          <w:rFonts w:hint="eastAsia"/>
          <w:rtl/>
        </w:rPr>
        <w:t>ומקעקע</w:t>
      </w:r>
      <w:r w:rsidRPr="00B25ED4">
        <w:rPr>
          <w:rtl/>
        </w:rPr>
        <w:t xml:space="preserve"> </w:t>
      </w:r>
      <w:r w:rsidRPr="00B25ED4">
        <w:rPr>
          <w:rFonts w:hint="eastAsia"/>
          <w:rtl/>
        </w:rPr>
        <w:t>את</w:t>
      </w:r>
      <w:r w:rsidRPr="00B25ED4">
        <w:rPr>
          <w:rtl/>
        </w:rPr>
        <w:t xml:space="preserve"> </w:t>
      </w:r>
      <w:r w:rsidRPr="00B25ED4">
        <w:rPr>
          <w:rFonts w:hint="eastAsia"/>
          <w:rtl/>
        </w:rPr>
        <w:t>כל</w:t>
      </w:r>
      <w:r w:rsidRPr="00B25ED4">
        <w:rPr>
          <w:rtl/>
        </w:rPr>
        <w:t xml:space="preserve"> </w:t>
      </w:r>
      <w:r w:rsidRPr="00B25ED4">
        <w:rPr>
          <w:rFonts w:hint="eastAsia"/>
          <w:rtl/>
        </w:rPr>
        <w:t>חיי</w:t>
      </w:r>
      <w:r w:rsidRPr="00B25ED4">
        <w:rPr>
          <w:rtl/>
        </w:rPr>
        <w:t xml:space="preserve"> </w:t>
      </w:r>
      <w:r w:rsidRPr="00B25ED4">
        <w:rPr>
          <w:rFonts w:hint="eastAsia"/>
          <w:rtl/>
        </w:rPr>
        <w:t>המשפחה</w:t>
      </w:r>
      <w:r w:rsidRPr="00B25ED4">
        <w:rPr>
          <w:rFonts w:hint="cs"/>
          <w:rtl/>
        </w:rPr>
        <w:t>"</w:t>
      </w:r>
      <w:r>
        <w:rPr>
          <w:rFonts w:hint="cs"/>
          <w:rtl/>
        </w:rPr>
        <w:t>, ו"</w:t>
      </w:r>
      <w:r w:rsidRPr="00FE07E4">
        <w:rPr>
          <w:rFonts w:hint="eastAsia"/>
          <w:rtl/>
        </w:rPr>
        <w:t>אפשר</w:t>
      </w:r>
      <w:r w:rsidRPr="00FE07E4">
        <w:rPr>
          <w:rtl/>
        </w:rPr>
        <w:t xml:space="preserve"> </w:t>
      </w:r>
      <w:r w:rsidRPr="00FE07E4">
        <w:rPr>
          <w:rFonts w:hint="eastAsia"/>
          <w:rtl/>
        </w:rPr>
        <w:t>כי</w:t>
      </w:r>
      <w:r w:rsidRPr="00FE07E4">
        <w:rPr>
          <w:rtl/>
        </w:rPr>
        <w:t xml:space="preserve"> </w:t>
      </w:r>
      <w:r w:rsidRPr="00FE07E4">
        <w:rPr>
          <w:rFonts w:hint="eastAsia"/>
          <w:rtl/>
        </w:rPr>
        <w:t>כל</w:t>
      </w:r>
      <w:r w:rsidRPr="00FE07E4">
        <w:rPr>
          <w:rtl/>
        </w:rPr>
        <w:t xml:space="preserve"> </w:t>
      </w:r>
      <w:r w:rsidRPr="00FE07E4">
        <w:rPr>
          <w:rFonts w:hint="eastAsia"/>
          <w:rtl/>
        </w:rPr>
        <w:t>אחד</w:t>
      </w:r>
      <w:r w:rsidRPr="00FE07E4">
        <w:rPr>
          <w:rtl/>
        </w:rPr>
        <w:t xml:space="preserve"> </w:t>
      </w:r>
      <w:r w:rsidRPr="00FE07E4">
        <w:rPr>
          <w:rFonts w:hint="eastAsia"/>
          <w:rtl/>
        </w:rPr>
        <w:t>אכן</w:t>
      </w:r>
      <w:r w:rsidRPr="00FE07E4">
        <w:rPr>
          <w:rtl/>
        </w:rPr>
        <w:t xml:space="preserve"> </w:t>
      </w:r>
      <w:r w:rsidRPr="00FE07E4">
        <w:rPr>
          <w:rFonts w:hint="eastAsia"/>
          <w:rtl/>
        </w:rPr>
        <w:t>מוכן</w:t>
      </w:r>
      <w:r w:rsidRPr="00FE07E4">
        <w:rPr>
          <w:rtl/>
        </w:rPr>
        <w:t xml:space="preserve"> </w:t>
      </w:r>
      <w:r w:rsidRPr="00FE07E4">
        <w:rPr>
          <w:rFonts w:hint="eastAsia"/>
          <w:rtl/>
        </w:rPr>
        <w:t>לשיתוף</w:t>
      </w:r>
      <w:r w:rsidRPr="00FE07E4">
        <w:rPr>
          <w:rtl/>
        </w:rPr>
        <w:t xml:space="preserve">, </w:t>
      </w:r>
      <w:r w:rsidRPr="00FE07E4">
        <w:rPr>
          <w:rFonts w:hint="eastAsia"/>
          <w:rtl/>
        </w:rPr>
        <w:t>אך</w:t>
      </w:r>
      <w:r w:rsidRPr="00FE07E4">
        <w:rPr>
          <w:rtl/>
        </w:rPr>
        <w:t xml:space="preserve"> </w:t>
      </w:r>
      <w:r w:rsidRPr="00FE07E4">
        <w:rPr>
          <w:rFonts w:hint="eastAsia"/>
          <w:rtl/>
        </w:rPr>
        <w:t>זאת</w:t>
      </w:r>
      <w:r w:rsidRPr="00FE07E4">
        <w:rPr>
          <w:rtl/>
        </w:rPr>
        <w:t xml:space="preserve"> </w:t>
      </w:r>
      <w:r w:rsidRPr="00FE07E4">
        <w:rPr>
          <w:rFonts w:hint="eastAsia"/>
          <w:rtl/>
        </w:rPr>
        <w:t>בתנאי</w:t>
      </w:r>
      <w:r w:rsidRPr="00FE07E4">
        <w:rPr>
          <w:rtl/>
        </w:rPr>
        <w:t xml:space="preserve"> </w:t>
      </w:r>
      <w:r w:rsidRPr="00FE07E4">
        <w:rPr>
          <w:rFonts w:hint="eastAsia"/>
          <w:rtl/>
        </w:rPr>
        <w:t>כי</w:t>
      </w:r>
      <w:r w:rsidRPr="00FE07E4">
        <w:rPr>
          <w:rtl/>
        </w:rPr>
        <w:t xml:space="preserve"> </w:t>
      </w:r>
      <w:r w:rsidRPr="00FE07E4">
        <w:rPr>
          <w:rFonts w:hint="eastAsia"/>
          <w:rtl/>
        </w:rPr>
        <w:t>אכן</w:t>
      </w:r>
      <w:r w:rsidRPr="00FE07E4">
        <w:rPr>
          <w:rtl/>
        </w:rPr>
        <w:t xml:space="preserve"> </w:t>
      </w:r>
      <w:r w:rsidRPr="00FE07E4">
        <w:rPr>
          <w:rFonts w:hint="eastAsia"/>
          <w:rtl/>
        </w:rPr>
        <w:t>הצד</w:t>
      </w:r>
      <w:r w:rsidRPr="00FE07E4">
        <w:rPr>
          <w:rtl/>
        </w:rPr>
        <w:t xml:space="preserve"> </w:t>
      </w:r>
      <w:r w:rsidRPr="00FE07E4">
        <w:rPr>
          <w:rFonts w:hint="eastAsia"/>
          <w:rtl/>
        </w:rPr>
        <w:t>שכנגד</w:t>
      </w:r>
      <w:r w:rsidRPr="00FE07E4">
        <w:rPr>
          <w:rtl/>
        </w:rPr>
        <w:t xml:space="preserve"> </w:t>
      </w:r>
      <w:r w:rsidRPr="00FE07E4">
        <w:rPr>
          <w:rFonts w:hint="eastAsia"/>
          <w:rtl/>
        </w:rPr>
        <w:t>פועל</w:t>
      </w:r>
      <w:r w:rsidRPr="00FE07E4">
        <w:rPr>
          <w:rtl/>
        </w:rPr>
        <w:t xml:space="preserve"> </w:t>
      </w:r>
      <w:r w:rsidRPr="00FE07E4">
        <w:rPr>
          <w:rFonts w:hint="eastAsia"/>
          <w:rtl/>
        </w:rPr>
        <w:t>בתום</w:t>
      </w:r>
      <w:r w:rsidRPr="00FE07E4">
        <w:rPr>
          <w:rtl/>
        </w:rPr>
        <w:t xml:space="preserve"> </w:t>
      </w:r>
      <w:r w:rsidRPr="00FE07E4">
        <w:rPr>
          <w:rFonts w:hint="eastAsia"/>
          <w:rtl/>
        </w:rPr>
        <w:t>לב</w:t>
      </w:r>
      <w:r w:rsidRPr="00FE07E4">
        <w:rPr>
          <w:rtl/>
        </w:rPr>
        <w:t xml:space="preserve"> </w:t>
      </w:r>
      <w:r w:rsidRPr="00FE07E4">
        <w:rPr>
          <w:rFonts w:hint="eastAsia"/>
          <w:rtl/>
        </w:rPr>
        <w:t>וכוונתו</w:t>
      </w:r>
      <w:r w:rsidRPr="00FE07E4">
        <w:rPr>
          <w:rtl/>
        </w:rPr>
        <w:t xml:space="preserve"> </w:t>
      </w:r>
      <w:r w:rsidRPr="00FE07E4">
        <w:rPr>
          <w:rFonts w:hint="eastAsia"/>
          <w:rtl/>
        </w:rPr>
        <w:t>גם</w:t>
      </w:r>
      <w:r w:rsidRPr="00FE07E4">
        <w:rPr>
          <w:rtl/>
        </w:rPr>
        <w:t xml:space="preserve"> </w:t>
      </w:r>
      <w:r w:rsidRPr="00FE07E4">
        <w:rPr>
          <w:rFonts w:hint="eastAsia"/>
          <w:rtl/>
        </w:rPr>
        <w:t>כן</w:t>
      </w:r>
      <w:r w:rsidRPr="00FE07E4">
        <w:rPr>
          <w:rtl/>
        </w:rPr>
        <w:t xml:space="preserve"> </w:t>
      </w:r>
      <w:r w:rsidRPr="00FE07E4">
        <w:rPr>
          <w:rFonts w:hint="eastAsia"/>
          <w:rtl/>
        </w:rPr>
        <w:t>להמשיך</w:t>
      </w:r>
      <w:r w:rsidRPr="00FE07E4">
        <w:rPr>
          <w:rtl/>
        </w:rPr>
        <w:t xml:space="preserve"> </w:t>
      </w:r>
      <w:r w:rsidRPr="00FE07E4">
        <w:rPr>
          <w:rFonts w:hint="eastAsia"/>
          <w:rtl/>
        </w:rPr>
        <w:t>לבנות</w:t>
      </w:r>
      <w:r w:rsidRPr="00FE07E4">
        <w:rPr>
          <w:rtl/>
        </w:rPr>
        <w:t xml:space="preserve"> </w:t>
      </w:r>
      <w:r w:rsidRPr="00FE07E4">
        <w:rPr>
          <w:rFonts w:hint="eastAsia"/>
          <w:rtl/>
        </w:rPr>
        <w:t>את</w:t>
      </w:r>
      <w:r w:rsidRPr="00FE07E4">
        <w:rPr>
          <w:rtl/>
        </w:rPr>
        <w:t xml:space="preserve"> </w:t>
      </w:r>
      <w:r w:rsidRPr="00FE07E4">
        <w:rPr>
          <w:rFonts w:hint="eastAsia"/>
          <w:rtl/>
        </w:rPr>
        <w:t>הקן</w:t>
      </w:r>
      <w:r w:rsidRPr="00FE07E4">
        <w:rPr>
          <w:rtl/>
        </w:rPr>
        <w:t xml:space="preserve"> </w:t>
      </w:r>
      <w:r w:rsidRPr="00FE07E4">
        <w:rPr>
          <w:rFonts w:hint="eastAsia"/>
          <w:rtl/>
        </w:rPr>
        <w:t>והמסגרת</w:t>
      </w:r>
      <w:r w:rsidRPr="00FE07E4">
        <w:rPr>
          <w:rtl/>
        </w:rPr>
        <w:t xml:space="preserve"> </w:t>
      </w:r>
      <w:r w:rsidRPr="00FE07E4">
        <w:rPr>
          <w:rFonts w:hint="eastAsia"/>
          <w:rtl/>
        </w:rPr>
        <w:t>המשפחתית</w:t>
      </w:r>
      <w:r>
        <w:rPr>
          <w:rFonts w:hint="cs"/>
          <w:rtl/>
        </w:rPr>
        <w:t>";</w:t>
      </w:r>
      <w:r w:rsidRPr="00B25ED4">
        <w:rPr>
          <w:rFonts w:hint="cs"/>
          <w:rtl/>
        </w:rPr>
        <w:t xml:space="preserve"> </w:t>
      </w:r>
      <w:r>
        <w:rPr>
          <w:rFonts w:hint="cs"/>
          <w:rtl/>
        </w:rPr>
        <w:t xml:space="preserve">והדיין </w:t>
      </w:r>
      <w:r w:rsidRPr="009F15F0">
        <w:rPr>
          <w:rFonts w:ascii="Century" w:hAnsi="Century" w:cs="Miriam" w:hint="eastAsia"/>
          <w:b/>
          <w:spacing w:val="0"/>
          <w:sz w:val="22"/>
          <w:szCs w:val="24"/>
          <w:rtl/>
        </w:rPr>
        <w:t>נהרי</w:t>
      </w:r>
      <w:r w:rsidRPr="00D85065">
        <w:rPr>
          <w:rFonts w:hint="cs"/>
          <w:rtl/>
        </w:rPr>
        <w:t xml:space="preserve"> </w:t>
      </w:r>
      <w:r>
        <w:rPr>
          <w:rFonts w:hint="cs"/>
          <w:rtl/>
        </w:rPr>
        <w:t xml:space="preserve">הדגיש כי </w:t>
      </w:r>
      <w:r w:rsidRPr="00B25ED4">
        <w:rPr>
          <w:rFonts w:hint="cs"/>
          <w:rtl/>
        </w:rPr>
        <w:t>"</w:t>
      </w:r>
      <w:r w:rsidRPr="00B25ED4">
        <w:rPr>
          <w:rFonts w:hint="eastAsia"/>
          <w:rtl/>
        </w:rPr>
        <w:t>הדעת</w:t>
      </w:r>
      <w:r w:rsidRPr="00B25ED4">
        <w:rPr>
          <w:rtl/>
        </w:rPr>
        <w:t xml:space="preserve"> </w:t>
      </w:r>
      <w:r w:rsidRPr="00B25ED4">
        <w:rPr>
          <w:rFonts w:hint="eastAsia"/>
          <w:rtl/>
        </w:rPr>
        <w:t>נוטה</w:t>
      </w:r>
      <w:r w:rsidRPr="00B25ED4">
        <w:rPr>
          <w:rtl/>
        </w:rPr>
        <w:t xml:space="preserve"> </w:t>
      </w:r>
      <w:r w:rsidRPr="00B25ED4">
        <w:rPr>
          <w:rFonts w:hint="eastAsia"/>
          <w:rtl/>
        </w:rPr>
        <w:t>שאין</w:t>
      </w:r>
      <w:r w:rsidRPr="00B25ED4">
        <w:rPr>
          <w:rtl/>
        </w:rPr>
        <w:t xml:space="preserve"> </w:t>
      </w:r>
      <w:r w:rsidRPr="00B25ED4">
        <w:rPr>
          <w:rFonts w:hint="eastAsia"/>
          <w:rtl/>
        </w:rPr>
        <w:t>כוונת</w:t>
      </w:r>
      <w:r w:rsidRPr="00B25ED4">
        <w:rPr>
          <w:rtl/>
        </w:rPr>
        <w:t xml:space="preserve"> </w:t>
      </w:r>
      <w:r w:rsidRPr="00B25ED4">
        <w:rPr>
          <w:rFonts w:hint="eastAsia"/>
          <w:rtl/>
        </w:rPr>
        <w:t>שיתוף</w:t>
      </w:r>
      <w:r w:rsidRPr="00B25ED4">
        <w:rPr>
          <w:rtl/>
        </w:rPr>
        <w:t xml:space="preserve"> </w:t>
      </w:r>
      <w:r w:rsidRPr="00B25ED4">
        <w:rPr>
          <w:rFonts w:hint="eastAsia"/>
          <w:rtl/>
        </w:rPr>
        <w:t>למי</w:t>
      </w:r>
      <w:r w:rsidRPr="00B25ED4">
        <w:rPr>
          <w:rtl/>
        </w:rPr>
        <w:t xml:space="preserve"> </w:t>
      </w:r>
      <w:r w:rsidRPr="00B25ED4">
        <w:rPr>
          <w:rFonts w:hint="eastAsia"/>
          <w:rtl/>
        </w:rPr>
        <w:t>שבגד</w:t>
      </w:r>
      <w:r w:rsidRPr="00B25ED4">
        <w:rPr>
          <w:rtl/>
        </w:rPr>
        <w:t xml:space="preserve"> </w:t>
      </w:r>
      <w:r w:rsidRPr="00B25ED4">
        <w:rPr>
          <w:rFonts w:hint="eastAsia"/>
          <w:rtl/>
        </w:rPr>
        <w:t>במערכת</w:t>
      </w:r>
      <w:r w:rsidRPr="00B25ED4">
        <w:rPr>
          <w:rtl/>
        </w:rPr>
        <w:t xml:space="preserve"> </w:t>
      </w:r>
      <w:r w:rsidRPr="00B25ED4">
        <w:rPr>
          <w:rFonts w:hint="eastAsia"/>
          <w:rtl/>
        </w:rPr>
        <w:t>הנישואין</w:t>
      </w:r>
      <w:r w:rsidRPr="00B25ED4">
        <w:rPr>
          <w:rFonts w:hint="cs"/>
          <w:rtl/>
        </w:rPr>
        <w:t>"</w:t>
      </w:r>
      <w:r>
        <w:rPr>
          <w:rFonts w:hint="cs"/>
          <w:rtl/>
        </w:rPr>
        <w:t xml:space="preserve">.  במילים אחרות, בשונה מהעמדה שהציג חברי השופט </w:t>
      </w:r>
      <w:r w:rsidRPr="00C57004">
        <w:rPr>
          <w:rFonts w:ascii="Miriam" w:hAnsi="Miriam" w:cs="Miriam" w:hint="eastAsia"/>
          <w:szCs w:val="24"/>
          <w:rtl/>
        </w:rPr>
        <w:t>שטיין</w:t>
      </w:r>
      <w:r>
        <w:rPr>
          <w:rFonts w:hint="cs"/>
          <w:rtl/>
        </w:rPr>
        <w:t xml:space="preserve">, דומה כי לגישת הדיינים יש לקרוא תניה מכללא כזו כתניה הנטועה וקיימת בכל מערכת יחסים של בני זוג הנשואים זה לזו.  </w:t>
      </w:r>
    </w:p>
    <w:p w:rsidR="00FA3A86" w:rsidRPr="00B25ED4" w:rsidRDefault="00FA3A86" w:rsidP="00FA3A86">
      <w:pPr>
        <w:pStyle w:val="Ruller4"/>
        <w:numPr>
          <w:ilvl w:val="0"/>
          <w:numId w:val="0"/>
        </w:numPr>
        <w:rPr>
          <w:rtl/>
        </w:rPr>
      </w:pPr>
    </w:p>
    <w:p w:rsidR="00FA3A86" w:rsidRPr="00B25ED4" w:rsidRDefault="00FA3A86" w:rsidP="00FA3A86">
      <w:pPr>
        <w:pStyle w:val="Ruller4"/>
        <w:rPr>
          <w:rtl/>
        </w:rPr>
      </w:pPr>
      <w:r w:rsidRPr="00B25ED4">
        <w:rPr>
          <w:rFonts w:hint="cs"/>
          <w:rtl/>
        </w:rPr>
        <w:t xml:space="preserve">לעמדתי קיימים טעמים כבדי-משקל נגד ההכרה באפשרות קיומה של תניה מכללא </w:t>
      </w:r>
      <w:r>
        <w:rPr>
          <w:rFonts w:hint="cs"/>
          <w:rtl/>
        </w:rPr>
        <w:t xml:space="preserve">כזו או אחרת </w:t>
      </w:r>
      <w:r w:rsidRPr="00B25ED4">
        <w:rPr>
          <w:rFonts w:hint="cs"/>
          <w:rtl/>
        </w:rPr>
        <w:t>בין בני זוג</w:t>
      </w:r>
      <w:r>
        <w:rPr>
          <w:rFonts w:hint="cs"/>
          <w:rtl/>
        </w:rPr>
        <w:t>,</w:t>
      </w:r>
      <w:r w:rsidRPr="00B25ED4">
        <w:rPr>
          <w:rFonts w:hint="cs"/>
          <w:rtl/>
        </w:rPr>
        <w:t xml:space="preserve"> </w:t>
      </w:r>
      <w:r>
        <w:rPr>
          <w:rFonts w:hint="cs"/>
          <w:rtl/>
        </w:rPr>
        <w:t>אשר בהתקיימה היא שוללת את זכויותיו של אחד מהם</w:t>
      </w:r>
      <w:r w:rsidRPr="00B25ED4">
        <w:rPr>
          <w:rFonts w:hint="cs"/>
          <w:rtl/>
        </w:rPr>
        <w:t xml:space="preserve"> ברכוש הזוגי</w:t>
      </w:r>
      <w:r>
        <w:rPr>
          <w:rFonts w:hint="cs"/>
          <w:rtl/>
        </w:rPr>
        <w:t xml:space="preserve">. </w:t>
      </w:r>
      <w:r w:rsidRPr="00B25ED4">
        <w:rPr>
          <w:rtl/>
        </w:rPr>
        <w:t xml:space="preserve"> </w:t>
      </w:r>
      <w:r w:rsidRPr="00B25ED4">
        <w:rPr>
          <w:rFonts w:hint="cs"/>
          <w:rtl/>
        </w:rPr>
        <w:t xml:space="preserve">כידוע, </w:t>
      </w:r>
      <w:r w:rsidRPr="00B25ED4">
        <w:rPr>
          <w:rtl/>
        </w:rPr>
        <w:t xml:space="preserve">דוקטרינת </w:t>
      </w:r>
      <w:r w:rsidRPr="00B25ED4">
        <w:rPr>
          <w:rFonts w:hint="cs"/>
          <w:rtl/>
        </w:rPr>
        <w:t>התניות</w:t>
      </w:r>
      <w:r w:rsidRPr="00B25ED4">
        <w:rPr>
          <w:rtl/>
        </w:rPr>
        <w:t xml:space="preserve"> מכללא </w:t>
      </w:r>
      <w:r w:rsidRPr="00B25ED4">
        <w:rPr>
          <w:rFonts w:hint="cs"/>
          <w:rtl/>
        </w:rPr>
        <w:t xml:space="preserve">בחוזה </w:t>
      </w:r>
      <w:r w:rsidRPr="00B25ED4">
        <w:rPr>
          <w:rtl/>
        </w:rPr>
        <w:t xml:space="preserve">איבדה </w:t>
      </w:r>
      <w:r w:rsidRPr="00B25ED4">
        <w:rPr>
          <w:rFonts w:hint="cs"/>
          <w:rtl/>
        </w:rPr>
        <w:t xml:space="preserve">זה מכבר </w:t>
      </w:r>
      <w:r w:rsidRPr="00B25ED4">
        <w:rPr>
          <w:rtl/>
        </w:rPr>
        <w:t>אחיזה במשפטנו והוחלפה בעיקרון תום הלב</w:t>
      </w:r>
      <w:r w:rsidRPr="00B25ED4">
        <w:rPr>
          <w:rFonts w:hint="cs"/>
          <w:rtl/>
        </w:rPr>
        <w:t>, המשמש כעיקרון-על החולש</w:t>
      </w:r>
      <w:r w:rsidRPr="00B25ED4">
        <w:rPr>
          <w:rtl/>
        </w:rPr>
        <w:t xml:space="preserve"> על מערכות יחסים חוזיות</w:t>
      </w:r>
      <w:r w:rsidRPr="00B25ED4">
        <w:rPr>
          <w:rFonts w:hint="cs"/>
          <w:rtl/>
        </w:rPr>
        <w:t xml:space="preserve"> </w:t>
      </w:r>
      <w:r>
        <w:rPr>
          <w:rFonts w:hint="cs"/>
          <w:rtl/>
        </w:rPr>
        <w:t xml:space="preserve">וכן, בשינויים המחויבים, על פעולות משפטיות שאינן בבחינת חוזה ועל חיובים שאינם נובעים מחוזה </w:t>
      </w:r>
      <w:r w:rsidRPr="00B25ED4">
        <w:rPr>
          <w:rFonts w:hint="cs"/>
          <w:rtl/>
        </w:rPr>
        <w:t>(</w:t>
      </w:r>
      <w:r>
        <w:rPr>
          <w:rFonts w:hint="cs"/>
          <w:rtl/>
        </w:rPr>
        <w:t>סעיף 61 לחוק החוזים (חלק כללי);</w:t>
      </w:r>
      <w:r w:rsidRPr="00DE6004">
        <w:rPr>
          <w:rFonts w:ascii="Century" w:hAnsi="Century" w:cs="Miriam"/>
          <w:spacing w:val="0"/>
          <w:sz w:val="22"/>
          <w:szCs w:val="24"/>
        </w:rPr>
        <w:t> </w:t>
      </w:r>
      <w:r w:rsidRPr="009F15F0">
        <w:rPr>
          <w:rFonts w:hint="eastAsia"/>
          <w:rtl/>
        </w:rPr>
        <w:t>רע</w:t>
      </w:r>
      <w:r w:rsidRPr="009F15F0">
        <w:rPr>
          <w:rtl/>
        </w:rPr>
        <w:t>"</w:t>
      </w:r>
      <w:r w:rsidRPr="009F15F0">
        <w:rPr>
          <w:rFonts w:hint="eastAsia"/>
          <w:rtl/>
        </w:rPr>
        <w:t>א</w:t>
      </w:r>
      <w:r w:rsidRPr="009F15F0">
        <w:rPr>
          <w:rtl/>
        </w:rPr>
        <w:t xml:space="preserve"> 8256</w:t>
      </w:r>
      <w:r>
        <w:rPr>
          <w:rFonts w:hint="cs"/>
          <w:rtl/>
        </w:rPr>
        <w:t>/</w:t>
      </w:r>
      <w:r w:rsidRPr="009F15F0">
        <w:rPr>
          <w:rtl/>
        </w:rPr>
        <w:t>99 </w:t>
      </w:r>
      <w:r w:rsidRPr="00C21941">
        <w:rPr>
          <w:rFonts w:ascii="Century" w:hAnsi="Century" w:cs="Miriam" w:hint="eastAsia"/>
          <w:b/>
          <w:spacing w:val="0"/>
          <w:sz w:val="22"/>
          <w:szCs w:val="24"/>
          <w:rtl/>
        </w:rPr>
        <w:t>פלונית</w:t>
      </w:r>
      <w:r w:rsidRPr="00C21941">
        <w:rPr>
          <w:rFonts w:ascii="Century" w:hAnsi="Century" w:cs="Miriam"/>
          <w:b/>
          <w:spacing w:val="0"/>
          <w:sz w:val="22"/>
          <w:szCs w:val="24"/>
          <w:rtl/>
        </w:rPr>
        <w:t> </w:t>
      </w:r>
      <w:r w:rsidRPr="00C21941">
        <w:rPr>
          <w:rFonts w:ascii="Century" w:hAnsi="Century" w:cs="Miriam" w:hint="eastAsia"/>
          <w:b/>
          <w:spacing w:val="0"/>
          <w:sz w:val="22"/>
          <w:szCs w:val="24"/>
          <w:rtl/>
        </w:rPr>
        <w:t>נ</w:t>
      </w:r>
      <w:r w:rsidRPr="00C21941">
        <w:rPr>
          <w:rFonts w:ascii="Century" w:hAnsi="Century" w:cs="Miriam" w:hint="cs"/>
          <w:b/>
          <w:spacing w:val="0"/>
          <w:sz w:val="22"/>
          <w:szCs w:val="24"/>
          <w:rtl/>
        </w:rPr>
        <w:t xml:space="preserve">' </w:t>
      </w:r>
      <w:r w:rsidRPr="00C21941">
        <w:rPr>
          <w:rFonts w:ascii="Century" w:hAnsi="Century" w:cs="Miriam" w:hint="eastAsia"/>
          <w:b/>
          <w:spacing w:val="0"/>
          <w:sz w:val="22"/>
          <w:szCs w:val="24"/>
          <w:rtl/>
        </w:rPr>
        <w:t>פלוני</w:t>
      </w:r>
      <w:r>
        <w:rPr>
          <w:rFonts w:hint="cs"/>
          <w:rtl/>
        </w:rPr>
        <w:t xml:space="preserve">, </w:t>
      </w:r>
      <w:r w:rsidRPr="009F15F0">
        <w:rPr>
          <w:rFonts w:hint="eastAsia"/>
          <w:rtl/>
        </w:rPr>
        <w:t>פ</w:t>
      </w:r>
      <w:r w:rsidRPr="009F15F0">
        <w:rPr>
          <w:rtl/>
        </w:rPr>
        <w:t>"</w:t>
      </w:r>
      <w:r w:rsidRPr="009F15F0">
        <w:rPr>
          <w:rFonts w:hint="eastAsia"/>
          <w:rtl/>
        </w:rPr>
        <w:t>ד</w:t>
      </w:r>
      <w:r w:rsidRPr="009F15F0">
        <w:rPr>
          <w:rtl/>
        </w:rPr>
        <w:t xml:space="preserve"> </w:t>
      </w:r>
      <w:r w:rsidRPr="009F15F0">
        <w:rPr>
          <w:rFonts w:hint="eastAsia"/>
          <w:rtl/>
        </w:rPr>
        <w:t>נח</w:t>
      </w:r>
      <w:r w:rsidRPr="009F15F0">
        <w:rPr>
          <w:rtl/>
        </w:rPr>
        <w:t>(2) 213</w:t>
      </w:r>
      <w:r>
        <w:rPr>
          <w:rFonts w:hint="cs"/>
          <w:rtl/>
        </w:rPr>
        <w:t>, 232 (2003);</w:t>
      </w:r>
      <w:r>
        <w:rPr>
          <w:rFonts w:ascii="Century" w:hAnsi="Century" w:cs="Miriam" w:hint="cs"/>
          <w:spacing w:val="0"/>
          <w:sz w:val="22"/>
          <w:szCs w:val="24"/>
          <w:rtl/>
        </w:rPr>
        <w:t xml:space="preserve"> </w:t>
      </w:r>
      <w:r w:rsidRPr="009F15F0">
        <w:rPr>
          <w:rFonts w:ascii="Century" w:hAnsi="Century" w:cs="Miriam" w:hint="eastAsia"/>
          <w:b/>
          <w:spacing w:val="0"/>
          <w:sz w:val="22"/>
          <w:szCs w:val="24"/>
          <w:rtl/>
        </w:rPr>
        <w:t>שלו</w:t>
      </w:r>
      <w:r w:rsidRPr="009F15F0">
        <w:rPr>
          <w:rFonts w:ascii="Century" w:hAnsi="Century" w:cs="Miriam"/>
          <w:b/>
          <w:spacing w:val="0"/>
          <w:sz w:val="22"/>
          <w:szCs w:val="24"/>
          <w:rtl/>
        </w:rPr>
        <w:t xml:space="preserve"> </w:t>
      </w:r>
      <w:r w:rsidRPr="009F15F0">
        <w:rPr>
          <w:rFonts w:ascii="Century" w:hAnsi="Century" w:cs="Miriam" w:hint="eastAsia"/>
          <w:b/>
          <w:spacing w:val="0"/>
          <w:sz w:val="22"/>
          <w:szCs w:val="24"/>
          <w:rtl/>
        </w:rPr>
        <w:t>וצמח</w:t>
      </w:r>
      <w:r>
        <w:rPr>
          <w:rFonts w:hint="cs"/>
          <w:rtl/>
        </w:rPr>
        <w:t xml:space="preserve">, בעמ' </w:t>
      </w:r>
      <w:r w:rsidRPr="00B25ED4">
        <w:rPr>
          <w:rtl/>
        </w:rPr>
        <w:t>572-570</w:t>
      </w:r>
      <w:r>
        <w:rPr>
          <w:rFonts w:hint="cs"/>
          <w:rtl/>
        </w:rPr>
        <w:t>)</w:t>
      </w:r>
      <w:r w:rsidRPr="00B25ED4">
        <w:rPr>
          <w:rFonts w:hint="cs"/>
          <w:rtl/>
        </w:rPr>
        <w:t>). עיקרון זה מבטא את תפישתה הנורמטיבית של החברה הישראלית</w:t>
      </w:r>
      <w:r>
        <w:rPr>
          <w:rFonts w:hint="cs"/>
          <w:rtl/>
        </w:rPr>
        <w:t xml:space="preserve"> באשר להתנהגות הוגנת בין צדדים לחוזה ולפעולות משפטיות אחרות</w:t>
      </w:r>
      <w:r w:rsidRPr="00B25ED4">
        <w:rPr>
          <w:rFonts w:hint="cs"/>
          <w:rtl/>
        </w:rPr>
        <w:t>, ובכוחו להשלים את מה שהחסירו הצדדים (</w:t>
      </w:r>
      <w:r>
        <w:rPr>
          <w:rFonts w:hint="cs"/>
          <w:rtl/>
        </w:rPr>
        <w:t xml:space="preserve">השוו: </w:t>
      </w:r>
      <w:r w:rsidRPr="00B25ED4">
        <w:rPr>
          <w:rFonts w:hint="eastAsia"/>
          <w:rtl/>
        </w:rPr>
        <w:t>רע</w:t>
      </w:r>
      <w:r w:rsidRPr="00B25ED4">
        <w:rPr>
          <w:rtl/>
        </w:rPr>
        <w:t>"</w:t>
      </w:r>
      <w:r w:rsidRPr="00B25ED4">
        <w:rPr>
          <w:rFonts w:hint="eastAsia"/>
          <w:rtl/>
        </w:rPr>
        <w:t>א</w:t>
      </w:r>
      <w:r w:rsidRPr="00B25ED4">
        <w:rPr>
          <w:rtl/>
        </w:rPr>
        <w:t xml:space="preserve"> 8256/99 </w:t>
      </w:r>
      <w:r w:rsidRPr="00B25ED4">
        <w:rPr>
          <w:rFonts w:ascii="Century" w:hAnsi="Century" w:cs="Miriam" w:hint="eastAsia"/>
          <w:b/>
          <w:spacing w:val="0"/>
          <w:sz w:val="22"/>
          <w:szCs w:val="24"/>
          <w:rtl/>
        </w:rPr>
        <w:t>פלונית</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נ</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פלוני</w:t>
      </w:r>
      <w:r w:rsidRPr="00B25ED4">
        <w:rPr>
          <w:rtl/>
        </w:rPr>
        <w:t xml:space="preserve">, </w:t>
      </w:r>
      <w:r w:rsidRPr="00B25ED4">
        <w:rPr>
          <w:rFonts w:hint="cs"/>
          <w:rtl/>
        </w:rPr>
        <w:t xml:space="preserve">פ"ד </w:t>
      </w:r>
      <w:r w:rsidRPr="00B25ED4">
        <w:rPr>
          <w:rFonts w:hint="eastAsia"/>
          <w:rtl/>
        </w:rPr>
        <w:t>נח</w:t>
      </w:r>
      <w:r w:rsidRPr="00B25ED4">
        <w:rPr>
          <w:rtl/>
        </w:rPr>
        <w:t>(2) 213</w:t>
      </w:r>
      <w:r w:rsidRPr="00B25ED4">
        <w:rPr>
          <w:rFonts w:hint="cs"/>
          <w:rtl/>
        </w:rPr>
        <w:t>, 233</w:t>
      </w:r>
      <w:r w:rsidRPr="00B25ED4">
        <w:rPr>
          <w:rtl/>
        </w:rPr>
        <w:t xml:space="preserve"> (2003)</w:t>
      </w:r>
      <w:r w:rsidRPr="00B25ED4">
        <w:rPr>
          <w:rFonts w:hint="cs"/>
          <w:rtl/>
        </w:rPr>
        <w:t xml:space="preserve">). לעמדתי, בשים לב לתחולתו של עיקרון תום הלב ולנסיבות הייחודיות שאופפות את המערכת הזוגית, יש לצמצם ככל הניתן את יכולתו של בן זוג אחד "למשטר" את פעולותיו של משנהו ולהכתיב את התנהגותו. הכרה באפשרות קיומה של תניה </w:t>
      </w:r>
      <w:r w:rsidRPr="00B25ED4">
        <w:rPr>
          <w:rFonts w:ascii="Century" w:hAnsi="Century" w:cs="Miriam" w:hint="cs"/>
          <w:b/>
          <w:spacing w:val="0"/>
          <w:sz w:val="22"/>
          <w:szCs w:val="24"/>
          <w:rtl/>
        </w:rPr>
        <w:t xml:space="preserve">מכללא </w:t>
      </w:r>
      <w:r w:rsidRPr="00B25ED4">
        <w:rPr>
          <w:rFonts w:hint="cs"/>
          <w:rtl/>
        </w:rPr>
        <w:t xml:space="preserve">בין בני הזוג שלפיה השיתוף הזוגי כפוף לתנאי כזה או אחר, חרף העובדה שאיש מבני </w:t>
      </w:r>
      <w:r>
        <w:rPr>
          <w:rFonts w:hint="cs"/>
          <w:rtl/>
        </w:rPr>
        <w:t>הזוג לא ניאות במפורש לתניה שכזו, מקנה</w:t>
      </w:r>
      <w:r w:rsidRPr="00B25ED4">
        <w:rPr>
          <w:rFonts w:hint="cs"/>
          <w:rtl/>
        </w:rPr>
        <w:t xml:space="preserve"> כוח עודף לאחד מבני הזוג על משנהו, אך בשל עובדת היותו בעליו של נכס שלגביו מתגבש השיתוף הזוגי</w:t>
      </w:r>
      <w:r>
        <w:rPr>
          <w:rFonts w:hint="cs"/>
          <w:rtl/>
        </w:rPr>
        <w:t>. הכרה ב</w:t>
      </w:r>
      <w:r w:rsidRPr="00B25ED4">
        <w:rPr>
          <w:rFonts w:hint="cs"/>
          <w:rtl/>
        </w:rPr>
        <w:t xml:space="preserve">קיומן של </w:t>
      </w:r>
      <w:proofErr w:type="spellStart"/>
      <w:r w:rsidRPr="00B25ED4">
        <w:rPr>
          <w:rFonts w:hint="cs"/>
          <w:rtl/>
        </w:rPr>
        <w:t>תניות</w:t>
      </w:r>
      <w:proofErr w:type="spellEnd"/>
      <w:r w:rsidRPr="00B25ED4">
        <w:rPr>
          <w:rFonts w:hint="cs"/>
          <w:rtl/>
        </w:rPr>
        <w:t xml:space="preserve"> מכללא </w:t>
      </w:r>
      <w:r>
        <w:rPr>
          <w:rFonts w:hint="cs"/>
          <w:rtl/>
        </w:rPr>
        <w:t>כאלה</w:t>
      </w:r>
      <w:r w:rsidRPr="00B25ED4">
        <w:rPr>
          <w:rFonts w:hint="cs"/>
          <w:rtl/>
        </w:rPr>
        <w:t xml:space="preserve"> במערכת היחסים הזוגית, עשויה אפוא להפוך לחרב המתהפכת מעל ראשיהם של בני הזוג </w:t>
      </w:r>
      <w:r>
        <w:rPr>
          <w:rFonts w:hint="cs"/>
          <w:rtl/>
        </w:rPr>
        <w:t>לאורך נישואיהם</w:t>
      </w:r>
      <w:r w:rsidRPr="00B25ED4">
        <w:rPr>
          <w:rFonts w:hint="cs"/>
          <w:rtl/>
        </w:rPr>
        <w:t xml:space="preserve"> (וראו </w:t>
      </w:r>
      <w:r>
        <w:rPr>
          <w:rFonts w:hint="cs"/>
          <w:rtl/>
        </w:rPr>
        <w:t xml:space="preserve">בהקשר זה גם </w:t>
      </w:r>
      <w:r w:rsidRPr="00B25ED4">
        <w:rPr>
          <w:rFonts w:ascii="Century" w:hAnsi="Century" w:cs="Miriam" w:hint="eastAsia"/>
          <w:b/>
          <w:spacing w:val="0"/>
          <w:sz w:val="22"/>
          <w:szCs w:val="24"/>
          <w:rtl/>
        </w:rPr>
        <w:t>דגן</w:t>
      </w:r>
      <w:r w:rsidRPr="00B25ED4">
        <w:rPr>
          <w:rFonts w:ascii="Century" w:hAnsi="Century" w:cs="Miriam"/>
          <w:b/>
          <w:spacing w:val="0"/>
          <w:sz w:val="22"/>
          <w:szCs w:val="24"/>
          <w:rtl/>
        </w:rPr>
        <w:t xml:space="preserve"> </w:t>
      </w:r>
      <w:r w:rsidRPr="00B25ED4">
        <w:rPr>
          <w:rFonts w:ascii="Century" w:hAnsi="Century" w:cs="Miriam" w:hint="eastAsia"/>
          <w:b/>
          <w:spacing w:val="0"/>
          <w:sz w:val="22"/>
          <w:szCs w:val="24"/>
          <w:rtl/>
        </w:rPr>
        <w:t>והקר</w:t>
      </w:r>
      <w:r w:rsidRPr="00B25ED4">
        <w:rPr>
          <w:rtl/>
        </w:rPr>
        <w:t xml:space="preserve">, </w:t>
      </w:r>
      <w:r w:rsidRPr="00B25ED4">
        <w:rPr>
          <w:rFonts w:hint="eastAsia"/>
          <w:rtl/>
        </w:rPr>
        <w:t>בעמ</w:t>
      </w:r>
      <w:r w:rsidRPr="00B25ED4">
        <w:rPr>
          <w:rtl/>
        </w:rPr>
        <w:t>' 540</w:t>
      </w:r>
      <w:r>
        <w:rPr>
          <w:rFonts w:hint="cs"/>
          <w:rtl/>
        </w:rPr>
        <w:t>)</w:t>
      </w:r>
      <w:r w:rsidRPr="00B25ED4">
        <w:rPr>
          <w:rFonts w:hint="cs"/>
          <w:rtl/>
        </w:rPr>
        <w:t>.</w:t>
      </w:r>
    </w:p>
    <w:p w:rsidR="00FA3A86" w:rsidRPr="00B25ED4" w:rsidRDefault="00FA3A86" w:rsidP="00FA3A86">
      <w:pPr>
        <w:tabs>
          <w:tab w:val="left" w:pos="800"/>
        </w:tabs>
        <w:jc w:val="both"/>
        <w:rPr>
          <w:rFonts w:ascii="Garamond" w:hAnsi="Garamond"/>
          <w:sz w:val="24"/>
          <w:rtl/>
        </w:rPr>
      </w:pPr>
    </w:p>
    <w:p w:rsidR="00FA3A86" w:rsidRDefault="00FA3A86" w:rsidP="00FA3A86">
      <w:pPr>
        <w:pStyle w:val="Ruller4"/>
        <w:rPr>
          <w:rtl/>
        </w:rPr>
      </w:pPr>
      <w:r>
        <w:rPr>
          <w:rFonts w:hint="cs"/>
          <w:rtl/>
        </w:rPr>
        <w:lastRenderedPageBreak/>
        <w:t xml:space="preserve">בנסיבות העניין שלפנינו, ומשהשיתוף בבית המגורים התגבש במהלך עשרים השנים שבהן חיו בני הזוג יחד באותו הבית כזוג נשוי, ובו הקימו משפחה וגידלו את ילדיהם, לא היה מקום לייחס משקל לבגידתה הנטענת של המבקשת במשיב, ככל שהדבר נוגע לשיתוף בבית המגורים, משום שהבגידה שיוחסה למבקשת התרחשה, לפי טענת המשיב עצמו, חודשים ספורים לפני שנפרדו. </w:t>
      </w:r>
      <w:r w:rsidRPr="00B25ED4">
        <w:rPr>
          <w:rFonts w:hint="cs"/>
          <w:rtl/>
        </w:rPr>
        <w:t xml:space="preserve">מקריאת פסק דינו של בית הדין הרבני הגדול </w:t>
      </w:r>
      <w:r>
        <w:rPr>
          <w:rFonts w:hint="cs"/>
          <w:rtl/>
        </w:rPr>
        <w:t xml:space="preserve">עולה </w:t>
      </w:r>
      <w:r w:rsidRPr="00B25ED4">
        <w:rPr>
          <w:rFonts w:hint="cs"/>
          <w:rtl/>
        </w:rPr>
        <w:t xml:space="preserve">כי </w:t>
      </w:r>
      <w:r>
        <w:rPr>
          <w:rFonts w:hint="cs"/>
          <w:rtl/>
        </w:rPr>
        <w:t xml:space="preserve">שניים מתוך שלושת </w:t>
      </w:r>
      <w:r w:rsidRPr="00B25ED4">
        <w:rPr>
          <w:rFonts w:hint="cs"/>
          <w:rtl/>
        </w:rPr>
        <w:t xml:space="preserve">הדיינים ייחסו בחוות דעתם משקל לבגידה הנטענת. </w:t>
      </w:r>
      <w:r>
        <w:rPr>
          <w:rFonts w:hint="cs"/>
          <w:rtl/>
        </w:rPr>
        <w:t xml:space="preserve">הדיין </w:t>
      </w:r>
      <w:r w:rsidRPr="00985F53">
        <w:rPr>
          <w:rFonts w:ascii="Century" w:hAnsi="Century" w:cs="Miriam" w:hint="cs"/>
          <w:b/>
          <w:spacing w:val="0"/>
          <w:sz w:val="22"/>
          <w:szCs w:val="24"/>
          <w:rtl/>
        </w:rPr>
        <w:t>נהרי</w:t>
      </w:r>
      <w:r>
        <w:rPr>
          <w:rFonts w:hint="cs"/>
          <w:rtl/>
        </w:rPr>
        <w:t xml:space="preserve"> התייחס לכך כאל נסיבה המצדיקה שלילת כוונת שיתוף ככל שהתקיימה כזו, והדיין </w:t>
      </w:r>
      <w:r w:rsidRPr="00007314">
        <w:rPr>
          <w:rFonts w:ascii="Century" w:hAnsi="Century" w:cs="Miriam" w:hint="cs"/>
          <w:b/>
          <w:spacing w:val="0"/>
          <w:sz w:val="22"/>
          <w:szCs w:val="24"/>
          <w:rtl/>
        </w:rPr>
        <w:t>עמוס</w:t>
      </w:r>
      <w:r>
        <w:rPr>
          <w:rFonts w:hint="cs"/>
          <w:rtl/>
        </w:rPr>
        <w:t xml:space="preserve"> (שנותר בסופו של דבר בעמדת מיעוט) התייחס לבגידה מספר פעמים בחוות דעתו, הן בחלק שנשא את הכותרת "ועתה לפן ההלכתי" והן בחלקים אחרים בחוות דעתו. המסקנה לפיה לבגידה הנטענת ניתן משקל במסקנתו הסופית של בית הדין הרבני הגדול, אף עולה מפסק דין שניתן לאחרונה על ידי </w:t>
      </w:r>
      <w:r w:rsidRPr="00B25ED4">
        <w:rPr>
          <w:rFonts w:hint="cs"/>
          <w:rtl/>
        </w:rPr>
        <w:t xml:space="preserve">הדיינים </w:t>
      </w:r>
      <w:r w:rsidRPr="006A635C">
        <w:rPr>
          <w:rFonts w:ascii="Century" w:hAnsi="Century" w:cs="Miriam" w:hint="cs"/>
          <w:b/>
          <w:spacing w:val="0"/>
          <w:szCs w:val="24"/>
          <w:rtl/>
        </w:rPr>
        <w:t>עמוס</w:t>
      </w:r>
      <w:r w:rsidRPr="00B25ED4">
        <w:rPr>
          <w:rFonts w:hint="cs"/>
          <w:rtl/>
        </w:rPr>
        <w:t xml:space="preserve">, </w:t>
      </w:r>
      <w:r w:rsidRPr="006A635C">
        <w:rPr>
          <w:rFonts w:ascii="Century" w:hAnsi="Century" w:cs="Miriam" w:hint="cs"/>
          <w:b/>
          <w:spacing w:val="0"/>
          <w:szCs w:val="24"/>
          <w:rtl/>
        </w:rPr>
        <w:t>נהרי</w:t>
      </w:r>
      <w:r w:rsidRPr="00B25ED4">
        <w:rPr>
          <w:rFonts w:hint="cs"/>
          <w:rtl/>
        </w:rPr>
        <w:t xml:space="preserve"> </w:t>
      </w:r>
      <w:proofErr w:type="spellStart"/>
      <w:r w:rsidRPr="00B25ED4">
        <w:rPr>
          <w:rFonts w:hint="cs"/>
          <w:rtl/>
        </w:rPr>
        <w:t>ו</w:t>
      </w:r>
      <w:r w:rsidRPr="006A635C">
        <w:rPr>
          <w:rFonts w:ascii="Century" w:hAnsi="Century" w:cs="Miriam" w:hint="cs"/>
          <w:b/>
          <w:spacing w:val="0"/>
          <w:szCs w:val="24"/>
          <w:rtl/>
        </w:rPr>
        <w:t>אלמליח</w:t>
      </w:r>
      <w:proofErr w:type="spellEnd"/>
      <w:r w:rsidRPr="00B25ED4">
        <w:rPr>
          <w:rFonts w:hint="cs"/>
          <w:rtl/>
        </w:rPr>
        <w:t xml:space="preserve"> </w:t>
      </w:r>
      <w:r>
        <w:rPr>
          <w:rFonts w:hint="cs"/>
          <w:rtl/>
        </w:rPr>
        <w:t xml:space="preserve">אשר </w:t>
      </w:r>
      <w:r w:rsidRPr="00B25ED4">
        <w:rPr>
          <w:rFonts w:hint="cs"/>
          <w:rtl/>
        </w:rPr>
        <w:t>במסגרתו</w:t>
      </w:r>
      <w:r>
        <w:rPr>
          <w:rFonts w:hint="cs"/>
          <w:rtl/>
        </w:rPr>
        <w:t xml:space="preserve"> </w:t>
      </w:r>
      <w:r w:rsidRPr="00B25ED4">
        <w:rPr>
          <w:rFonts w:hint="cs"/>
          <w:rtl/>
        </w:rPr>
        <w:t>התייחסו לפסק הדין נושא דיוננו</w:t>
      </w:r>
      <w:r>
        <w:rPr>
          <w:rFonts w:hint="cs"/>
          <w:rtl/>
        </w:rPr>
        <w:t xml:space="preserve">, וציינו כי בענייננו בגידתה הנטענת של המבקשת </w:t>
      </w:r>
      <w:r w:rsidRPr="00B25ED4">
        <w:rPr>
          <w:rFonts w:hint="cs"/>
          <w:rtl/>
        </w:rPr>
        <w:t>היוותה "</w:t>
      </w:r>
      <w:r w:rsidRPr="00B25ED4">
        <w:rPr>
          <w:rFonts w:hint="eastAsia"/>
          <w:rtl/>
        </w:rPr>
        <w:t>נסיבה</w:t>
      </w:r>
      <w:r w:rsidRPr="00B25ED4">
        <w:rPr>
          <w:rtl/>
        </w:rPr>
        <w:t xml:space="preserve"> </w:t>
      </w:r>
      <w:r w:rsidRPr="00B25ED4">
        <w:rPr>
          <w:rFonts w:hint="eastAsia"/>
          <w:rtl/>
        </w:rPr>
        <w:t>אחת</w:t>
      </w:r>
      <w:r w:rsidRPr="00B25ED4">
        <w:rPr>
          <w:rtl/>
        </w:rPr>
        <w:t xml:space="preserve"> </w:t>
      </w:r>
      <w:r w:rsidRPr="00B25ED4">
        <w:rPr>
          <w:rFonts w:hint="eastAsia"/>
          <w:rtl/>
        </w:rPr>
        <w:t>מתוך</w:t>
      </w:r>
      <w:r w:rsidRPr="00B25ED4">
        <w:rPr>
          <w:rtl/>
        </w:rPr>
        <w:t xml:space="preserve"> </w:t>
      </w:r>
      <w:r w:rsidRPr="00B25ED4">
        <w:rPr>
          <w:rFonts w:hint="eastAsia"/>
          <w:rtl/>
        </w:rPr>
        <w:t>מכלול</w:t>
      </w:r>
      <w:r w:rsidRPr="00B25ED4">
        <w:rPr>
          <w:rtl/>
        </w:rPr>
        <w:t xml:space="preserve"> </w:t>
      </w:r>
      <w:r w:rsidRPr="00B25ED4">
        <w:rPr>
          <w:rFonts w:hint="eastAsia"/>
          <w:rtl/>
        </w:rPr>
        <w:t>נסיבות</w:t>
      </w:r>
      <w:r w:rsidRPr="00B25ED4">
        <w:rPr>
          <w:rtl/>
        </w:rPr>
        <w:t xml:space="preserve"> </w:t>
      </w:r>
      <w:r w:rsidRPr="00B25ED4">
        <w:rPr>
          <w:rFonts w:hint="eastAsia"/>
          <w:rtl/>
        </w:rPr>
        <w:t>שהביאו</w:t>
      </w:r>
      <w:r w:rsidRPr="00B25ED4">
        <w:rPr>
          <w:rtl/>
        </w:rPr>
        <w:t xml:space="preserve"> </w:t>
      </w:r>
      <w:r w:rsidRPr="00B25ED4">
        <w:rPr>
          <w:rFonts w:hint="eastAsia"/>
          <w:rtl/>
        </w:rPr>
        <w:t>להכרעה</w:t>
      </w:r>
      <w:r w:rsidRPr="00B25ED4">
        <w:rPr>
          <w:rtl/>
        </w:rPr>
        <w:t xml:space="preserve"> </w:t>
      </w:r>
      <w:r w:rsidRPr="00B25ED4">
        <w:rPr>
          <w:rFonts w:hint="eastAsia"/>
          <w:rtl/>
        </w:rPr>
        <w:t>כי</w:t>
      </w:r>
      <w:r w:rsidRPr="00B25ED4">
        <w:rPr>
          <w:rtl/>
        </w:rPr>
        <w:t xml:space="preserve"> </w:t>
      </w:r>
      <w:r w:rsidRPr="00B25ED4">
        <w:rPr>
          <w:rFonts w:hint="eastAsia"/>
          <w:rtl/>
        </w:rPr>
        <w:t>לא</w:t>
      </w:r>
      <w:r w:rsidRPr="00B25ED4">
        <w:rPr>
          <w:rtl/>
        </w:rPr>
        <w:t xml:space="preserve"> </w:t>
      </w:r>
      <w:r w:rsidRPr="00B25ED4">
        <w:rPr>
          <w:rFonts w:hint="eastAsia"/>
          <w:rtl/>
        </w:rPr>
        <w:t>התקיימו</w:t>
      </w:r>
      <w:r w:rsidRPr="00B25ED4">
        <w:rPr>
          <w:rtl/>
        </w:rPr>
        <w:t xml:space="preserve"> </w:t>
      </w:r>
      <w:r w:rsidRPr="00B25ED4">
        <w:rPr>
          <w:rFonts w:hint="eastAsia"/>
          <w:rtl/>
        </w:rPr>
        <w:t>התנאים</w:t>
      </w:r>
      <w:r w:rsidRPr="00B25ED4">
        <w:rPr>
          <w:rtl/>
        </w:rPr>
        <w:t xml:space="preserve"> </w:t>
      </w:r>
      <w:r w:rsidRPr="00B25ED4">
        <w:rPr>
          <w:rFonts w:hint="eastAsia"/>
          <w:rtl/>
        </w:rPr>
        <w:t>האזרחיים</w:t>
      </w:r>
      <w:r w:rsidRPr="00B25ED4">
        <w:rPr>
          <w:rtl/>
        </w:rPr>
        <w:t xml:space="preserve"> </w:t>
      </w:r>
      <w:r w:rsidRPr="00B25ED4">
        <w:rPr>
          <w:rFonts w:hint="eastAsia"/>
          <w:rtl/>
        </w:rPr>
        <w:t>לקיום</w:t>
      </w:r>
      <w:r w:rsidRPr="00B25ED4">
        <w:rPr>
          <w:rtl/>
        </w:rPr>
        <w:t xml:space="preserve"> </w:t>
      </w:r>
      <w:r w:rsidRPr="00B25ED4">
        <w:rPr>
          <w:rFonts w:hint="eastAsia"/>
          <w:rtl/>
        </w:rPr>
        <w:t>שיתוף</w:t>
      </w:r>
      <w:r w:rsidRPr="00B25ED4">
        <w:rPr>
          <w:rtl/>
        </w:rPr>
        <w:t xml:space="preserve"> </w:t>
      </w:r>
      <w:r w:rsidRPr="00B25ED4">
        <w:rPr>
          <w:rFonts w:hint="eastAsia"/>
          <w:rtl/>
        </w:rPr>
        <w:t>ספציפי</w:t>
      </w:r>
      <w:r w:rsidRPr="00B25ED4">
        <w:rPr>
          <w:rtl/>
        </w:rPr>
        <w:t>" (</w:t>
      </w:r>
      <w:r w:rsidRPr="00B25ED4">
        <w:rPr>
          <w:rFonts w:hint="cs"/>
          <w:rtl/>
        </w:rPr>
        <w:t>תיק</w:t>
      </w:r>
      <w:r>
        <w:rPr>
          <w:rFonts w:hint="cs"/>
          <w:rtl/>
        </w:rPr>
        <w:t xml:space="preserve"> 992261/3</w:t>
      </w:r>
      <w:r w:rsidRPr="00B25ED4">
        <w:rPr>
          <w:rtl/>
        </w:rPr>
        <w:t xml:space="preserve">, </w:t>
      </w:r>
      <w:r w:rsidRPr="00B25ED4">
        <w:rPr>
          <w:rFonts w:hint="eastAsia"/>
          <w:rtl/>
        </w:rPr>
        <w:t>פסקה</w:t>
      </w:r>
      <w:r w:rsidRPr="00B25ED4">
        <w:rPr>
          <w:rtl/>
        </w:rPr>
        <w:t xml:space="preserve"> </w:t>
      </w:r>
      <w:r w:rsidRPr="00B25ED4">
        <w:rPr>
          <w:rFonts w:hint="eastAsia"/>
          <w:rtl/>
        </w:rPr>
        <w:t>י</w:t>
      </w:r>
      <w:r w:rsidRPr="00B25ED4">
        <w:rPr>
          <w:rtl/>
        </w:rPr>
        <w:t>'</w:t>
      </w:r>
      <w:r>
        <w:rPr>
          <w:rtl/>
        </w:rPr>
        <w:t>).</w:t>
      </w:r>
    </w:p>
    <w:p w:rsidR="00FA3A86" w:rsidRDefault="00FA3A86" w:rsidP="00FA3A86">
      <w:pPr>
        <w:pStyle w:val="Ruller41"/>
        <w:rPr>
          <w:rtl/>
        </w:rPr>
      </w:pPr>
    </w:p>
    <w:p w:rsidR="00FA3A86" w:rsidRPr="00B25ED4" w:rsidRDefault="00FA3A86" w:rsidP="00FA3A86">
      <w:pPr>
        <w:pStyle w:val="Ruller4"/>
        <w:numPr>
          <w:ilvl w:val="0"/>
          <w:numId w:val="0"/>
        </w:numPr>
        <w:rPr>
          <w:rtl/>
        </w:rPr>
      </w:pPr>
      <w:r>
        <w:rPr>
          <w:rtl/>
        </w:rPr>
        <w:tab/>
      </w:r>
      <w:r>
        <w:rPr>
          <w:rFonts w:hint="cs"/>
          <w:rtl/>
        </w:rPr>
        <w:t>משכך, אין בידי להסכים עם עמדת</w:t>
      </w:r>
      <w:r w:rsidRPr="00B25ED4">
        <w:rPr>
          <w:rFonts w:hint="cs"/>
          <w:rtl/>
        </w:rPr>
        <w:t xml:space="preserve"> חברי, השופט </w:t>
      </w:r>
      <w:r>
        <w:rPr>
          <w:rFonts w:ascii="Century" w:hAnsi="Century" w:cs="Miriam" w:hint="cs"/>
          <w:b/>
          <w:spacing w:val="0"/>
          <w:szCs w:val="24"/>
          <w:rtl/>
        </w:rPr>
        <w:t>ד</w:t>
      </w:r>
      <w:r w:rsidRPr="00B25ED4">
        <w:rPr>
          <w:rFonts w:ascii="Century" w:hAnsi="Century" w:cs="Miriam" w:hint="cs"/>
          <w:b/>
          <w:spacing w:val="0"/>
          <w:szCs w:val="24"/>
          <w:rtl/>
        </w:rPr>
        <w:t>' מינץ</w:t>
      </w:r>
      <w:r w:rsidRPr="00397E91">
        <w:rPr>
          <w:rFonts w:ascii="Arial TUR" w:hAnsi="Arial TUR" w:hint="cs"/>
          <w:rtl/>
        </w:rPr>
        <w:t>,</w:t>
      </w:r>
      <w:r>
        <w:rPr>
          <w:rFonts w:hint="cs"/>
          <w:rtl/>
        </w:rPr>
        <w:t xml:space="preserve"> לפיה</w:t>
      </w:r>
      <w:r w:rsidRPr="00B25ED4">
        <w:rPr>
          <w:rFonts w:hint="cs"/>
          <w:rtl/>
        </w:rPr>
        <w:t xml:space="preserve"> התייחסות</w:t>
      </w:r>
      <w:r>
        <w:rPr>
          <w:rFonts w:hint="cs"/>
          <w:rtl/>
        </w:rPr>
        <w:t>ו</w:t>
      </w:r>
      <w:r w:rsidRPr="00B25ED4">
        <w:rPr>
          <w:rFonts w:hint="cs"/>
          <w:rtl/>
        </w:rPr>
        <w:t xml:space="preserve"> </w:t>
      </w:r>
      <w:r>
        <w:rPr>
          <w:rFonts w:hint="cs"/>
          <w:rtl/>
        </w:rPr>
        <w:t xml:space="preserve">של </w:t>
      </w:r>
      <w:r w:rsidRPr="00B25ED4">
        <w:rPr>
          <w:rFonts w:hint="cs"/>
          <w:rtl/>
        </w:rPr>
        <w:t xml:space="preserve">בית הדין הרבני </w:t>
      </w:r>
      <w:r>
        <w:rPr>
          <w:rFonts w:hint="cs"/>
          <w:rtl/>
        </w:rPr>
        <w:t xml:space="preserve">הגדול </w:t>
      </w:r>
      <w:r w:rsidRPr="00B25ED4">
        <w:rPr>
          <w:rFonts w:hint="cs"/>
          <w:rtl/>
        </w:rPr>
        <w:t>לבג</w:t>
      </w:r>
      <w:r>
        <w:rPr>
          <w:rFonts w:hint="cs"/>
          <w:rtl/>
        </w:rPr>
        <w:t>ידה הנטענת הייתה למעלה מן הצורך.</w:t>
      </w:r>
      <w:r w:rsidRPr="00B25ED4">
        <w:rPr>
          <w:rFonts w:hint="cs"/>
          <w:rtl/>
        </w:rPr>
        <w:t xml:space="preserve"> </w:t>
      </w:r>
      <w:r>
        <w:rPr>
          <w:rFonts w:hint="cs"/>
          <w:rtl/>
        </w:rPr>
        <w:t xml:space="preserve">להבנתי, ומן הטעמים שפירטתי לעיל, עולה כי הדבר היווה, למצער, אחד השיקולים שהובילו את בית הדין אל התוצאה שאליה הגיע. </w:t>
      </w:r>
    </w:p>
    <w:p w:rsidR="00FA3A86" w:rsidRPr="00B25ED4" w:rsidRDefault="00FA3A86" w:rsidP="00FA3A86">
      <w:pPr>
        <w:pStyle w:val="Ruller41"/>
        <w:rPr>
          <w:rtl/>
        </w:rPr>
      </w:pPr>
    </w:p>
    <w:p w:rsidR="00FA3A86" w:rsidRPr="00EB693D" w:rsidRDefault="00FA3A86" w:rsidP="00FA3A86">
      <w:pPr>
        <w:pStyle w:val="Ruller4"/>
      </w:pPr>
      <w:r w:rsidRPr="00B25ED4">
        <w:rPr>
          <w:rFonts w:hint="cs"/>
          <w:rtl/>
        </w:rPr>
        <w:t>הנה כי כן, בחינת פסק דינו של בית הדין הרבני הגדול בהתאם לקריטריונים שפורטו לעיל מגלה כי הוא אינו עולה בקנה אחד עם מאפייניה הגרעיניים של הלכת השיתוף הספציפי</w:t>
      </w:r>
      <w:r>
        <w:rPr>
          <w:rFonts w:hint="cs"/>
          <w:rtl/>
        </w:rPr>
        <w:t>: לא לעניין מהותה של הזכות ואופן גיבושה, לא לעניין נקודת הזמן שבו היא מתגבשת, ולא לעניין השאלה אם אי-נאמנות מינית מהווה שיקול רלוונטי בהחלתה</w:t>
      </w:r>
      <w:r w:rsidRPr="00B25ED4">
        <w:rPr>
          <w:rFonts w:hint="cs"/>
          <w:rtl/>
        </w:rPr>
        <w:t>. שילוב הטעמים הנזכרים</w:t>
      </w:r>
      <w:r>
        <w:rPr>
          <w:rFonts w:hint="cs"/>
          <w:rtl/>
        </w:rPr>
        <w:t xml:space="preserve"> לעיל</w:t>
      </w:r>
      <w:r w:rsidRPr="00B25ED4">
        <w:rPr>
          <w:rFonts w:hint="cs"/>
          <w:rtl/>
        </w:rPr>
        <w:t xml:space="preserve"> </w:t>
      </w:r>
      <w:r>
        <w:rPr>
          <w:rFonts w:hint="cs"/>
          <w:rtl/>
        </w:rPr>
        <w:t xml:space="preserve">הצדיק את התערבותו של בית הדין הגבוה לצדק, והוא מצדיק את הדיון הנוסף שקיימנו על מנת להעמיד הלכה על מכונה. </w:t>
      </w:r>
      <w:r w:rsidRPr="00EB693D">
        <w:t xml:space="preserve"> </w:t>
      </w:r>
    </w:p>
    <w:p w:rsidR="00FA3A86" w:rsidRPr="00AD56E2" w:rsidRDefault="00FA3A86" w:rsidP="00FA3A86">
      <w:pPr>
        <w:rPr>
          <w:rFonts w:cs="Miriam"/>
          <w:b/>
          <w:sz w:val="22"/>
          <w:rtl/>
        </w:rPr>
      </w:pPr>
    </w:p>
    <w:p w:rsidR="00760584" w:rsidRDefault="00760584" w:rsidP="00FA3A86">
      <w:pPr>
        <w:rPr>
          <w:rFonts w:cs="Miriam"/>
          <w:b/>
          <w:sz w:val="22"/>
          <w:rtl/>
        </w:rPr>
      </w:pPr>
    </w:p>
    <w:p w:rsidR="00760584" w:rsidRPr="00760584" w:rsidRDefault="00760584" w:rsidP="00760584">
      <w:pPr>
        <w:pStyle w:val="Ruller41"/>
        <w:rPr>
          <w:rFonts w:ascii="Century" w:hAnsi="Century" w:cs="Miriam"/>
          <w:b/>
          <w:spacing w:val="0"/>
          <w:szCs w:val="24"/>
          <w:rtl/>
        </w:rPr>
      </w:pPr>
      <w:r w:rsidRPr="00760584">
        <w:rPr>
          <w:rFonts w:ascii="Century" w:hAnsi="Century" w:cs="Miriam"/>
          <w:b/>
          <w:spacing w:val="0"/>
          <w:szCs w:val="24"/>
          <w:rtl/>
        </w:rPr>
        <w:t xml:space="preserve">הערות לפני סיום </w:t>
      </w:r>
      <w:r w:rsidRPr="00760584">
        <w:rPr>
          <w:rFonts w:ascii="Century" w:hAnsi="Century" w:cs="Miriam"/>
          <w:b/>
          <w:spacing w:val="0"/>
          <w:szCs w:val="24"/>
          <w:rtl/>
        </w:rPr>
        <w:tab/>
      </w:r>
    </w:p>
    <w:p w:rsidR="00760584" w:rsidRDefault="00760584" w:rsidP="00760584">
      <w:pPr>
        <w:pStyle w:val="Ruller41"/>
        <w:rPr>
          <w:rFonts w:ascii="Century" w:hAnsi="Century"/>
          <w:rtl/>
        </w:rPr>
      </w:pPr>
    </w:p>
    <w:p w:rsidR="00760584" w:rsidRPr="00903F1B" w:rsidRDefault="00760584" w:rsidP="00760584">
      <w:pPr>
        <w:pStyle w:val="Ruller4"/>
      </w:pPr>
      <w:r w:rsidRPr="00903F1B">
        <w:rPr>
          <w:rFonts w:hint="cs"/>
          <w:rtl/>
        </w:rPr>
        <w:t>לאחר הדברים האלו</w:t>
      </w:r>
      <w:r>
        <w:rPr>
          <w:rFonts w:hint="cs"/>
          <w:rtl/>
        </w:rPr>
        <w:t>,</w:t>
      </w:r>
      <w:r w:rsidRPr="00903F1B">
        <w:rPr>
          <w:rFonts w:hint="cs"/>
          <w:rtl/>
        </w:rPr>
        <w:t xml:space="preserve"> עיינתי בחוות דעת</w:t>
      </w:r>
      <w:r>
        <w:rPr>
          <w:rFonts w:hint="cs"/>
          <w:rtl/>
        </w:rPr>
        <w:t>ם</w:t>
      </w:r>
      <w:r w:rsidRPr="00903F1B">
        <w:rPr>
          <w:rFonts w:hint="cs"/>
          <w:rtl/>
        </w:rPr>
        <w:t xml:space="preserve"> של חברי</w:t>
      </w:r>
      <w:r>
        <w:rPr>
          <w:rFonts w:hint="cs"/>
          <w:rtl/>
        </w:rPr>
        <w:t>י</w:t>
      </w:r>
      <w:r w:rsidRPr="00903F1B">
        <w:rPr>
          <w:rFonts w:hint="cs"/>
          <w:rtl/>
        </w:rPr>
        <w:t xml:space="preserve"> </w:t>
      </w:r>
      <w:r>
        <w:rPr>
          <w:rFonts w:hint="cs"/>
          <w:rtl/>
        </w:rPr>
        <w:t xml:space="preserve">ובחרתי לייחד מילים אחדות לחוות-דעתם של חבריי השופטים </w:t>
      </w:r>
      <w:r w:rsidRPr="00760584">
        <w:rPr>
          <w:rFonts w:cs="Miriam" w:hint="cs"/>
          <w:b/>
          <w:spacing w:val="0"/>
          <w:sz w:val="22"/>
          <w:szCs w:val="24"/>
          <w:rtl/>
        </w:rPr>
        <w:t>נ' סולברג</w:t>
      </w:r>
      <w:r w:rsidRPr="00760584">
        <w:rPr>
          <w:rFonts w:hint="cs"/>
          <w:rtl/>
        </w:rPr>
        <w:t xml:space="preserve"> </w:t>
      </w:r>
      <w:r>
        <w:rPr>
          <w:rFonts w:hint="cs"/>
          <w:rtl/>
        </w:rPr>
        <w:t>ו-</w:t>
      </w:r>
      <w:r w:rsidRPr="00760584">
        <w:rPr>
          <w:rFonts w:cs="Miriam" w:hint="cs"/>
          <w:b/>
          <w:spacing w:val="0"/>
          <w:sz w:val="22"/>
          <w:szCs w:val="24"/>
          <w:rtl/>
        </w:rPr>
        <w:t>א' שטיין</w:t>
      </w:r>
      <w:r w:rsidRPr="004A0C4E">
        <w:rPr>
          <w:rFonts w:hint="cs"/>
          <w:rtl/>
        </w:rPr>
        <w:t>.</w:t>
      </w:r>
    </w:p>
    <w:p w:rsidR="00760584" w:rsidRPr="004A0C4E" w:rsidRDefault="00760584" w:rsidP="00760584">
      <w:pPr>
        <w:pStyle w:val="Ruller41"/>
        <w:rPr>
          <w:rFonts w:ascii="Century" w:hAnsi="Century"/>
          <w:rtl/>
        </w:rPr>
      </w:pPr>
    </w:p>
    <w:p w:rsidR="00760584" w:rsidRPr="00A404B5" w:rsidRDefault="00760584" w:rsidP="00760584">
      <w:pPr>
        <w:pStyle w:val="Ruller4"/>
        <w:rPr>
          <w:rtl/>
        </w:rPr>
      </w:pPr>
      <w:r w:rsidRPr="00903F1B">
        <w:rPr>
          <w:rFonts w:hint="cs"/>
          <w:rtl/>
        </w:rPr>
        <w:t>חבר</w:t>
      </w:r>
      <w:r w:rsidRPr="00A404B5">
        <w:rPr>
          <w:rFonts w:hint="cs"/>
          <w:rtl/>
        </w:rPr>
        <w:t>י</w:t>
      </w:r>
      <w:r>
        <w:rPr>
          <w:rFonts w:hint="cs"/>
          <w:rtl/>
        </w:rPr>
        <w:t xml:space="preserve"> השופט </w:t>
      </w:r>
      <w:r w:rsidRPr="00760584">
        <w:rPr>
          <w:rFonts w:cs="Miriam" w:hint="cs"/>
          <w:b/>
          <w:spacing w:val="0"/>
          <w:sz w:val="22"/>
          <w:szCs w:val="24"/>
          <w:rtl/>
        </w:rPr>
        <w:t>סולברג</w:t>
      </w:r>
      <w:r w:rsidRPr="00A404B5">
        <w:rPr>
          <w:rFonts w:hint="cs"/>
          <w:rtl/>
        </w:rPr>
        <w:t xml:space="preserve"> סבור שלא היה מקום בענייננו </w:t>
      </w:r>
      <w:r>
        <w:rPr>
          <w:rFonts w:hint="cs"/>
          <w:rtl/>
        </w:rPr>
        <w:t>לקיים</w:t>
      </w:r>
      <w:r w:rsidRPr="00A404B5">
        <w:rPr>
          <w:rFonts w:hint="cs"/>
          <w:rtl/>
        </w:rPr>
        <w:t xml:space="preserve"> דיון נוסף. זאת, משום שבפסק דינו של בית המשפט העליון</w:t>
      </w:r>
      <w:r>
        <w:rPr>
          <w:rFonts w:hint="cs"/>
          <w:rtl/>
        </w:rPr>
        <w:t xml:space="preserve"> נושא הדיון הנוסף</w:t>
      </w:r>
      <w:r w:rsidRPr="00A404B5">
        <w:rPr>
          <w:rFonts w:hint="cs"/>
          <w:rtl/>
        </w:rPr>
        <w:t xml:space="preserve"> לא נקבעה הלכה חדשה</w:t>
      </w:r>
      <w:r>
        <w:rPr>
          <w:rFonts w:hint="cs"/>
          <w:rtl/>
        </w:rPr>
        <w:t xml:space="preserve">. לגישתו </w:t>
      </w:r>
      <w:r>
        <w:rPr>
          <w:rFonts w:hint="cs"/>
          <w:rtl/>
        </w:rPr>
        <w:lastRenderedPageBreak/>
        <w:t xml:space="preserve">של חברי, </w:t>
      </w:r>
      <w:r w:rsidRPr="00A404B5">
        <w:rPr>
          <w:rFonts w:hint="cs"/>
          <w:rtl/>
        </w:rPr>
        <w:t xml:space="preserve">אף אם התייחסותו של בית הדין הרבני הגדול לבגידתה הנטענת של המבקשת </w:t>
      </w:r>
      <w:r w:rsidRPr="00760584">
        <w:rPr>
          <w:rFonts w:cs="Miriam" w:hint="cs"/>
          <w:b/>
          <w:spacing w:val="0"/>
          <w:sz w:val="22"/>
          <w:szCs w:val="24"/>
          <w:rtl/>
        </w:rPr>
        <w:t>לא</w:t>
      </w:r>
      <w:r w:rsidRPr="00A404B5">
        <w:rPr>
          <w:rFonts w:hint="cs"/>
          <w:rtl/>
        </w:rPr>
        <w:t xml:space="preserve"> נעשתה למעלה מן הצורך, "</w:t>
      </w:r>
      <w:r w:rsidRPr="00A404B5">
        <w:rPr>
          <w:rtl/>
        </w:rPr>
        <w:t xml:space="preserve">נימוק זה אין בכוחו להצדיק דיון נוסף, מקום שבו לא </w:t>
      </w:r>
      <w:proofErr w:type="spellStart"/>
      <w:r w:rsidRPr="00760584">
        <w:rPr>
          <w:rFonts w:cs="Miriam"/>
          <w:b/>
          <w:spacing w:val="0"/>
          <w:sz w:val="22"/>
          <w:szCs w:val="24"/>
          <w:rtl/>
        </w:rPr>
        <w:t>נתחדשה</w:t>
      </w:r>
      <w:proofErr w:type="spellEnd"/>
      <w:r w:rsidRPr="00760584">
        <w:rPr>
          <w:rFonts w:cs="Miriam"/>
          <w:b/>
          <w:spacing w:val="0"/>
          <w:sz w:val="22"/>
          <w:szCs w:val="24"/>
          <w:rtl/>
        </w:rPr>
        <w:t xml:space="preserve"> הלכה</w:t>
      </w:r>
      <w:r w:rsidRPr="00A404B5">
        <w:rPr>
          <w:rtl/>
        </w:rPr>
        <w:t xml:space="preserve">, וכל אשר נמצא לפנינו הוא פרשנות שונה, שניתנה על-ידי שופטים שונים, לעובדות המקרה, אשר מכוחה יושמה </w:t>
      </w:r>
      <w:r w:rsidRPr="00760584">
        <w:rPr>
          <w:rFonts w:cs="Miriam"/>
          <w:b/>
          <w:spacing w:val="0"/>
          <w:sz w:val="22"/>
          <w:szCs w:val="24"/>
          <w:rtl/>
        </w:rPr>
        <w:t>ההלכה הנוהגת</w:t>
      </w:r>
      <w:r w:rsidRPr="00760584">
        <w:rPr>
          <w:rtl/>
        </w:rPr>
        <w:t xml:space="preserve"> </w:t>
      </w:r>
      <w:r w:rsidRPr="00A404B5">
        <w:rPr>
          <w:rtl/>
        </w:rPr>
        <w:t>באופן שונה</w:t>
      </w:r>
      <w:r w:rsidRPr="00A404B5">
        <w:rPr>
          <w:rFonts w:hint="cs"/>
          <w:rtl/>
        </w:rPr>
        <w:t>" (פסקה 5(א) לחוות דעתו; ההדגשות במקור).</w:t>
      </w:r>
    </w:p>
    <w:p w:rsidR="00760584" w:rsidRDefault="00760584" w:rsidP="00760584">
      <w:pPr>
        <w:pStyle w:val="Ruller41"/>
        <w:rPr>
          <w:rFonts w:ascii="Century" w:hAnsi="Century"/>
          <w:rtl/>
        </w:rPr>
      </w:pPr>
    </w:p>
    <w:p w:rsidR="00760584" w:rsidRDefault="00760584" w:rsidP="00C9757A">
      <w:pPr>
        <w:pStyle w:val="Ruller4"/>
        <w:rPr>
          <w:rtl/>
        </w:rPr>
      </w:pPr>
      <w:r>
        <w:rPr>
          <w:rFonts w:hint="cs"/>
          <w:rtl/>
        </w:rPr>
        <w:t xml:space="preserve">כפי שצוין בעבר בפסיקה, משניתנה החלטה המורה על קיומו של </w:t>
      </w:r>
      <w:r w:rsidRPr="00903F1B">
        <w:rPr>
          <w:rFonts w:hint="cs"/>
          <w:rtl/>
        </w:rPr>
        <w:t xml:space="preserve">דיון נוסף </w:t>
      </w:r>
      <w:r>
        <w:rPr>
          <w:rtl/>
        </w:rPr>
        <w:t>–</w:t>
      </w:r>
      <w:r w:rsidRPr="00903F1B">
        <w:rPr>
          <w:rFonts w:hint="cs"/>
          <w:rtl/>
        </w:rPr>
        <w:t xml:space="preserve"> </w:t>
      </w:r>
      <w:r>
        <w:rPr>
          <w:rFonts w:hint="cs"/>
          <w:rtl/>
        </w:rPr>
        <w:t xml:space="preserve">ספק רב אם יש מקום להרהר אחר החלטה זו בבואו של  ההרכב המקיים את הדיון הנוסף להכריע בו </w:t>
      </w:r>
      <w:r w:rsidRPr="00903F1B">
        <w:rPr>
          <w:rFonts w:hint="cs"/>
          <w:rtl/>
        </w:rPr>
        <w:t>לגופו</w:t>
      </w:r>
      <w:r>
        <w:rPr>
          <w:rFonts w:hint="cs"/>
          <w:rtl/>
        </w:rPr>
        <w:t xml:space="preserve"> (</w:t>
      </w:r>
      <w:r w:rsidRPr="004624FD">
        <w:rPr>
          <w:rtl/>
        </w:rPr>
        <w:t>דנ"א 3993</w:t>
      </w:r>
      <w:r>
        <w:rPr>
          <w:rFonts w:hint="cs"/>
          <w:rtl/>
        </w:rPr>
        <w:t>/</w:t>
      </w:r>
      <w:r w:rsidRPr="004624FD">
        <w:rPr>
          <w:rtl/>
        </w:rPr>
        <w:t xml:space="preserve">07 </w:t>
      </w:r>
      <w:r w:rsidRPr="00760584">
        <w:rPr>
          <w:rFonts w:cs="Miriam"/>
          <w:b/>
          <w:spacing w:val="0"/>
          <w:sz w:val="22"/>
          <w:szCs w:val="24"/>
          <w:rtl/>
        </w:rPr>
        <w:t xml:space="preserve">פקיד שומה ירושלים 3 נ' </w:t>
      </w:r>
      <w:proofErr w:type="spellStart"/>
      <w:r w:rsidRPr="00760584">
        <w:rPr>
          <w:rFonts w:cs="Miriam"/>
          <w:b/>
          <w:spacing w:val="0"/>
          <w:sz w:val="22"/>
          <w:szCs w:val="24"/>
          <w:rtl/>
        </w:rPr>
        <w:t>איקאפוד</w:t>
      </w:r>
      <w:proofErr w:type="spellEnd"/>
      <w:r w:rsidRPr="00760584">
        <w:rPr>
          <w:rFonts w:cs="Miriam"/>
          <w:b/>
          <w:spacing w:val="0"/>
          <w:sz w:val="22"/>
          <w:szCs w:val="24"/>
          <w:rtl/>
        </w:rPr>
        <w:t xml:space="preserve"> בע"מ</w:t>
      </w:r>
      <w:r>
        <w:rPr>
          <w:rFonts w:hint="cs"/>
          <w:rtl/>
        </w:rPr>
        <w:t xml:space="preserve">, </w:t>
      </w:r>
      <w:r w:rsidRPr="004624FD">
        <w:rPr>
          <w:rtl/>
        </w:rPr>
        <w:t>פ"ד סה(1</w:t>
      </w:r>
      <w:r>
        <w:rPr>
          <w:rFonts w:hint="cs"/>
          <w:rtl/>
        </w:rPr>
        <w:t xml:space="preserve">) </w:t>
      </w:r>
      <w:r w:rsidRPr="004624FD">
        <w:rPr>
          <w:rtl/>
        </w:rPr>
        <w:t>238</w:t>
      </w:r>
      <w:r>
        <w:rPr>
          <w:rFonts w:hint="cs"/>
          <w:rtl/>
        </w:rPr>
        <w:t xml:space="preserve">, 345 (2011); וראו גם: </w:t>
      </w:r>
      <w:r w:rsidRPr="00FC4324">
        <w:rPr>
          <w:rtl/>
        </w:rPr>
        <w:t>ד"נ 24</w:t>
      </w:r>
      <w:r>
        <w:rPr>
          <w:rFonts w:hint="cs"/>
          <w:rtl/>
        </w:rPr>
        <w:t>/</w:t>
      </w:r>
      <w:r w:rsidRPr="00FC4324">
        <w:rPr>
          <w:rtl/>
        </w:rPr>
        <w:t xml:space="preserve">81 </w:t>
      </w:r>
      <w:proofErr w:type="spellStart"/>
      <w:r w:rsidRPr="00760584">
        <w:rPr>
          <w:rFonts w:cs="Miriam"/>
          <w:b/>
          <w:spacing w:val="0"/>
          <w:sz w:val="22"/>
          <w:szCs w:val="24"/>
          <w:rtl/>
        </w:rPr>
        <w:t>חונוביץ</w:t>
      </w:r>
      <w:proofErr w:type="spellEnd"/>
      <w:r w:rsidRPr="00760584">
        <w:rPr>
          <w:rFonts w:cs="Miriam"/>
          <w:b/>
          <w:spacing w:val="0"/>
          <w:sz w:val="22"/>
          <w:szCs w:val="24"/>
          <w:rtl/>
        </w:rPr>
        <w:t xml:space="preserve"> נ' כהן</w:t>
      </w:r>
      <w:r>
        <w:rPr>
          <w:rFonts w:hint="cs"/>
          <w:rtl/>
        </w:rPr>
        <w:t xml:space="preserve">, פ"ד </w:t>
      </w:r>
      <w:r w:rsidRPr="00FC4324">
        <w:rPr>
          <w:rtl/>
        </w:rPr>
        <w:t>לח(1) 413</w:t>
      </w:r>
      <w:r>
        <w:rPr>
          <w:rFonts w:hint="cs"/>
          <w:rtl/>
        </w:rPr>
        <w:t>, 420 (1984))</w:t>
      </w:r>
      <w:r w:rsidRPr="00903F1B">
        <w:rPr>
          <w:rFonts w:hint="cs"/>
          <w:rtl/>
        </w:rPr>
        <w:t>. מכל מקום, נדמה בעינ</w:t>
      </w:r>
      <w:r>
        <w:rPr>
          <w:rFonts w:hint="cs"/>
          <w:rtl/>
        </w:rPr>
        <w:t>י</w:t>
      </w:r>
      <w:r w:rsidRPr="00903F1B">
        <w:rPr>
          <w:rFonts w:hint="cs"/>
          <w:rtl/>
        </w:rPr>
        <w:t xml:space="preserve">י כי </w:t>
      </w:r>
      <w:r>
        <w:rPr>
          <w:rFonts w:hint="cs"/>
          <w:rtl/>
        </w:rPr>
        <w:t xml:space="preserve">חברי </w:t>
      </w:r>
      <w:r w:rsidRPr="00903F1B">
        <w:rPr>
          <w:rFonts w:hint="cs"/>
          <w:rtl/>
        </w:rPr>
        <w:t xml:space="preserve">השופט </w:t>
      </w:r>
      <w:r w:rsidRPr="00760584">
        <w:rPr>
          <w:rFonts w:cs="Miriam" w:hint="cs"/>
          <w:b/>
          <w:spacing w:val="0"/>
          <w:sz w:val="22"/>
          <w:szCs w:val="24"/>
          <w:rtl/>
        </w:rPr>
        <w:t>סולברג</w:t>
      </w:r>
      <w:r w:rsidRPr="00EE3F5D">
        <w:rPr>
          <w:rFonts w:hint="cs"/>
          <w:rtl/>
        </w:rPr>
        <w:t xml:space="preserve"> </w:t>
      </w:r>
      <w:r w:rsidRPr="00903F1B">
        <w:rPr>
          <w:rFonts w:hint="cs"/>
          <w:rtl/>
        </w:rPr>
        <w:t>לא דק פורתא ב</w:t>
      </w:r>
      <w:r>
        <w:rPr>
          <w:rFonts w:hint="cs"/>
          <w:rtl/>
        </w:rPr>
        <w:t>נוגע ל</w:t>
      </w:r>
      <w:r w:rsidRPr="00903F1B">
        <w:rPr>
          <w:rFonts w:hint="cs"/>
          <w:rtl/>
        </w:rPr>
        <w:t>עילה שבגינה ניתן דיון נוסף בעניינ</w:t>
      </w:r>
      <w:r>
        <w:rPr>
          <w:rFonts w:hint="cs"/>
          <w:rtl/>
        </w:rPr>
        <w:t>נ</w:t>
      </w:r>
      <w:r w:rsidRPr="00903F1B">
        <w:rPr>
          <w:rFonts w:hint="cs"/>
          <w:rtl/>
        </w:rPr>
        <w:t>ו</w:t>
      </w:r>
      <w:r>
        <w:rPr>
          <w:rFonts w:hint="cs"/>
          <w:rtl/>
        </w:rPr>
        <w:t>, אשר עליה עמדתי בפסקאות 21 ו-56</w:t>
      </w:r>
      <w:r w:rsidRPr="00903F1B">
        <w:rPr>
          <w:rFonts w:hint="cs"/>
          <w:rtl/>
        </w:rPr>
        <w:t xml:space="preserve"> </w:t>
      </w:r>
      <w:r>
        <w:rPr>
          <w:rFonts w:hint="cs"/>
          <w:rtl/>
        </w:rPr>
        <w:t>לחוות דעתי</w:t>
      </w:r>
      <w:r w:rsidRPr="00903F1B">
        <w:rPr>
          <w:rFonts w:hint="cs"/>
          <w:rtl/>
        </w:rPr>
        <w:t xml:space="preserve">. אכן, ככלל לא יינתן דיון נוסף מקום שלא נפסקה הלכה </w:t>
      </w:r>
      <w:r>
        <w:rPr>
          <w:rFonts w:hint="cs"/>
          <w:rtl/>
        </w:rPr>
        <w:t>אשר</w:t>
      </w:r>
      <w:r w:rsidR="00C9757A">
        <w:rPr>
          <w:rFonts w:hint="cs"/>
          <w:rtl/>
        </w:rPr>
        <w:t xml:space="preserve"> </w:t>
      </w:r>
      <w:r>
        <w:rPr>
          <w:rFonts w:hint="cs"/>
          <w:rtl/>
        </w:rPr>
        <w:t>"</w:t>
      </w:r>
      <w:r w:rsidRPr="00D739BC">
        <w:rPr>
          <w:rFonts w:hint="cs"/>
          <w:rtl/>
        </w:rPr>
        <w:t>ע</w:t>
      </w:r>
      <w:r w:rsidRPr="00304679">
        <w:rPr>
          <w:rtl/>
        </w:rPr>
        <w:t>ומדת בסתירה להלכה קודמת של בית המשפט העליון, או שמפאת חשיבותה, קשיותה או חידושה</w:t>
      </w:r>
      <w:r>
        <w:rPr>
          <w:rFonts w:hint="cs"/>
          <w:rtl/>
        </w:rPr>
        <w:t>" יש מקום לקיים בה דיון נוסף (סעיף 30(ב) לחוק בתי המשפט [נוסח משולב], התשמ"ד-1984)</w:t>
      </w:r>
      <w:r w:rsidRPr="00903F1B">
        <w:rPr>
          <w:rFonts w:hint="cs"/>
          <w:rtl/>
        </w:rPr>
        <w:t xml:space="preserve">. עם זאת, ייתכנו מקרים נדירים </w:t>
      </w:r>
      <w:r w:rsidRPr="00941717">
        <w:rPr>
          <w:rFonts w:hint="cs"/>
          <w:rtl/>
        </w:rPr>
        <w:t>וחריגים</w:t>
      </w:r>
      <w:r w:rsidRPr="00903F1B">
        <w:rPr>
          <w:rFonts w:hint="cs"/>
          <w:rtl/>
        </w:rPr>
        <w:t xml:space="preserve"> שבהם </w:t>
      </w:r>
      <w:r>
        <w:rPr>
          <w:rFonts w:hint="cs"/>
          <w:rtl/>
        </w:rPr>
        <w:t xml:space="preserve">הצורך בקיומו של דיון נוסף עולה מקיומן של עמדות שונות בפסיקה בנוגע לנושא העומד לדיון, ומן הצורך להעמיד הלכה על מכונה. כפי שציין מ"מ הנשיא (כתוארו אז) </w:t>
      </w:r>
      <w:r w:rsidRPr="00760584">
        <w:rPr>
          <w:rFonts w:cs="Miriam" w:hint="cs"/>
          <w:b/>
          <w:spacing w:val="0"/>
          <w:sz w:val="22"/>
          <w:szCs w:val="24"/>
          <w:rtl/>
        </w:rPr>
        <w:t xml:space="preserve">מ' </w:t>
      </w:r>
      <w:proofErr w:type="spellStart"/>
      <w:r w:rsidRPr="00760584">
        <w:rPr>
          <w:rFonts w:cs="Miriam" w:hint="cs"/>
          <w:b/>
          <w:spacing w:val="0"/>
          <w:sz w:val="22"/>
          <w:szCs w:val="24"/>
          <w:rtl/>
        </w:rPr>
        <w:t>לנדוי</w:t>
      </w:r>
      <w:proofErr w:type="spellEnd"/>
      <w:r w:rsidRPr="00760584">
        <w:rPr>
          <w:rFonts w:hint="cs"/>
          <w:rtl/>
        </w:rPr>
        <w:t xml:space="preserve"> </w:t>
      </w:r>
      <w:r>
        <w:rPr>
          <w:rFonts w:hint="cs"/>
          <w:rtl/>
        </w:rPr>
        <w:t>באחת הפרשות:</w:t>
      </w:r>
    </w:p>
    <w:p w:rsidR="00760584" w:rsidRDefault="00760584" w:rsidP="00760584">
      <w:pPr>
        <w:pStyle w:val="Ruller41"/>
        <w:rPr>
          <w:rFonts w:ascii="Century" w:hAnsi="Century"/>
          <w:rtl/>
        </w:rPr>
      </w:pPr>
    </w:p>
    <w:p w:rsidR="00760584" w:rsidRPr="00BB74DE" w:rsidRDefault="00760584" w:rsidP="00760584">
      <w:pPr>
        <w:pStyle w:val="Ruller5"/>
        <w:rPr>
          <w:rtl/>
        </w:rPr>
      </w:pPr>
      <w:r w:rsidRPr="00BB74DE">
        <w:rPr>
          <w:rFonts w:hint="cs"/>
          <w:rtl/>
        </w:rPr>
        <w:t>"</w:t>
      </w:r>
      <w:r w:rsidRPr="00BB74DE">
        <w:rPr>
          <w:rtl/>
        </w:rPr>
        <w:t>מבין שתי חוות</w:t>
      </w:r>
      <w:r>
        <w:rPr>
          <w:rFonts w:hint="cs"/>
          <w:rtl/>
        </w:rPr>
        <w:t>-</w:t>
      </w:r>
      <w:r w:rsidRPr="00BB74DE">
        <w:rPr>
          <w:rtl/>
        </w:rPr>
        <w:t xml:space="preserve">הדעת של שופטי הרוב הרחיב חברי הנכבד </w:t>
      </w:r>
      <w:r w:rsidRPr="00832516">
        <w:rPr>
          <w:rtl/>
        </w:rPr>
        <w:t>השופט שמגר</w:t>
      </w:r>
      <w:r w:rsidRPr="00BB74DE">
        <w:rPr>
          <w:rtl/>
        </w:rPr>
        <w:t xml:space="preserve"> את</w:t>
      </w:r>
      <w:r>
        <w:rPr>
          <w:rFonts w:hint="cs"/>
          <w:rtl/>
        </w:rPr>
        <w:t xml:space="preserve"> </w:t>
      </w:r>
      <w:r w:rsidRPr="00BB74DE">
        <w:rPr>
          <w:rtl/>
        </w:rPr>
        <w:t>היריעה וחידש הלכות בעלות משמעות מרחיקת</w:t>
      </w:r>
      <w:r>
        <w:rPr>
          <w:rFonts w:hint="cs"/>
          <w:rtl/>
        </w:rPr>
        <w:t>-</w:t>
      </w:r>
      <w:r w:rsidRPr="00BB74DE">
        <w:rPr>
          <w:rtl/>
        </w:rPr>
        <w:t>לכת בדיני לשון הרע</w:t>
      </w:r>
      <w:r>
        <w:rPr>
          <w:rFonts w:hint="cs"/>
          <w:rtl/>
        </w:rPr>
        <w:t>,</w:t>
      </w:r>
      <w:r w:rsidRPr="00BB74DE">
        <w:rPr>
          <w:rtl/>
        </w:rPr>
        <w:t xml:space="preserve"> בעוד </w:t>
      </w:r>
      <w:r w:rsidRPr="00832516">
        <w:rPr>
          <w:rtl/>
        </w:rPr>
        <w:t>שהשופט</w:t>
      </w:r>
      <w:r w:rsidRPr="00832516">
        <w:rPr>
          <w:rFonts w:hint="cs"/>
          <w:rtl/>
        </w:rPr>
        <w:t xml:space="preserve"> </w:t>
      </w:r>
      <w:proofErr w:type="spellStart"/>
      <w:r w:rsidRPr="00832516">
        <w:rPr>
          <w:rtl/>
        </w:rPr>
        <w:t>ברנזון</w:t>
      </w:r>
      <w:proofErr w:type="spellEnd"/>
      <w:r w:rsidRPr="00BB74DE">
        <w:rPr>
          <w:rtl/>
        </w:rPr>
        <w:t xml:space="preserve"> העמיד את החלטתו על בסים יותר צר</w:t>
      </w:r>
      <w:r>
        <w:rPr>
          <w:rFonts w:hint="cs"/>
          <w:rtl/>
        </w:rPr>
        <w:t>,</w:t>
      </w:r>
      <w:r w:rsidRPr="00BB74DE">
        <w:rPr>
          <w:rtl/>
        </w:rPr>
        <w:t xml:space="preserve"> המוגבל להחלת הוראותיו של חוק איסור</w:t>
      </w:r>
      <w:r>
        <w:rPr>
          <w:rFonts w:hint="cs"/>
          <w:rtl/>
        </w:rPr>
        <w:t xml:space="preserve"> </w:t>
      </w:r>
      <w:r w:rsidRPr="00BB74DE">
        <w:rPr>
          <w:rtl/>
        </w:rPr>
        <w:t>לשון הרע</w:t>
      </w:r>
      <w:r>
        <w:rPr>
          <w:rFonts w:hint="cs"/>
          <w:rtl/>
        </w:rPr>
        <w:t>,</w:t>
      </w:r>
      <w:r w:rsidRPr="00BB74DE">
        <w:rPr>
          <w:rtl/>
        </w:rPr>
        <w:t xml:space="preserve"> תשכ</w:t>
      </w:r>
      <w:r>
        <w:rPr>
          <w:rFonts w:hint="cs"/>
          <w:rtl/>
        </w:rPr>
        <w:t>"</w:t>
      </w:r>
      <w:r w:rsidRPr="00BB74DE">
        <w:rPr>
          <w:rtl/>
        </w:rPr>
        <w:t>ה</w:t>
      </w:r>
      <w:r>
        <w:rPr>
          <w:rtl/>
        </w:rPr>
        <w:t>–</w:t>
      </w:r>
      <w:r w:rsidRPr="00BB74DE">
        <w:rPr>
          <w:rtl/>
        </w:rPr>
        <w:t>1965</w:t>
      </w:r>
      <w:r>
        <w:rPr>
          <w:rFonts w:hint="cs"/>
          <w:rtl/>
        </w:rPr>
        <w:t xml:space="preserve">, </w:t>
      </w:r>
      <w:r w:rsidRPr="00BB74DE">
        <w:rPr>
          <w:rtl/>
        </w:rPr>
        <w:t>על עובדות המקרה, מבלי לחוות דעה בשאלות העקרוניות</w:t>
      </w:r>
      <w:r w:rsidRPr="00BB74DE">
        <w:t xml:space="preserve"> </w:t>
      </w:r>
      <w:r w:rsidRPr="00BB74DE">
        <w:rPr>
          <w:rtl/>
        </w:rPr>
        <w:t>הכרוכות בחוות</w:t>
      </w:r>
      <w:r>
        <w:rPr>
          <w:rFonts w:hint="cs"/>
          <w:rtl/>
        </w:rPr>
        <w:t>-</w:t>
      </w:r>
      <w:r w:rsidRPr="00BB74DE">
        <w:rPr>
          <w:rtl/>
        </w:rPr>
        <w:t xml:space="preserve">דעתו של חברי והנכבד. בכל הנוגע לשאלות אלה דעת חברי הנכבד </w:t>
      </w:r>
      <w:proofErr w:type="spellStart"/>
      <w:r w:rsidRPr="00BB74DE">
        <w:rPr>
          <w:rtl/>
        </w:rPr>
        <w:t>היתה</w:t>
      </w:r>
      <w:proofErr w:type="spellEnd"/>
      <w:r>
        <w:rPr>
          <w:rFonts w:hint="cs"/>
          <w:rtl/>
        </w:rPr>
        <w:t xml:space="preserve"> </w:t>
      </w:r>
      <w:proofErr w:type="spellStart"/>
      <w:r w:rsidRPr="00BB74DE">
        <w:rPr>
          <w:rtl/>
        </w:rPr>
        <w:t>איפוא</w:t>
      </w:r>
      <w:proofErr w:type="spellEnd"/>
      <w:r w:rsidRPr="00BB74DE">
        <w:rPr>
          <w:rtl/>
        </w:rPr>
        <w:t xml:space="preserve"> דעת יחיד. </w:t>
      </w:r>
      <w:r w:rsidRPr="00760584">
        <w:rPr>
          <w:rFonts w:ascii="Century" w:hAnsi="Century" w:cs="Miriam"/>
          <w:b/>
          <w:spacing w:val="0"/>
          <w:szCs w:val="24"/>
          <w:rtl/>
        </w:rPr>
        <w:t>אבל אין ספק שאפ</w:t>
      </w:r>
      <w:r w:rsidRPr="00760584">
        <w:rPr>
          <w:rFonts w:ascii="Century" w:hAnsi="Century" w:cs="Miriam" w:hint="cs"/>
          <w:b/>
          <w:spacing w:val="0"/>
          <w:szCs w:val="24"/>
          <w:rtl/>
        </w:rPr>
        <w:t>י</w:t>
      </w:r>
      <w:r w:rsidRPr="00760584">
        <w:rPr>
          <w:rFonts w:ascii="Century" w:hAnsi="Century" w:cs="Miriam"/>
          <w:b/>
          <w:spacing w:val="0"/>
          <w:szCs w:val="24"/>
          <w:rtl/>
        </w:rPr>
        <w:t>לו בהיותה כזאת היא עשו</w:t>
      </w:r>
      <w:r w:rsidRPr="00760584">
        <w:rPr>
          <w:rFonts w:ascii="Century" w:hAnsi="Century" w:cs="Miriam" w:hint="cs"/>
          <w:b/>
          <w:spacing w:val="0"/>
          <w:szCs w:val="24"/>
          <w:rtl/>
        </w:rPr>
        <w:t>י</w:t>
      </w:r>
      <w:r w:rsidRPr="00760584">
        <w:rPr>
          <w:rFonts w:ascii="Century" w:hAnsi="Century" w:cs="Miriam"/>
          <w:b/>
          <w:spacing w:val="0"/>
          <w:szCs w:val="24"/>
          <w:rtl/>
        </w:rPr>
        <w:t>ה להתקבל, משום הנמקתה</w:t>
      </w:r>
      <w:r w:rsidRPr="00760584">
        <w:rPr>
          <w:rFonts w:ascii="Century" w:hAnsi="Century" w:cs="Miriam" w:hint="cs"/>
          <w:b/>
          <w:spacing w:val="0"/>
          <w:szCs w:val="24"/>
          <w:rtl/>
        </w:rPr>
        <w:t xml:space="preserve"> </w:t>
      </w:r>
      <w:r w:rsidRPr="00760584">
        <w:rPr>
          <w:rFonts w:ascii="Century" w:hAnsi="Century" w:cs="Miriam"/>
          <w:b/>
          <w:spacing w:val="0"/>
          <w:szCs w:val="24"/>
          <w:rtl/>
        </w:rPr>
        <w:t>המלאה, כדעה מחייבת אשר נועדה להדריך להבא את הרבים בהתנהגותם ובתביעותיהם</w:t>
      </w:r>
      <w:r w:rsidRPr="00760584">
        <w:rPr>
          <w:rFonts w:ascii="Century" w:hAnsi="Century" w:cs="Miriam" w:hint="cs"/>
          <w:b/>
          <w:spacing w:val="0"/>
          <w:szCs w:val="24"/>
          <w:rtl/>
        </w:rPr>
        <w:t>,</w:t>
      </w:r>
      <w:r w:rsidRPr="00760584">
        <w:rPr>
          <w:rFonts w:ascii="Century" w:hAnsi="Century" w:cs="Miriam"/>
          <w:b/>
          <w:spacing w:val="0"/>
          <w:szCs w:val="24"/>
          <w:rtl/>
        </w:rPr>
        <w:t xml:space="preserve"> אלא אם נסיק אנחנו בדיון נוסף זה מסקנות אחרות</w:t>
      </w:r>
      <w:r w:rsidRPr="00BB74DE">
        <w:rPr>
          <w:rFonts w:hint="cs"/>
          <w:rtl/>
        </w:rPr>
        <w:t>"</w:t>
      </w:r>
      <w:r>
        <w:rPr>
          <w:rFonts w:hint="cs"/>
          <w:rtl/>
        </w:rPr>
        <w:t xml:space="preserve"> (עניין </w:t>
      </w:r>
      <w:r w:rsidRPr="00B2290C">
        <w:rPr>
          <w:rFonts w:ascii="Century" w:hAnsi="Century" w:cs="Miriam" w:hint="cs"/>
          <w:b/>
          <w:spacing w:val="0"/>
          <w:szCs w:val="24"/>
          <w:rtl/>
        </w:rPr>
        <w:t>חברת החשמל</w:t>
      </w:r>
      <w:r>
        <w:rPr>
          <w:rFonts w:hint="cs"/>
          <w:rtl/>
        </w:rPr>
        <w:t>, בעמ' 340-339; ההדגשה הוספה).</w:t>
      </w:r>
    </w:p>
    <w:p w:rsidR="00760584" w:rsidRDefault="00760584" w:rsidP="00760584">
      <w:pPr>
        <w:pStyle w:val="Ruller41"/>
        <w:rPr>
          <w:rFonts w:ascii="Century" w:hAnsi="Century"/>
          <w:rtl/>
        </w:rPr>
      </w:pPr>
    </w:p>
    <w:p w:rsidR="00760584" w:rsidRDefault="00760584" w:rsidP="00760584">
      <w:pPr>
        <w:pStyle w:val="Ruller4"/>
        <w:rPr>
          <w:rtl/>
        </w:rPr>
      </w:pPr>
      <w:r>
        <w:rPr>
          <w:rFonts w:hint="cs"/>
          <w:rtl/>
        </w:rPr>
        <w:t>בענייננו,</w:t>
      </w:r>
      <w:r w:rsidRPr="00903F1B">
        <w:rPr>
          <w:rFonts w:hint="cs"/>
          <w:rtl/>
        </w:rPr>
        <w:t xml:space="preserve"> </w:t>
      </w:r>
      <w:r w:rsidRPr="008C436E">
        <w:rPr>
          <w:rtl/>
        </w:rPr>
        <w:t xml:space="preserve">הדיינים והשופטים שדנו בסוגיה </w:t>
      </w:r>
      <w:r>
        <w:rPr>
          <w:rFonts w:hint="cs"/>
          <w:rtl/>
        </w:rPr>
        <w:t>שהונחה לפתחנו</w:t>
      </w:r>
      <w:r w:rsidRPr="008C436E">
        <w:rPr>
          <w:rtl/>
        </w:rPr>
        <w:t xml:space="preserve"> – בבית הדין </w:t>
      </w:r>
      <w:r>
        <w:rPr>
          <w:rFonts w:hint="cs"/>
          <w:rtl/>
        </w:rPr>
        <w:t xml:space="preserve">הרבני </w:t>
      </w:r>
      <w:r w:rsidRPr="008C436E">
        <w:rPr>
          <w:rtl/>
        </w:rPr>
        <w:t xml:space="preserve">האזורי, בבית הדין </w:t>
      </w:r>
      <w:r>
        <w:rPr>
          <w:rFonts w:hint="cs"/>
          <w:rtl/>
        </w:rPr>
        <w:t xml:space="preserve">הרבני </w:t>
      </w:r>
      <w:r w:rsidRPr="008C436E">
        <w:rPr>
          <w:rtl/>
        </w:rPr>
        <w:t xml:space="preserve">הגדול, וכן בפסק דינו של בית המשפט העליון – הביעו עמדות שונות בנוגע </w:t>
      </w:r>
      <w:r>
        <w:rPr>
          <w:rFonts w:hint="cs"/>
          <w:rtl/>
        </w:rPr>
        <w:t xml:space="preserve">לשאלות </w:t>
      </w:r>
      <w:r w:rsidRPr="008C436E">
        <w:rPr>
          <w:rtl/>
        </w:rPr>
        <w:t>שבמוקד הדיון הנוסף. חלקים מחוו</w:t>
      </w:r>
      <w:r>
        <w:rPr>
          <w:rFonts w:hint="cs"/>
          <w:rtl/>
        </w:rPr>
        <w:t>ֹ</w:t>
      </w:r>
      <w:r>
        <w:rPr>
          <w:rtl/>
        </w:rPr>
        <w:t>ת דעת</w:t>
      </w:r>
      <w:r>
        <w:rPr>
          <w:rFonts w:hint="cs"/>
          <w:rtl/>
        </w:rPr>
        <w:t xml:space="preserve"> אלו</w:t>
      </w:r>
      <w:r>
        <w:rPr>
          <w:rtl/>
        </w:rPr>
        <w:t xml:space="preserve"> נותרו אמנם בגדר דע</w:t>
      </w:r>
      <w:r w:rsidRPr="008C436E">
        <w:rPr>
          <w:rtl/>
        </w:rPr>
        <w:t>ת יחיד</w:t>
      </w:r>
      <w:r>
        <w:rPr>
          <w:rFonts w:hint="cs"/>
          <w:rtl/>
        </w:rPr>
        <w:t>.</w:t>
      </w:r>
      <w:r w:rsidRPr="008C436E">
        <w:rPr>
          <w:rtl/>
        </w:rPr>
        <w:t xml:space="preserve"> אך </w:t>
      </w:r>
      <w:r>
        <w:rPr>
          <w:rFonts w:hint="cs"/>
          <w:rtl/>
        </w:rPr>
        <w:t xml:space="preserve">המחלוקת הפסיקתית העמוקה שהתגלעה בנושא, בצירוף אותה "עמימות אינהרנטית" המאפיינת את הלכת השיתוף הספציפי מעצם טבעה </w:t>
      </w:r>
      <w:r>
        <w:rPr>
          <w:rtl/>
        </w:rPr>
        <w:t>–</w:t>
      </w:r>
      <w:r>
        <w:rPr>
          <w:rFonts w:hint="cs"/>
          <w:rtl/>
        </w:rPr>
        <w:t xml:space="preserve"> הובילו אותי למסקנה </w:t>
      </w:r>
      <w:r>
        <w:rPr>
          <w:rFonts w:hint="cs"/>
          <w:rtl/>
        </w:rPr>
        <w:lastRenderedPageBreak/>
        <w:t xml:space="preserve">שריבוי עמדות זה מצדיק דיון נוסף, בפרט נוכח העובדה שסוגיית היקפה וטיבה של הלכת השיתוף הספציפי היא סוגיה רבת-חשיבות המתעוררת תדיר בפני הערכאות הדיוניות. במילים אחרות, סברתי כי יש לקיים דיון נוסף על מנת </w:t>
      </w:r>
      <w:r w:rsidRPr="00903F1B">
        <w:rPr>
          <w:rFonts w:hint="cs"/>
          <w:rtl/>
        </w:rPr>
        <w:t xml:space="preserve">להעמיד הלכה על מכונה </w:t>
      </w:r>
      <w:r>
        <w:rPr>
          <w:rFonts w:hint="cs"/>
          <w:rtl/>
        </w:rPr>
        <w:t xml:space="preserve">ולהבהיר את הטעון הבהרה בסוגיות שעלו בענייננו </w:t>
      </w:r>
      <w:r>
        <w:rPr>
          <w:rtl/>
        </w:rPr>
        <w:t>–</w:t>
      </w:r>
      <w:r>
        <w:rPr>
          <w:rFonts w:hint="cs"/>
          <w:rtl/>
        </w:rPr>
        <w:t xml:space="preserve"> וכך אכן נעשָֹה, אף שחברי השופט סולברג בחר למקד את חוות דעתו רובה ככולה בהשגות על עצם ההחלטה לקיים דיון נוסף ולא בסוגיית השיתוף הספציפי בנכס, לגופה. </w:t>
      </w:r>
    </w:p>
    <w:p w:rsidR="00760584" w:rsidRDefault="00760584" w:rsidP="00760584">
      <w:pPr>
        <w:pStyle w:val="Ruller41"/>
        <w:rPr>
          <w:rFonts w:ascii="Century" w:hAnsi="Century"/>
          <w:rtl/>
        </w:rPr>
      </w:pPr>
    </w:p>
    <w:p w:rsidR="00760584" w:rsidRPr="00200708" w:rsidRDefault="00760584" w:rsidP="00760584">
      <w:pPr>
        <w:pStyle w:val="Ruller4"/>
        <w:rPr>
          <w:rtl/>
        </w:rPr>
      </w:pPr>
      <w:r>
        <w:rPr>
          <w:rFonts w:hint="cs"/>
          <w:rtl/>
        </w:rPr>
        <w:t xml:space="preserve">חברי השופט </w:t>
      </w:r>
      <w:r w:rsidRPr="00760584">
        <w:rPr>
          <w:rFonts w:cs="Miriam" w:hint="cs"/>
          <w:b/>
          <w:spacing w:val="0"/>
          <w:sz w:val="22"/>
          <w:szCs w:val="24"/>
          <w:rtl/>
        </w:rPr>
        <w:t>שטיין</w:t>
      </w:r>
      <w:r>
        <w:rPr>
          <w:rFonts w:hint="cs"/>
          <w:rtl/>
        </w:rPr>
        <w:t xml:space="preserve">, מצדו, הציע מנגנון חדש לחלוקת הזכויות בנכסים חיצוניים בין בני זוג לאורך חיי הנישואין. כפי שציינו חבריי השופטים </w:t>
      </w:r>
      <w:r w:rsidRPr="00760584">
        <w:rPr>
          <w:rFonts w:cs="Miriam" w:hint="cs"/>
          <w:b/>
          <w:spacing w:val="0"/>
          <w:sz w:val="22"/>
          <w:szCs w:val="24"/>
          <w:rtl/>
        </w:rPr>
        <w:t>ד' ברק-ארז</w:t>
      </w:r>
      <w:r w:rsidRPr="00760584">
        <w:rPr>
          <w:rFonts w:hint="cs"/>
          <w:rtl/>
        </w:rPr>
        <w:t xml:space="preserve"> </w:t>
      </w:r>
      <w:r>
        <w:rPr>
          <w:rFonts w:hint="cs"/>
          <w:rtl/>
        </w:rPr>
        <w:t>ו</w:t>
      </w:r>
      <w:r>
        <w:rPr>
          <w:rFonts w:cs="Miriam" w:hint="cs"/>
          <w:b/>
          <w:rtl/>
        </w:rPr>
        <w:t>-</w:t>
      </w:r>
      <w:r w:rsidRPr="00760584">
        <w:rPr>
          <w:rFonts w:cs="Miriam" w:hint="cs"/>
          <w:b/>
          <w:szCs w:val="24"/>
          <w:rtl/>
        </w:rPr>
        <w:t>ד' מינץ</w:t>
      </w:r>
      <w:r>
        <w:rPr>
          <w:rFonts w:hint="cs"/>
          <w:rtl/>
        </w:rPr>
        <w:t xml:space="preserve">, הצעתו של השופט </w:t>
      </w:r>
      <w:r w:rsidRPr="00760584">
        <w:rPr>
          <w:rFonts w:cs="Miriam" w:hint="cs"/>
          <w:b/>
          <w:spacing w:val="0"/>
          <w:sz w:val="22"/>
          <w:szCs w:val="24"/>
          <w:rtl/>
        </w:rPr>
        <w:t>שטיין</w:t>
      </w:r>
      <w:r>
        <w:rPr>
          <w:rFonts w:hint="cs"/>
          <w:rtl/>
        </w:rPr>
        <w:t xml:space="preserve"> חורגת ממסגרת הדיון שלפנינו. הצדדים לדיון הנוסף לא העלו טענות בעניין תוקפה של הלכת השיתוף הספציפי או באשר ל</w:t>
      </w:r>
      <w:r w:rsidR="00C9757A">
        <w:rPr>
          <w:rFonts w:hint="cs"/>
          <w:rtl/>
        </w:rPr>
        <w:t>קיומן של חלופות להלכה זו, ואף</w:t>
      </w:r>
      <w:r>
        <w:rPr>
          <w:rFonts w:hint="cs"/>
          <w:rtl/>
        </w:rPr>
        <w:t xml:space="preserve"> לא נתבקשו לעשות כן. לפיכך, לא ראיתי מקום להידרש לכך. </w:t>
      </w:r>
    </w:p>
    <w:p w:rsidR="00760584" w:rsidRDefault="00760584" w:rsidP="00FA3A86">
      <w:pPr>
        <w:rPr>
          <w:rFonts w:cs="Miriam"/>
          <w:b/>
          <w:sz w:val="22"/>
          <w:rtl/>
        </w:rPr>
      </w:pPr>
    </w:p>
    <w:p w:rsidR="00FA3A86" w:rsidRDefault="00FA3A86" w:rsidP="00FA3A86">
      <w:pPr>
        <w:rPr>
          <w:rFonts w:cs="Miriam"/>
          <w:b/>
          <w:sz w:val="22"/>
          <w:rtl/>
        </w:rPr>
      </w:pPr>
      <w:r w:rsidRPr="007A06B6">
        <w:rPr>
          <w:rFonts w:cs="Miriam" w:hint="cs"/>
          <w:b/>
          <w:sz w:val="22"/>
          <w:rtl/>
        </w:rPr>
        <w:t xml:space="preserve">סוף דבר </w:t>
      </w:r>
    </w:p>
    <w:p w:rsidR="00760584" w:rsidRDefault="00760584" w:rsidP="00FA3A86">
      <w:pPr>
        <w:rPr>
          <w:rFonts w:cs="Miriam"/>
          <w:b/>
          <w:sz w:val="22"/>
          <w:rtl/>
        </w:rPr>
      </w:pPr>
    </w:p>
    <w:p w:rsidR="00FA3A86" w:rsidRPr="007A06B6" w:rsidRDefault="00FA3A86" w:rsidP="00FA3A86">
      <w:pPr>
        <w:rPr>
          <w:rFonts w:cs="Miriam"/>
          <w:b/>
          <w:sz w:val="22"/>
          <w:rtl/>
        </w:rPr>
      </w:pPr>
    </w:p>
    <w:p w:rsidR="00FA3A86" w:rsidRDefault="00FA3A86" w:rsidP="00FA3A86">
      <w:pPr>
        <w:pStyle w:val="Ruller4"/>
      </w:pPr>
      <w:r>
        <w:rPr>
          <w:rFonts w:hint="cs"/>
          <w:rtl/>
        </w:rPr>
        <w:t xml:space="preserve">בהלכת </w:t>
      </w:r>
      <w:r w:rsidRPr="00E02FD7">
        <w:rPr>
          <w:rFonts w:ascii="Century" w:hAnsi="Century" w:cs="Miriam" w:hint="eastAsia"/>
          <w:b/>
          <w:spacing w:val="0"/>
          <w:sz w:val="22"/>
          <w:szCs w:val="24"/>
          <w:rtl/>
        </w:rPr>
        <w:t>בבלי</w:t>
      </w:r>
      <w:r>
        <w:rPr>
          <w:rFonts w:hint="cs"/>
          <w:rtl/>
        </w:rPr>
        <w:t xml:space="preserve"> הובהר כי על בתי הדין הדתיים להחיל את הדין האזרחי כפי שהוא מפורש על-ידי בית המשפט העליון, בסוגיות </w:t>
      </w:r>
      <w:proofErr w:type="spellStart"/>
      <w:r>
        <w:rPr>
          <w:rFonts w:hint="cs"/>
          <w:rtl/>
        </w:rPr>
        <w:t>רכושיות</w:t>
      </w:r>
      <w:proofErr w:type="spellEnd"/>
      <w:r>
        <w:rPr>
          <w:rFonts w:hint="cs"/>
          <w:rtl/>
        </w:rPr>
        <w:t xml:space="preserve"> הנכרכות בענייני גירושין</w:t>
      </w:r>
      <w:r w:rsidRPr="00E02FD7">
        <w:rPr>
          <w:rtl/>
        </w:rPr>
        <w:t>.</w:t>
      </w:r>
      <w:r>
        <w:rPr>
          <w:rFonts w:hint="cs"/>
          <w:rtl/>
        </w:rPr>
        <w:t xml:space="preserve"> הלכת השיתוף הספציפי היא הלכה מושרשת וארוכת שנים בדין האזרחי, המתווה עקרונות ואמות מידה לתחולתה וליישומה. הזכות המוקנית מכוחה היא </w:t>
      </w:r>
      <w:r w:rsidRPr="00604EF9">
        <w:rPr>
          <w:rFonts w:hint="cs"/>
          <w:rtl/>
        </w:rPr>
        <w:t xml:space="preserve">זכות </w:t>
      </w:r>
      <w:r w:rsidRPr="00214AB8">
        <w:rPr>
          <w:rFonts w:ascii="Century" w:hAnsi="Century"/>
          <w:sz w:val="22"/>
          <w:rtl/>
        </w:rPr>
        <w:t>מעין</w:t>
      </w:r>
      <w:r w:rsidRPr="00214AB8">
        <w:rPr>
          <w:rFonts w:ascii="Century" w:hAnsi="Century" w:hint="cs"/>
          <w:sz w:val="22"/>
          <w:rtl/>
        </w:rPr>
        <w:t>-</w:t>
      </w:r>
      <w:r w:rsidRPr="00214AB8">
        <w:rPr>
          <w:rFonts w:ascii="Century" w:hAnsi="Century"/>
          <w:sz w:val="22"/>
          <w:rtl/>
        </w:rPr>
        <w:t>קניינית</w:t>
      </w:r>
      <w:r w:rsidRPr="00214AB8">
        <w:rPr>
          <w:rFonts w:ascii="Century" w:hAnsi="Century" w:hint="cs"/>
          <w:sz w:val="22"/>
          <w:rtl/>
        </w:rPr>
        <w:t xml:space="preserve"> המתגבשת ב</w:t>
      </w:r>
      <w:r w:rsidRPr="00214AB8">
        <w:rPr>
          <w:rFonts w:ascii="Century" w:hAnsi="Century"/>
          <w:sz w:val="22"/>
          <w:rtl/>
        </w:rPr>
        <w:t>מהלך</w:t>
      </w:r>
      <w:r w:rsidRPr="00214AB8">
        <w:rPr>
          <w:rFonts w:hint="cs"/>
          <w:rtl/>
        </w:rPr>
        <w:t xml:space="preserve"> </w:t>
      </w:r>
      <w:r w:rsidRPr="00604EF9">
        <w:rPr>
          <w:rFonts w:hint="cs"/>
          <w:rtl/>
        </w:rPr>
        <w:t>חיי הנישואין</w:t>
      </w:r>
      <w:r>
        <w:rPr>
          <w:rFonts w:hint="cs"/>
          <w:rtl/>
        </w:rPr>
        <w:t>,</w:t>
      </w:r>
      <w:r w:rsidRPr="00604EF9">
        <w:rPr>
          <w:rFonts w:hint="cs"/>
          <w:rtl/>
        </w:rPr>
        <w:t xml:space="preserve"> עם התגבשותה של כוונת שיתוף</w:t>
      </w:r>
      <w:r>
        <w:rPr>
          <w:rFonts w:hint="cs"/>
          <w:rtl/>
        </w:rPr>
        <w:t>. על כן, לא ניתן לשלול אותה בדיעבד בשל אירועים שהתרחשו לאחר התגבשות כוונת השיתוף, אף לא במקרה דנן, בשל אירוע אי-נאמנות מינית. מן הטעמים שפורטו, פסק דינו של בית הדין הרבני הגדול אינו עולה</w:t>
      </w:r>
      <w:r w:rsidRPr="00604EF9">
        <w:rPr>
          <w:rFonts w:hint="cs"/>
          <w:rtl/>
        </w:rPr>
        <w:t xml:space="preserve"> </w:t>
      </w:r>
      <w:r>
        <w:rPr>
          <w:rFonts w:hint="cs"/>
          <w:rtl/>
        </w:rPr>
        <w:t>בקנה אחד עם הדין האזרחי ועם הלכת השיתוף הספציפי כפי שהותוותה זה מכבר על-ידי בית המשפט העליון. יפים לעניי</w:t>
      </w:r>
      <w:r>
        <w:rPr>
          <w:rFonts w:hint="eastAsia"/>
          <w:rtl/>
        </w:rPr>
        <w:t>ן</w:t>
      </w:r>
      <w:r>
        <w:rPr>
          <w:rFonts w:hint="cs"/>
          <w:rtl/>
        </w:rPr>
        <w:t xml:space="preserve"> זה דבריו של חברי, השופט </w:t>
      </w:r>
      <w:r w:rsidRPr="00C57004">
        <w:rPr>
          <w:rFonts w:cs="Miriam" w:hint="eastAsia"/>
          <w:szCs w:val="24"/>
          <w:rtl/>
        </w:rPr>
        <w:t>עמית</w:t>
      </w:r>
      <w:r>
        <w:rPr>
          <w:rFonts w:cs="Miriam" w:hint="cs"/>
          <w:szCs w:val="24"/>
          <w:rtl/>
        </w:rPr>
        <w:t>,</w:t>
      </w:r>
      <w:r>
        <w:rPr>
          <w:rFonts w:hint="cs"/>
          <w:rtl/>
        </w:rPr>
        <w:t xml:space="preserve"> בפסק הדין נושא הדיון הנוסף: </w:t>
      </w:r>
    </w:p>
    <w:p w:rsidR="00FA3A86" w:rsidRDefault="00FA3A86" w:rsidP="00FA3A86">
      <w:pPr>
        <w:pStyle w:val="Ruller4"/>
        <w:numPr>
          <w:ilvl w:val="0"/>
          <w:numId w:val="0"/>
        </w:numPr>
        <w:rPr>
          <w:rtl/>
        </w:rPr>
      </w:pPr>
    </w:p>
    <w:p w:rsidR="00FA3A86" w:rsidRDefault="00FA3A86" w:rsidP="00FA3A86">
      <w:pPr>
        <w:pStyle w:val="Ruller5"/>
        <w:rPr>
          <w:color w:val="000000"/>
          <w:sz w:val="28"/>
          <w:rtl/>
        </w:rPr>
      </w:pPr>
      <w:r>
        <w:rPr>
          <w:rFonts w:hint="cs"/>
          <w:rtl/>
        </w:rPr>
        <w:t xml:space="preserve">"התערבותו של בית משפט זה בפסקי דינו של בית הדין הרבני הגדול אינה עניין של מה בכך. הזכרנו כי ההתערבות </w:t>
      </w:r>
      <w:r>
        <w:rPr>
          <w:rFonts w:hint="cs"/>
          <w:color w:val="000000"/>
          <w:sz w:val="28"/>
          <w:rtl/>
        </w:rPr>
        <w:t xml:space="preserve">בפסיקת בתי הדין שמורה למקרים חריגים והדבר נובע, בין היתר, מעקרון הכבוד ההדדי בין הערכאות. </w:t>
      </w:r>
      <w:r w:rsidRPr="00BD1469">
        <w:rPr>
          <w:rFonts w:ascii="Century" w:hAnsi="Century" w:hint="cs"/>
          <w:rtl/>
        </w:rPr>
        <w:t>בית משפט זה נזהר שלא להסיג גבולו של בית הדין בנושאים שבהלכה. כך גם על בית</w:t>
      </w:r>
      <w:r w:rsidRPr="00BD1469">
        <w:rPr>
          <w:rFonts w:hint="cs"/>
          <w:color w:val="000000"/>
          <w:sz w:val="28"/>
          <w:rtl/>
        </w:rPr>
        <w:t xml:space="preserve"> </w:t>
      </w:r>
      <w:r>
        <w:rPr>
          <w:rFonts w:hint="cs"/>
          <w:color w:val="000000"/>
          <w:sz w:val="28"/>
          <w:rtl/>
        </w:rPr>
        <w:t xml:space="preserve">הדין הרבני שלא להסיג גבולו של הדין האזרחי בנושאי רכוש" (פסקה 16 לחוות דעתו). </w:t>
      </w:r>
    </w:p>
    <w:p w:rsidR="00FA3A86" w:rsidRDefault="00FA3A86" w:rsidP="00FA3A86">
      <w:pPr>
        <w:pStyle w:val="Ruller4"/>
        <w:numPr>
          <w:ilvl w:val="0"/>
          <w:numId w:val="0"/>
        </w:numPr>
        <w:rPr>
          <w:rtl/>
        </w:rPr>
      </w:pPr>
    </w:p>
    <w:p w:rsidR="00A717C6" w:rsidRPr="00A717C6" w:rsidRDefault="00FA3A86" w:rsidP="00A717C6">
      <w:pPr>
        <w:pStyle w:val="Ruller4"/>
        <w:rPr>
          <w:rtl/>
        </w:rPr>
      </w:pPr>
      <w:r>
        <w:rPr>
          <w:rtl/>
        </w:rPr>
        <w:tab/>
      </w:r>
      <w:r>
        <w:rPr>
          <w:rFonts w:hint="cs"/>
          <w:rtl/>
        </w:rPr>
        <w:t xml:space="preserve">אשר על כן, </w:t>
      </w:r>
      <w:r w:rsidRPr="00095E56">
        <w:rPr>
          <w:rFonts w:hint="cs"/>
          <w:rtl/>
        </w:rPr>
        <w:t xml:space="preserve">לו תישמע דעתי, אציע לקבוע כי במקרה דנן </w:t>
      </w:r>
      <w:r>
        <w:rPr>
          <w:rFonts w:hint="cs"/>
          <w:rtl/>
        </w:rPr>
        <w:t xml:space="preserve">עלה בידי המבקשת להוכיח את </w:t>
      </w:r>
      <w:r w:rsidRPr="00095E56">
        <w:rPr>
          <w:rFonts w:hint="cs"/>
          <w:rtl/>
        </w:rPr>
        <w:t xml:space="preserve">תנאיה של הלכת השיתוף </w:t>
      </w:r>
      <w:r>
        <w:rPr>
          <w:rFonts w:hint="cs"/>
          <w:rtl/>
        </w:rPr>
        <w:t>ה</w:t>
      </w:r>
      <w:r w:rsidRPr="00095E56">
        <w:rPr>
          <w:rFonts w:hint="cs"/>
          <w:rtl/>
        </w:rPr>
        <w:t xml:space="preserve">ספציפי </w:t>
      </w:r>
      <w:r>
        <w:rPr>
          <w:rFonts w:hint="cs"/>
          <w:rtl/>
        </w:rPr>
        <w:t xml:space="preserve">כפי שפורטו לעיל, ולפיכך </w:t>
      </w:r>
      <w:r w:rsidRPr="00095E56">
        <w:rPr>
          <w:rFonts w:hint="cs"/>
          <w:rtl/>
        </w:rPr>
        <w:t xml:space="preserve">היא </w:t>
      </w:r>
      <w:r>
        <w:rPr>
          <w:rFonts w:hint="cs"/>
          <w:rtl/>
        </w:rPr>
        <w:t xml:space="preserve">בעלת </w:t>
      </w:r>
      <w:r>
        <w:rPr>
          <w:rFonts w:hint="cs"/>
          <w:rtl/>
        </w:rPr>
        <w:lastRenderedPageBreak/>
        <w:t>מחצית מבית המגורים של בני הזוג. עוד</w:t>
      </w:r>
      <w:r w:rsidRPr="00095E56">
        <w:rPr>
          <w:rFonts w:hint="cs"/>
          <w:rtl/>
        </w:rPr>
        <w:t xml:space="preserve"> אצ</w:t>
      </w:r>
      <w:r>
        <w:rPr>
          <w:rFonts w:hint="cs"/>
          <w:rtl/>
        </w:rPr>
        <w:t xml:space="preserve">יע כי בנסיבות העניין ולנוכח חשיבות הסוגיה שהובאה לפתחו של בית משפט זה במסגרת הבקשה לדיון נוסף, לא ייעשה צו להוצאות.  </w:t>
      </w:r>
    </w:p>
    <w:p w:rsidR="00A717C6" w:rsidRDefault="009870B6" w:rsidP="00A717C6">
      <w:pPr>
        <w:pStyle w:val="Ruller41"/>
        <w:rPr>
          <w:rtl/>
        </w:rPr>
      </w:pPr>
      <w:r>
        <w:rPr>
          <w:rtl/>
        </w:rPr>
        <w:br/>
      </w:r>
    </w:p>
    <w:tbl>
      <w:tblPr>
        <w:bidiVisual/>
        <w:tblW w:w="8363" w:type="dxa"/>
        <w:tblLook w:val="01E0" w:firstRow="1" w:lastRow="1" w:firstColumn="1" w:lastColumn="1" w:noHBand="0" w:noVBand="0"/>
      </w:tblPr>
      <w:tblGrid>
        <w:gridCol w:w="2783"/>
        <w:gridCol w:w="2797"/>
        <w:gridCol w:w="2783"/>
      </w:tblGrid>
      <w:tr w:rsidR="00D959FD" w:rsidTr="00760584">
        <w:tc>
          <w:tcPr>
            <w:tcW w:w="2783" w:type="dxa"/>
            <w:shd w:val="clear" w:color="auto" w:fill="auto"/>
          </w:tcPr>
          <w:p w:rsidR="00D959FD" w:rsidRDefault="00D959FD" w:rsidP="00760584">
            <w:pPr>
              <w:pStyle w:val="Ruller41"/>
              <w:spacing w:line="240" w:lineRule="auto"/>
              <w:rPr>
                <w:rtl/>
              </w:rPr>
            </w:pPr>
          </w:p>
        </w:tc>
        <w:tc>
          <w:tcPr>
            <w:tcW w:w="2797" w:type="dxa"/>
            <w:shd w:val="clear" w:color="auto" w:fill="auto"/>
          </w:tcPr>
          <w:p w:rsidR="00D959FD" w:rsidRDefault="00D959FD" w:rsidP="00760584">
            <w:pPr>
              <w:pStyle w:val="Ruller41"/>
              <w:spacing w:line="240" w:lineRule="auto"/>
              <w:jc w:val="center"/>
              <w:rPr>
                <w:rtl/>
              </w:rPr>
            </w:pPr>
          </w:p>
        </w:tc>
        <w:tc>
          <w:tcPr>
            <w:tcW w:w="2783" w:type="dxa"/>
            <w:shd w:val="clear" w:color="auto" w:fill="auto"/>
          </w:tcPr>
          <w:p w:rsidR="00D959FD" w:rsidRDefault="00D959FD" w:rsidP="00760584">
            <w:pPr>
              <w:pStyle w:val="Ruller41"/>
              <w:spacing w:line="240" w:lineRule="auto"/>
              <w:jc w:val="center"/>
              <w:rPr>
                <w:rtl/>
              </w:rPr>
            </w:pPr>
            <w:r>
              <w:rPr>
                <w:rtl/>
              </w:rPr>
              <w:t>ה נ ש י א ה</w:t>
            </w:r>
          </w:p>
        </w:tc>
      </w:tr>
    </w:tbl>
    <w:p w:rsidR="00D2065C" w:rsidRPr="003C3128" w:rsidRDefault="00D2065C" w:rsidP="00D959FD">
      <w:pPr>
        <w:pStyle w:val="Ruller41"/>
        <w:rPr>
          <w:sz w:val="28"/>
          <w:szCs w:val="34"/>
          <w:rtl/>
        </w:rPr>
      </w:pPr>
    </w:p>
    <w:p w:rsidR="00D2065C" w:rsidRPr="000E3050" w:rsidRDefault="00D2065C" w:rsidP="00D2065C">
      <w:pPr>
        <w:pStyle w:val="BODYVERDICT"/>
        <w:rPr>
          <w:rFonts w:ascii="Century" w:hAnsi="Century" w:cs="Miriam"/>
          <w:b/>
          <w:spacing w:val="0"/>
          <w:szCs w:val="24"/>
          <w:rtl/>
        </w:rPr>
      </w:pPr>
      <w:r w:rsidRPr="000E3050">
        <w:rPr>
          <w:rFonts w:ascii="Century" w:hAnsi="Century" w:cs="Miriam"/>
          <w:b/>
          <w:spacing w:val="0"/>
          <w:szCs w:val="24"/>
          <w:u w:val="single"/>
          <w:rtl/>
        </w:rPr>
        <w:t>השופט ע' פוגלמן</w:t>
      </w:r>
      <w:r w:rsidRPr="000E3050">
        <w:rPr>
          <w:rFonts w:ascii="Century" w:hAnsi="Century" w:cs="Miriam"/>
          <w:b/>
          <w:spacing w:val="0"/>
          <w:szCs w:val="24"/>
          <w:rtl/>
        </w:rPr>
        <w:t>:</w:t>
      </w:r>
    </w:p>
    <w:p w:rsidR="00D2065C" w:rsidRPr="000E3050" w:rsidRDefault="00D2065C" w:rsidP="00D2065C">
      <w:pPr>
        <w:pStyle w:val="Ruller41"/>
        <w:jc w:val="left"/>
        <w:rPr>
          <w:rFonts w:ascii="Century" w:hAnsi="Century"/>
          <w:rtl/>
        </w:rPr>
      </w:pPr>
    </w:p>
    <w:p w:rsidR="00D2065C" w:rsidRPr="00796D93" w:rsidRDefault="00D2065C" w:rsidP="00D2065C">
      <w:pPr>
        <w:spacing w:line="360" w:lineRule="auto"/>
        <w:ind w:firstLine="720"/>
        <w:jc w:val="both"/>
        <w:rPr>
          <w:rFonts w:ascii="Century" w:hAnsi="Century" w:cs="FrankRuehl"/>
          <w:spacing w:val="10"/>
          <w:sz w:val="22"/>
          <w:szCs w:val="28"/>
          <w:rtl/>
        </w:rPr>
      </w:pPr>
      <w:r w:rsidRPr="00796D93">
        <w:rPr>
          <w:rFonts w:ascii="Century" w:hAnsi="Century" w:cs="FrankRuehl" w:hint="cs"/>
          <w:spacing w:val="10"/>
          <w:sz w:val="22"/>
          <w:szCs w:val="28"/>
          <w:rtl/>
        </w:rPr>
        <w:t xml:space="preserve">אני מסכים לחוות דעתה המפורטת של חברתי הנשיאה </w:t>
      </w:r>
      <w:r w:rsidRPr="001857E8">
        <w:rPr>
          <w:rFonts w:ascii="Century" w:hAnsi="Century" w:cs="Miriam" w:hint="cs"/>
          <w:b/>
          <w:sz w:val="22"/>
          <w:rtl/>
        </w:rPr>
        <w:t>א' חיות</w:t>
      </w:r>
      <w:r w:rsidRPr="00796D93">
        <w:rPr>
          <w:rFonts w:ascii="Century" w:hAnsi="Century" w:cs="FrankRuehl" w:hint="cs"/>
          <w:spacing w:val="10"/>
          <w:sz w:val="22"/>
          <w:szCs w:val="28"/>
          <w:rtl/>
        </w:rPr>
        <w:t>.</w:t>
      </w:r>
    </w:p>
    <w:p w:rsidR="00D2065C" w:rsidRPr="00796D93" w:rsidRDefault="00D2065C" w:rsidP="00D2065C">
      <w:pPr>
        <w:spacing w:line="360" w:lineRule="auto"/>
        <w:jc w:val="both"/>
        <w:rPr>
          <w:rFonts w:ascii="Century" w:hAnsi="Century" w:cs="FrankRuehl"/>
          <w:spacing w:val="10"/>
          <w:sz w:val="22"/>
          <w:szCs w:val="28"/>
          <w:rtl/>
        </w:rPr>
      </w:pPr>
    </w:p>
    <w:p w:rsidR="00D2065C" w:rsidRPr="00796D93" w:rsidRDefault="00D2065C" w:rsidP="00D2065C">
      <w:pPr>
        <w:spacing w:line="360" w:lineRule="auto"/>
        <w:ind w:firstLine="720"/>
        <w:jc w:val="both"/>
        <w:rPr>
          <w:rFonts w:ascii="Century" w:hAnsi="Century" w:cs="FrankRuehl"/>
          <w:spacing w:val="10"/>
          <w:sz w:val="22"/>
          <w:szCs w:val="28"/>
          <w:rtl/>
        </w:rPr>
      </w:pPr>
      <w:r w:rsidRPr="00796D93">
        <w:rPr>
          <w:rFonts w:ascii="Century" w:hAnsi="Century" w:cs="FrankRuehl" w:hint="cs"/>
          <w:spacing w:val="10"/>
          <w:sz w:val="22"/>
          <w:szCs w:val="28"/>
          <w:rtl/>
        </w:rPr>
        <w:t>לפי עקרון היסוד שנקבע בפסיקתנו</w:t>
      </w:r>
      <w:r>
        <w:rPr>
          <w:rFonts w:ascii="Century" w:hAnsi="Century" w:cs="FrankRuehl" w:hint="cs"/>
          <w:spacing w:val="10"/>
          <w:sz w:val="22"/>
          <w:szCs w:val="28"/>
          <w:rtl/>
        </w:rPr>
        <w:t>, על בית הדין הרבני ש</w:t>
      </w:r>
      <w:r w:rsidRPr="00796D93">
        <w:rPr>
          <w:rFonts w:ascii="Century" w:hAnsi="Century" w:cs="FrankRuehl" w:hint="cs"/>
          <w:spacing w:val="10"/>
          <w:sz w:val="22"/>
          <w:szCs w:val="28"/>
          <w:rtl/>
        </w:rPr>
        <w:t xml:space="preserve">דן בענייני רכוש הנכרכים בענייני גירושין, להכריע במחלוקת שנסבה על הרכוש העומד לחלוקה על פי המשפט האזרחי, שבא לידי ביטוי </w:t>
      </w:r>
      <w:r w:rsidRPr="00796D93">
        <w:rPr>
          <w:rFonts w:ascii="Century" w:hAnsi="Century" w:cs="FrankRuehl"/>
          <w:spacing w:val="10"/>
          <w:sz w:val="22"/>
          <w:szCs w:val="28"/>
          <w:rtl/>
        </w:rPr>
        <w:t>–</w:t>
      </w:r>
      <w:r w:rsidRPr="00796D93">
        <w:rPr>
          <w:rFonts w:ascii="Century" w:hAnsi="Century" w:cs="FrankRuehl" w:hint="cs"/>
          <w:spacing w:val="10"/>
          <w:sz w:val="22"/>
          <w:szCs w:val="28"/>
          <w:rtl/>
        </w:rPr>
        <w:t xml:space="preserve"> בין היתר </w:t>
      </w:r>
      <w:r w:rsidRPr="00796D93">
        <w:rPr>
          <w:rFonts w:ascii="Century" w:hAnsi="Century" w:cs="FrankRuehl"/>
          <w:spacing w:val="10"/>
          <w:sz w:val="22"/>
          <w:szCs w:val="28"/>
          <w:rtl/>
        </w:rPr>
        <w:t>–</w:t>
      </w:r>
      <w:r w:rsidRPr="00796D93">
        <w:rPr>
          <w:rFonts w:ascii="Century" w:hAnsi="Century" w:cs="FrankRuehl" w:hint="cs"/>
          <w:spacing w:val="10"/>
          <w:sz w:val="22"/>
          <w:szCs w:val="28"/>
          <w:rtl/>
        </w:rPr>
        <w:t xml:space="preserve"> גם בפסיקתו של בית משפט זה</w:t>
      </w:r>
      <w:r>
        <w:rPr>
          <w:rFonts w:ascii="Century" w:hAnsi="Century" w:cs="FrankRuehl" w:hint="cs"/>
          <w:spacing w:val="10"/>
          <w:sz w:val="22"/>
          <w:szCs w:val="28"/>
          <w:rtl/>
        </w:rPr>
        <w:t xml:space="preserve"> (בג"ץ 1000/92 </w:t>
      </w:r>
      <w:r>
        <w:rPr>
          <w:rFonts w:ascii="Century" w:hAnsi="Century" w:cs="Miriam" w:hint="cs"/>
          <w:b/>
          <w:sz w:val="22"/>
          <w:rtl/>
        </w:rPr>
        <w:t>בבלי נ' בית הדין הרבני הגדול</w:t>
      </w:r>
      <w:r>
        <w:rPr>
          <w:rFonts w:ascii="Century" w:hAnsi="Century" w:cs="FrankRuehl" w:hint="cs"/>
          <w:spacing w:val="10"/>
          <w:sz w:val="22"/>
          <w:szCs w:val="28"/>
          <w:rtl/>
        </w:rPr>
        <w:t>, פ"ד מח(2) 221 (1994))</w:t>
      </w:r>
      <w:r w:rsidRPr="00796D93">
        <w:rPr>
          <w:rFonts w:ascii="Century" w:hAnsi="Century" w:cs="FrankRuehl" w:hint="cs"/>
          <w:spacing w:val="10"/>
          <w:sz w:val="22"/>
          <w:szCs w:val="28"/>
          <w:rtl/>
        </w:rPr>
        <w:t xml:space="preserve">. </w:t>
      </w:r>
    </w:p>
    <w:p w:rsidR="00D2065C" w:rsidRPr="00796D93" w:rsidRDefault="00D2065C" w:rsidP="00D2065C">
      <w:pPr>
        <w:spacing w:line="360" w:lineRule="auto"/>
        <w:jc w:val="both"/>
        <w:rPr>
          <w:rFonts w:ascii="Century" w:hAnsi="Century" w:cs="FrankRuehl"/>
          <w:spacing w:val="10"/>
          <w:sz w:val="22"/>
          <w:szCs w:val="28"/>
          <w:rtl/>
        </w:rPr>
      </w:pPr>
    </w:p>
    <w:p w:rsidR="00D2065C" w:rsidRPr="00796D93" w:rsidRDefault="00D2065C" w:rsidP="00D2065C">
      <w:pPr>
        <w:spacing w:line="360" w:lineRule="auto"/>
        <w:ind w:firstLine="720"/>
        <w:jc w:val="both"/>
        <w:rPr>
          <w:rFonts w:ascii="Century" w:hAnsi="Century" w:cs="FrankRuehl"/>
          <w:spacing w:val="10"/>
          <w:sz w:val="22"/>
          <w:szCs w:val="28"/>
          <w:rtl/>
        </w:rPr>
      </w:pPr>
      <w:r w:rsidRPr="00796D93">
        <w:rPr>
          <w:rFonts w:ascii="Century" w:hAnsi="Century" w:cs="FrankRuehl" w:hint="cs"/>
          <w:spacing w:val="10"/>
          <w:sz w:val="22"/>
          <w:szCs w:val="28"/>
          <w:rtl/>
        </w:rPr>
        <w:t>במקרה שלפנינו הלכת השיתוף הספציפי שנקבעה בפסיקתנו, שעל טיבה הרחיבה חברתי, מוליכה למסקנה כי התגבש שיתוף ספציפי בבית המגורים של בני הזוג במהלך חיי הנישואין, טרם פירוקם.</w:t>
      </w:r>
      <w:r>
        <w:rPr>
          <w:rFonts w:ascii="Century" w:hAnsi="Century" w:cs="FrankRuehl" w:hint="cs"/>
          <w:spacing w:val="10"/>
          <w:sz w:val="22"/>
          <w:szCs w:val="28"/>
          <w:rtl/>
        </w:rPr>
        <w:t xml:space="preserve"> </w:t>
      </w:r>
      <w:r w:rsidRPr="00796D93">
        <w:rPr>
          <w:rFonts w:ascii="Century" w:hAnsi="Century" w:cs="FrankRuehl" w:hint="cs"/>
          <w:spacing w:val="10"/>
          <w:sz w:val="22"/>
          <w:szCs w:val="28"/>
          <w:rtl/>
        </w:rPr>
        <w:t>כפי שנפסק לא אחת, "בגידה" של בן זוג, אין בה כדי לשלול ממנו שיתוף ברכוש שכבר התגבש</w:t>
      </w:r>
      <w:r>
        <w:rPr>
          <w:rFonts w:ascii="Century" w:hAnsi="Century" w:cs="FrankRuehl" w:hint="cs"/>
          <w:spacing w:val="10"/>
          <w:sz w:val="22"/>
          <w:szCs w:val="28"/>
          <w:rtl/>
        </w:rPr>
        <w:t xml:space="preserve"> (בג"ץ 8928/06 </w:t>
      </w:r>
      <w:r>
        <w:rPr>
          <w:rFonts w:ascii="Century" w:hAnsi="Century" w:cs="Miriam" w:hint="cs"/>
          <w:b/>
          <w:sz w:val="22"/>
          <w:rtl/>
        </w:rPr>
        <w:t xml:space="preserve">פלונית נ' בית הדין הרבני הגדול לערעורים בירושלים </w:t>
      </w:r>
      <w:r>
        <w:rPr>
          <w:rFonts w:ascii="Century" w:hAnsi="Century" w:cs="FrankRuehl" w:hint="cs"/>
          <w:spacing w:val="10"/>
          <w:sz w:val="22"/>
          <w:szCs w:val="28"/>
          <w:rtl/>
        </w:rPr>
        <w:t>(8.10.2008))</w:t>
      </w:r>
      <w:r w:rsidRPr="00796D93">
        <w:rPr>
          <w:rFonts w:ascii="Century" w:hAnsi="Century" w:cs="FrankRuehl" w:hint="cs"/>
          <w:spacing w:val="10"/>
          <w:sz w:val="22"/>
          <w:szCs w:val="28"/>
          <w:rtl/>
        </w:rPr>
        <w:t xml:space="preserve">. </w:t>
      </w:r>
    </w:p>
    <w:p w:rsidR="00D2065C" w:rsidRPr="00796D93" w:rsidRDefault="00D2065C" w:rsidP="00D2065C">
      <w:pPr>
        <w:spacing w:line="360" w:lineRule="auto"/>
        <w:jc w:val="both"/>
        <w:rPr>
          <w:rFonts w:ascii="Century" w:hAnsi="Century" w:cs="FrankRuehl"/>
          <w:spacing w:val="10"/>
          <w:sz w:val="22"/>
          <w:szCs w:val="28"/>
          <w:rtl/>
        </w:rPr>
      </w:pPr>
    </w:p>
    <w:p w:rsidR="00D2065C" w:rsidRPr="00796D93" w:rsidRDefault="00D2065C" w:rsidP="00D2065C">
      <w:pPr>
        <w:spacing w:line="360" w:lineRule="auto"/>
        <w:ind w:firstLine="720"/>
        <w:jc w:val="both"/>
        <w:rPr>
          <w:rFonts w:ascii="Century" w:hAnsi="Century" w:cs="FrankRuehl"/>
          <w:spacing w:val="10"/>
          <w:sz w:val="22"/>
          <w:szCs w:val="28"/>
          <w:rtl/>
        </w:rPr>
      </w:pPr>
      <w:r w:rsidRPr="00796D93">
        <w:rPr>
          <w:rFonts w:ascii="Century" w:hAnsi="Century" w:cs="FrankRuehl" w:hint="cs"/>
          <w:spacing w:val="10"/>
          <w:sz w:val="22"/>
          <w:szCs w:val="28"/>
          <w:rtl/>
        </w:rPr>
        <w:t>בנסיבות שלפנינו הפועל היוצא של האמור הוא כי אין בכוחה של "הבגידה" להשפיע על השיתוף שהתגבש בשלב מוקדם יותר של חיי הנישואין, טרם פירוקם.</w:t>
      </w:r>
    </w:p>
    <w:p w:rsidR="00D2065C" w:rsidRPr="00796D93" w:rsidRDefault="00D2065C" w:rsidP="00D2065C">
      <w:pPr>
        <w:spacing w:line="360" w:lineRule="auto"/>
        <w:jc w:val="both"/>
        <w:rPr>
          <w:rFonts w:ascii="Century" w:hAnsi="Century" w:cs="FrankRuehl"/>
          <w:spacing w:val="10"/>
          <w:sz w:val="22"/>
          <w:szCs w:val="28"/>
          <w:rtl/>
        </w:rPr>
      </w:pPr>
    </w:p>
    <w:p w:rsidR="00D2065C" w:rsidRDefault="00D2065C" w:rsidP="00D2065C">
      <w:pPr>
        <w:spacing w:line="360" w:lineRule="auto"/>
        <w:ind w:firstLine="720"/>
        <w:jc w:val="both"/>
        <w:rPr>
          <w:rFonts w:ascii="Century" w:hAnsi="Century" w:cs="FrankRuehl"/>
          <w:spacing w:val="10"/>
          <w:sz w:val="22"/>
          <w:szCs w:val="28"/>
          <w:rtl/>
        </w:rPr>
      </w:pPr>
      <w:r w:rsidRPr="00796D93">
        <w:rPr>
          <w:rFonts w:ascii="Century" w:hAnsi="Century" w:cs="FrankRuehl" w:hint="cs"/>
          <w:spacing w:val="10"/>
          <w:sz w:val="22"/>
          <w:szCs w:val="28"/>
          <w:rtl/>
        </w:rPr>
        <w:t>משכך, גם לדעתי דין העתירה להתקבל, כמוצע על ידי חברתי.</w:t>
      </w:r>
    </w:p>
    <w:p w:rsidR="00D2065C" w:rsidRPr="00D2065C" w:rsidRDefault="009870B6" w:rsidP="00AE2A69">
      <w:pPr>
        <w:spacing w:line="360" w:lineRule="auto"/>
        <w:jc w:val="both"/>
        <w:rPr>
          <w:rFonts w:ascii="Century" w:hAnsi="Century" w:cs="FrankRuehl"/>
          <w:spacing w:val="10"/>
          <w:sz w:val="22"/>
          <w:szCs w:val="28"/>
          <w:rtl/>
        </w:rPr>
      </w:pPr>
      <w:r>
        <w:rPr>
          <w:rFonts w:ascii="Century" w:hAnsi="Century" w:cs="FrankRuehl"/>
          <w:spacing w:val="10"/>
          <w:sz w:val="22"/>
          <w:szCs w:val="28"/>
          <w:rtl/>
        </w:rPr>
        <w:br/>
      </w:r>
    </w:p>
    <w:tbl>
      <w:tblPr>
        <w:bidiVisual/>
        <w:tblW w:w="8363" w:type="dxa"/>
        <w:tblLook w:val="01E0" w:firstRow="1" w:lastRow="1" w:firstColumn="1" w:lastColumn="1" w:noHBand="0" w:noVBand="0"/>
      </w:tblPr>
      <w:tblGrid>
        <w:gridCol w:w="2783"/>
        <w:gridCol w:w="2797"/>
        <w:gridCol w:w="2783"/>
      </w:tblGrid>
      <w:tr w:rsidR="00D2065C" w:rsidTr="00760584">
        <w:tc>
          <w:tcPr>
            <w:tcW w:w="2783" w:type="dxa"/>
            <w:shd w:val="clear" w:color="auto" w:fill="auto"/>
          </w:tcPr>
          <w:p w:rsidR="00D2065C" w:rsidRDefault="00D2065C" w:rsidP="00760584">
            <w:pPr>
              <w:pStyle w:val="Ruller41"/>
              <w:spacing w:line="240" w:lineRule="auto"/>
              <w:rPr>
                <w:rtl/>
              </w:rPr>
            </w:pPr>
          </w:p>
        </w:tc>
        <w:tc>
          <w:tcPr>
            <w:tcW w:w="2797" w:type="dxa"/>
            <w:shd w:val="clear" w:color="auto" w:fill="auto"/>
          </w:tcPr>
          <w:p w:rsidR="00D2065C" w:rsidRDefault="00D2065C" w:rsidP="00760584">
            <w:pPr>
              <w:pStyle w:val="Ruller41"/>
              <w:spacing w:line="240" w:lineRule="auto"/>
              <w:jc w:val="center"/>
              <w:rPr>
                <w:rtl/>
              </w:rPr>
            </w:pPr>
          </w:p>
        </w:tc>
        <w:tc>
          <w:tcPr>
            <w:tcW w:w="2783" w:type="dxa"/>
            <w:shd w:val="clear" w:color="auto" w:fill="auto"/>
          </w:tcPr>
          <w:p w:rsidR="00D2065C" w:rsidRDefault="00D2065C" w:rsidP="00760584">
            <w:pPr>
              <w:pStyle w:val="Ruller41"/>
              <w:spacing w:line="240" w:lineRule="auto"/>
              <w:jc w:val="center"/>
              <w:rPr>
                <w:rtl/>
              </w:rPr>
            </w:pPr>
            <w:r>
              <w:rPr>
                <w:rFonts w:hint="cs"/>
                <w:rtl/>
              </w:rPr>
              <w:t xml:space="preserve">ש ו פ ט </w:t>
            </w:r>
          </w:p>
        </w:tc>
      </w:tr>
    </w:tbl>
    <w:p w:rsidR="00D22EA3" w:rsidRDefault="00D22EA3" w:rsidP="00D22EA3">
      <w:pPr>
        <w:pStyle w:val="Ruller41"/>
        <w:spacing w:line="240" w:lineRule="auto"/>
        <w:rPr>
          <w:rtl/>
        </w:rPr>
      </w:pPr>
    </w:p>
    <w:p w:rsidR="0014083D" w:rsidRDefault="0014083D" w:rsidP="00D22EA3">
      <w:pPr>
        <w:pStyle w:val="Ruller41"/>
        <w:spacing w:line="240" w:lineRule="auto"/>
        <w:rPr>
          <w:rtl/>
        </w:rPr>
      </w:pPr>
    </w:p>
    <w:p w:rsidR="00D2065C" w:rsidRDefault="00D2065C" w:rsidP="00D2065C">
      <w:pPr>
        <w:jc w:val="right"/>
        <w:rPr>
          <w:rFonts w:cs="Miriam"/>
          <w:b/>
          <w:bCs/>
          <w:u w:val="single"/>
        </w:rPr>
      </w:pPr>
    </w:p>
    <w:p w:rsidR="00D2065C" w:rsidRDefault="00D2065C" w:rsidP="00D2065C">
      <w:pPr>
        <w:pStyle w:val="BODYVERDICT"/>
        <w:rPr>
          <w:rFonts w:cs="Miriam"/>
          <w:sz w:val="24"/>
          <w:szCs w:val="24"/>
          <w:u w:val="single"/>
        </w:rPr>
      </w:pPr>
      <w:r>
        <w:rPr>
          <w:rFonts w:cs="Miriam"/>
          <w:sz w:val="24"/>
          <w:szCs w:val="24"/>
          <w:u w:val="single"/>
          <w:rtl/>
        </w:rPr>
        <w:t>השופט נ' סולברג</w:t>
      </w:r>
      <w:r>
        <w:rPr>
          <w:rFonts w:cs="Miriam"/>
          <w:sz w:val="24"/>
          <w:szCs w:val="24"/>
          <w:rtl/>
        </w:rPr>
        <w:t>:</w:t>
      </w:r>
    </w:p>
    <w:p w:rsidR="00D2065C" w:rsidRDefault="00D2065C" w:rsidP="00D2065C">
      <w:pPr>
        <w:pStyle w:val="Ruller41"/>
        <w:rPr>
          <w:rtl/>
        </w:rPr>
      </w:pPr>
    </w:p>
    <w:p w:rsidR="00D2065C" w:rsidRDefault="00D2065C" w:rsidP="00D2065C">
      <w:pPr>
        <w:pStyle w:val="Ruller4"/>
        <w:numPr>
          <w:ilvl w:val="0"/>
          <w:numId w:val="0"/>
        </w:numPr>
        <w:rPr>
          <w:rtl/>
        </w:rPr>
      </w:pPr>
      <w:r>
        <w:rPr>
          <w:rtl/>
        </w:rPr>
        <w:t>1.</w:t>
      </w:r>
      <w:r>
        <w:rPr>
          <w:rtl/>
        </w:rPr>
        <w:tab/>
        <w:t xml:space="preserve">חוות דעתה המקיפה של חברתי הנשיאה מדברת בעד עצמה; דעתי-שלי שונה. </w:t>
      </w:r>
    </w:p>
    <w:p w:rsidR="00D2065C" w:rsidRDefault="00D2065C" w:rsidP="00D2065C">
      <w:pPr>
        <w:pStyle w:val="Ruller4"/>
        <w:numPr>
          <w:ilvl w:val="0"/>
          <w:numId w:val="0"/>
        </w:numPr>
        <w:rPr>
          <w:rtl/>
        </w:rPr>
      </w:pPr>
    </w:p>
    <w:p w:rsidR="00D2065C" w:rsidRDefault="00D2065C" w:rsidP="00D2065C">
      <w:pPr>
        <w:pStyle w:val="Ruller41"/>
        <w:rPr>
          <w:rtl/>
        </w:rPr>
      </w:pPr>
      <w:r>
        <w:rPr>
          <w:rtl/>
        </w:rPr>
        <w:lastRenderedPageBreak/>
        <w:t>2.</w:t>
      </w:r>
      <w:r>
        <w:rPr>
          <w:rtl/>
        </w:rPr>
        <w:tab/>
        <w:t xml:space="preserve">כמה וכמה תחנות נקרו בדרכו של בית משפט זה, עוד קודם לכן בדרכו של בית הדין הרבני הגדול, שבהן ניתן היה 'לעצור את הרכבת', ולהימנע מן המסע והמסה. מסביב יֵהוֹם הסער, והוא מעיק ומיותר. זעֵיר פה, זעֵיר שם, </w:t>
      </w:r>
      <w:proofErr w:type="spellStart"/>
      <w:r>
        <w:rPr>
          <w:rtl/>
        </w:rPr>
        <w:t>נתמלטה</w:t>
      </w:r>
      <w:proofErr w:type="spellEnd"/>
      <w:r>
        <w:rPr>
          <w:rtl/>
        </w:rPr>
        <w:t xml:space="preserve"> לה מפיו של דיין או שופט מילה או אמירה מעבר לדרוש, ועשתה לה כנפיים, אך אין הצדקה להיתלות בה</w:t>
      </w:r>
      <w:r w:rsidR="005C2EE3">
        <w:rPr>
          <w:rFonts w:hint="cs"/>
          <w:rtl/>
        </w:rPr>
        <w:t>, משום שלא הביאה ע</w:t>
      </w:r>
      <w:r w:rsidR="00835739">
        <w:rPr>
          <w:rFonts w:hint="cs"/>
          <w:rtl/>
        </w:rPr>
        <w:t>ִ</w:t>
      </w:r>
      <w:r w:rsidR="005C2EE3">
        <w:rPr>
          <w:rFonts w:hint="cs"/>
          <w:rtl/>
        </w:rPr>
        <w:t>מה הלכה חדשה</w:t>
      </w:r>
      <w:r>
        <w:rPr>
          <w:rtl/>
        </w:rPr>
        <w:t xml:space="preserve">. איש באמונתו יחיה. מוטב היה להצטמצם לדל"ת אמותיו של העניין – שאלה פרטנית הנוגעת ליישום הלכת השיתוף הספציפי – מבלי להרחיבו מעבר לממדיו הטבעיים. </w:t>
      </w:r>
    </w:p>
    <w:p w:rsidR="00D2065C" w:rsidRDefault="00D2065C" w:rsidP="00D2065C">
      <w:pPr>
        <w:pStyle w:val="Ruller4"/>
        <w:numPr>
          <w:ilvl w:val="0"/>
          <w:numId w:val="0"/>
        </w:numPr>
        <w:rPr>
          <w:rtl/>
        </w:rPr>
      </w:pPr>
    </w:p>
    <w:p w:rsidR="00D2065C" w:rsidRDefault="00D2065C" w:rsidP="00D2065C">
      <w:pPr>
        <w:pStyle w:val="Ruller4"/>
        <w:numPr>
          <w:ilvl w:val="0"/>
          <w:numId w:val="0"/>
        </w:numPr>
        <w:rPr>
          <w:rtl/>
        </w:rPr>
      </w:pPr>
      <w:r>
        <w:rPr>
          <w:rtl/>
        </w:rPr>
        <w:t>3.</w:t>
      </w:r>
      <w:r>
        <w:rPr>
          <w:rtl/>
        </w:rPr>
        <w:tab/>
        <w:t xml:space="preserve">הנר דולק, ניתן עוד לתקן, למשוך ידינו מהתערבות בפסק הדין מושא הבקשה, ובפסק הדין של בית הדין הרבני הגדול. אני סבור, כי </w:t>
      </w:r>
      <w:r>
        <w:rPr>
          <w:rFonts w:hint="cs"/>
          <w:rtl/>
        </w:rPr>
        <w:t>אין</w:t>
      </w:r>
      <w:r>
        <w:rPr>
          <w:rtl/>
        </w:rPr>
        <w:t xml:space="preserve"> עילה בדין לקיים דיון נוסף</w:t>
      </w:r>
      <w:r>
        <w:rPr>
          <w:rFonts w:hint="cs"/>
          <w:rtl/>
        </w:rPr>
        <w:t>.</w:t>
      </w:r>
      <w:r>
        <w:rPr>
          <w:rtl/>
        </w:rPr>
        <w:t xml:space="preserve"> סעיף 30(ב) לחוק בתי המשפט [נוסח משולב], התשמ"ד-1984, מורה אותנו מי יעלה ויבוא להישמע בדיון נוסף: </w:t>
      </w:r>
      <w:r>
        <w:rPr>
          <w:rFonts w:cs="Miriam"/>
          <w:b/>
          <w:spacing w:val="0"/>
          <w:sz w:val="22"/>
          <w:szCs w:val="24"/>
          <w:rtl/>
        </w:rPr>
        <w:t xml:space="preserve">"נשיא בית המשפט העליון או שופט אחר או שופטים שיקבע לכך, רשאים להיענות לבקשה אם ההלכה שנפסקה בבית המשפט העליון עומדת בסתירה להלכה קודמת של בית המשפט העליון, או שמפאת חשיבותה, קשיותה או חידושה של הלכה שנפסקה </w:t>
      </w:r>
      <w:proofErr w:type="spellStart"/>
      <w:r>
        <w:rPr>
          <w:rFonts w:cs="Miriam"/>
          <w:b/>
          <w:spacing w:val="0"/>
          <w:sz w:val="22"/>
          <w:szCs w:val="24"/>
          <w:rtl/>
        </w:rPr>
        <w:t>בענין</w:t>
      </w:r>
      <w:proofErr w:type="spellEnd"/>
      <w:r>
        <w:rPr>
          <w:rFonts w:cs="Miriam"/>
          <w:b/>
          <w:spacing w:val="0"/>
          <w:sz w:val="22"/>
          <w:szCs w:val="24"/>
          <w:rtl/>
        </w:rPr>
        <w:t>, יש, לדעתם, מקום לדיון נוסף"</w:t>
      </w:r>
      <w:r>
        <w:rPr>
          <w:rtl/>
        </w:rPr>
        <w:t xml:space="preserve">. הצד השווה שבכל אלה – קיומה של </w:t>
      </w:r>
      <w:r>
        <w:rPr>
          <w:rFonts w:ascii="Century" w:hAnsi="Century" w:cs="Miriam"/>
          <w:b/>
          <w:spacing w:val="0"/>
          <w:sz w:val="22"/>
          <w:szCs w:val="24"/>
          <w:rtl/>
        </w:rPr>
        <w:t>הלכה</w:t>
      </w:r>
      <w:r>
        <w:rPr>
          <w:rtl/>
        </w:rPr>
        <w:t xml:space="preserve"> בפסק הדין שלגביו מוגשת הבקשה. לא זו בלבד, כפי שנקבע לא אחת, </w:t>
      </w:r>
      <w:r>
        <w:rPr>
          <w:color w:val="000000"/>
          <w:sz w:val="28"/>
          <w:shd w:val="clear" w:color="auto" w:fill="FFFFFF"/>
          <w:rtl/>
        </w:rPr>
        <w:t>על ה</w:t>
      </w:r>
      <w:r>
        <w:rPr>
          <w:rFonts w:ascii="Century" w:hAnsi="Century" w:cs="Miriam"/>
          <w:b/>
          <w:spacing w:val="0"/>
          <w:sz w:val="22"/>
          <w:szCs w:val="24"/>
          <w:rtl/>
        </w:rPr>
        <w:t>הלכה</w:t>
      </w:r>
      <w:r>
        <w:rPr>
          <w:color w:val="000000"/>
          <w:sz w:val="28"/>
          <w:shd w:val="clear" w:color="auto" w:fill="FFFFFF"/>
          <w:rtl/>
        </w:rPr>
        <w:t xml:space="preserve"> לגלות עצמה על פני פסק הדין, ולהיות ברורה ומפורשת</w:t>
      </w:r>
      <w:r>
        <w:rPr>
          <w:rtl/>
        </w:rPr>
        <w:t xml:space="preserve">. לאחרונה שבה חברתי הנשיאה </w:t>
      </w:r>
      <w:r>
        <w:rPr>
          <w:rFonts w:ascii="Century" w:hAnsi="Century" w:cs="Miriam"/>
          <w:b/>
          <w:spacing w:val="0"/>
          <w:sz w:val="22"/>
          <w:szCs w:val="24"/>
          <w:rtl/>
        </w:rPr>
        <w:t>חיות</w:t>
      </w:r>
      <w:r>
        <w:rPr>
          <w:rtl/>
        </w:rPr>
        <w:t xml:space="preserve"> ואמרה</w:t>
      </w:r>
      <w:r>
        <w:rPr>
          <w:rFonts w:hint="cs"/>
          <w:rtl/>
        </w:rPr>
        <w:t xml:space="preserve">, כי תנאי לקיומו של דיון נוסף </w:t>
      </w:r>
      <w:r>
        <w:rPr>
          <w:rFonts w:ascii="Century" w:hAnsi="Century" w:cs="Miriam"/>
          <w:b/>
          <w:spacing w:val="0"/>
          <w:sz w:val="22"/>
          <w:szCs w:val="24"/>
          <w:rtl/>
        </w:rPr>
        <w:t>"הוא שבפסק הדין נושא ההליך נפסקה הלכה אשר 'עומדת בסתירה להלכה קודמת של בית המשפט העליון, או שמפאת חשיבותה, קשיותה או חידושה של הלכה שנפסקה בעניין' יש מקום לקיים בה דיון נוסף</w:t>
      </w:r>
      <w:r>
        <w:rPr>
          <w:rFonts w:ascii="Century" w:hAnsi="Century" w:cs="Miriam" w:hint="cs"/>
          <w:b/>
          <w:spacing w:val="0"/>
          <w:sz w:val="22"/>
          <w:szCs w:val="24"/>
          <w:rtl/>
        </w:rPr>
        <w:t xml:space="preserve"> [</w:t>
      </w:r>
      <w:r>
        <w:rPr>
          <w:rFonts w:ascii="Century" w:hAnsi="Century" w:cs="Miriam"/>
          <w:b/>
          <w:spacing w:val="0"/>
          <w:sz w:val="22"/>
          <w:szCs w:val="24"/>
          <w:rtl/>
        </w:rPr>
        <w:t>...</w:t>
      </w:r>
      <w:r>
        <w:rPr>
          <w:rFonts w:ascii="Century" w:hAnsi="Century" w:cs="Miriam" w:hint="cs"/>
          <w:b/>
          <w:spacing w:val="0"/>
          <w:sz w:val="22"/>
          <w:szCs w:val="24"/>
          <w:rtl/>
        </w:rPr>
        <w:t>]</w:t>
      </w:r>
      <w:r>
        <w:rPr>
          <w:rFonts w:ascii="Century" w:hAnsi="Century" w:cs="Miriam"/>
          <w:b/>
          <w:spacing w:val="0"/>
          <w:sz w:val="22"/>
          <w:szCs w:val="24"/>
          <w:rtl/>
        </w:rPr>
        <w:t xml:space="preserve"> בהקשר זה נפסק לא אחת כי על ההלכה שנפסקה לגלות עצמה על פני הפסק ולהיות ברורה ומפורשת. עוד נפסק כי אף אם שופטים הגיעו לתוצאה זהה אך הביעו דעות שונות, אין מדובר ב'הלכה'"</w:t>
      </w:r>
      <w:r>
        <w:rPr>
          <w:rtl/>
        </w:rPr>
        <w:t xml:space="preserve"> (</w:t>
      </w:r>
      <w:proofErr w:type="spellStart"/>
      <w:r>
        <w:rPr>
          <w:rtl/>
        </w:rPr>
        <w:t>דנג"ץ</w:t>
      </w:r>
      <w:proofErr w:type="spellEnd"/>
      <w:r>
        <w:rPr>
          <w:rtl/>
        </w:rPr>
        <w:t xml:space="preserve"> 6679/20 </w:t>
      </w:r>
      <w:proofErr w:type="spellStart"/>
      <w:r>
        <w:rPr>
          <w:rFonts w:ascii="Century" w:hAnsi="Century" w:cs="Miriam"/>
          <w:b/>
          <w:spacing w:val="0"/>
          <w:sz w:val="22"/>
          <w:szCs w:val="24"/>
          <w:rtl/>
        </w:rPr>
        <w:t>ג'בארין</w:t>
      </w:r>
      <w:proofErr w:type="spellEnd"/>
      <w:r>
        <w:rPr>
          <w:rFonts w:ascii="Century" w:hAnsi="Century" w:cs="Miriam"/>
          <w:b/>
          <w:spacing w:val="0"/>
          <w:sz w:val="22"/>
          <w:szCs w:val="24"/>
          <w:rtl/>
        </w:rPr>
        <w:t xml:space="preserve"> נ' הכנסת</w:t>
      </w:r>
      <w:r>
        <w:rPr>
          <w:rtl/>
        </w:rPr>
        <w:t xml:space="preserve"> (26.5.2021)</w:t>
      </w:r>
      <w:r>
        <w:rPr>
          <w:rFonts w:hint="cs"/>
          <w:rtl/>
        </w:rPr>
        <w:t xml:space="preserve"> (להלן: עניין</w:t>
      </w:r>
      <w:r w:rsidRPr="009F71C9">
        <w:rPr>
          <w:rFonts w:ascii="Century" w:hAnsi="Century" w:cs="Miriam" w:hint="cs"/>
          <w:b/>
          <w:spacing w:val="0"/>
          <w:sz w:val="22"/>
          <w:szCs w:val="24"/>
          <w:rtl/>
        </w:rPr>
        <w:t xml:space="preserve"> ג'בארין</w:t>
      </w:r>
      <w:r>
        <w:rPr>
          <w:rFonts w:hint="cs"/>
          <w:rtl/>
        </w:rPr>
        <w:t>)</w:t>
      </w:r>
      <w:r>
        <w:rPr>
          <w:rtl/>
        </w:rPr>
        <w:t xml:space="preserve">; ראו דבריה של חברתי גם </w:t>
      </w:r>
      <w:proofErr w:type="spellStart"/>
      <w:r>
        <w:rPr>
          <w:rtl/>
        </w:rPr>
        <w:t>בדנג"ץ</w:t>
      </w:r>
      <w:proofErr w:type="spellEnd"/>
      <w:r>
        <w:rPr>
          <w:rtl/>
        </w:rPr>
        <w:t xml:space="preserve"> 2963/20 </w:t>
      </w:r>
      <w:r>
        <w:rPr>
          <w:rFonts w:cs="Miriam"/>
          <w:b/>
          <w:spacing w:val="0"/>
          <w:sz w:val="22"/>
          <w:szCs w:val="24"/>
          <w:rtl/>
        </w:rPr>
        <w:t>ח"כ אופיר כץ נ' יושב ראש ועדת הבחירות המרכזית לכנסת ה-23</w:t>
      </w:r>
      <w:r>
        <w:rPr>
          <w:rtl/>
        </w:rPr>
        <w:t>‏ (27.8.2020)).</w:t>
      </w:r>
    </w:p>
    <w:p w:rsidR="00D2065C" w:rsidRDefault="00D2065C" w:rsidP="00D2065C">
      <w:pPr>
        <w:pStyle w:val="Ruller41"/>
        <w:rPr>
          <w:rtl/>
        </w:rPr>
      </w:pPr>
    </w:p>
    <w:p w:rsidR="00D2065C" w:rsidRDefault="00D2065C" w:rsidP="00D2065C">
      <w:pPr>
        <w:pStyle w:val="Ruller41"/>
        <w:rPr>
          <w:rtl/>
        </w:rPr>
      </w:pPr>
      <w:r>
        <w:rPr>
          <w:rtl/>
        </w:rPr>
        <w:t>4.</w:t>
      </w:r>
      <w:r>
        <w:rPr>
          <w:rtl/>
        </w:rPr>
        <w:tab/>
        <w:t xml:space="preserve">המבקשת בענייננו, ביודעה כי עליה לדלג על פני משוכה גבוהה, טוענת בבקשתה על מספר קביעות בפסק הדין, המבססות לדידה </w:t>
      </w:r>
      <w:r w:rsidRPr="00D24E32">
        <w:rPr>
          <w:rFonts w:ascii="Century" w:hAnsi="Century" w:cs="Miriam"/>
          <w:b/>
          <w:spacing w:val="0"/>
          <w:szCs w:val="24"/>
          <w:rtl/>
        </w:rPr>
        <w:t>הלכה</w:t>
      </w:r>
      <w:r>
        <w:rPr>
          <w:rtl/>
        </w:rPr>
        <w:t xml:space="preserve"> חדשה: </w:t>
      </w:r>
    </w:p>
    <w:p w:rsidR="00D2065C" w:rsidRDefault="00D2065C" w:rsidP="00D2065C">
      <w:pPr>
        <w:pStyle w:val="Ruller41"/>
        <w:rPr>
          <w:rtl/>
        </w:rPr>
      </w:pPr>
    </w:p>
    <w:p w:rsidR="00D2065C" w:rsidRDefault="00D2065C" w:rsidP="00D2065C">
      <w:pPr>
        <w:pStyle w:val="Ruller41"/>
        <w:rPr>
          <w:rtl/>
        </w:rPr>
      </w:pPr>
      <w:r>
        <w:rPr>
          <w:rtl/>
        </w:rPr>
        <w:tab/>
      </w:r>
      <w:r>
        <w:rPr>
          <w:rFonts w:ascii="Garamond" w:hAnsi="Garamond" w:cs="Miriam"/>
          <w:b/>
          <w:spacing w:val="0"/>
          <w:szCs w:val="24"/>
          <w:rtl/>
        </w:rPr>
        <w:t>ראשית</w:t>
      </w:r>
      <w:r>
        <w:rPr>
          <w:rtl/>
        </w:rPr>
        <w:t>, לטענתה, פסק הדין מצמצם</w:t>
      </w:r>
      <w:r>
        <w:rPr>
          <w:rFonts w:hint="cs"/>
          <w:rtl/>
        </w:rPr>
        <w:t xml:space="preserve"> במידה ניכרת</w:t>
      </w:r>
      <w:r>
        <w:rPr>
          <w:rtl/>
        </w:rPr>
        <w:t xml:space="preserve"> את עילות ההתערבות בפסיקת בתי הדין הדתיים למקרי-קצה נדירים, עד אשר גם מקרים שבהם נוגדת פסיקת בית הדין את הדין האזרחי – לא יבואו בקהלם. </w:t>
      </w:r>
    </w:p>
    <w:p w:rsidR="00D2065C" w:rsidRDefault="00D2065C" w:rsidP="00D2065C">
      <w:pPr>
        <w:pStyle w:val="Ruller41"/>
        <w:rPr>
          <w:rtl/>
        </w:rPr>
      </w:pPr>
    </w:p>
    <w:p w:rsidR="00D2065C" w:rsidRDefault="00D2065C" w:rsidP="00D2065C">
      <w:pPr>
        <w:pStyle w:val="Ruller41"/>
        <w:rPr>
          <w:rtl/>
        </w:rPr>
      </w:pPr>
      <w:r>
        <w:rPr>
          <w:rtl/>
        </w:rPr>
        <w:lastRenderedPageBreak/>
        <w:tab/>
      </w:r>
      <w:r>
        <w:rPr>
          <w:rFonts w:ascii="Garamond" w:hAnsi="Garamond" w:cs="Miriam"/>
          <w:b/>
          <w:spacing w:val="0"/>
          <w:szCs w:val="24"/>
          <w:rtl/>
        </w:rPr>
        <w:t>שנית</w:t>
      </w:r>
      <w:r>
        <w:rPr>
          <w:rtl/>
        </w:rPr>
        <w:t>, לדבריה נקבע בפסק הדין, במשתמע, כי השיתוף הספציפי מתגבש רק במועד הפירוד שבין בני הזוג; לא קודם.</w:t>
      </w:r>
    </w:p>
    <w:p w:rsidR="00D2065C" w:rsidRDefault="00D2065C" w:rsidP="00D2065C">
      <w:pPr>
        <w:pStyle w:val="Ruller41"/>
        <w:rPr>
          <w:rtl/>
        </w:rPr>
      </w:pPr>
    </w:p>
    <w:p w:rsidR="00D2065C" w:rsidRDefault="00D2065C" w:rsidP="00D2065C">
      <w:pPr>
        <w:pStyle w:val="Ruller41"/>
        <w:rPr>
          <w:rtl/>
        </w:rPr>
      </w:pPr>
      <w:r>
        <w:rPr>
          <w:rtl/>
        </w:rPr>
        <w:tab/>
      </w:r>
      <w:r>
        <w:rPr>
          <w:rFonts w:ascii="Garamond" w:hAnsi="Garamond" w:cs="Miriam"/>
          <w:b/>
          <w:spacing w:val="0"/>
          <w:szCs w:val="24"/>
          <w:rtl/>
        </w:rPr>
        <w:t>שלישית</w:t>
      </w:r>
      <w:r>
        <w:rPr>
          <w:rtl/>
        </w:rPr>
        <w:t xml:space="preserve">, לעמדתה, יוחסה בפסק הדין משמעות לאי-נאמנות מינית בתקופת הנישואין, המגעת עד כדי שלילת זכויות </w:t>
      </w:r>
      <w:proofErr w:type="spellStart"/>
      <w:r>
        <w:rPr>
          <w:rtl/>
        </w:rPr>
        <w:t>רכושיות</w:t>
      </w:r>
      <w:proofErr w:type="spellEnd"/>
      <w:r>
        <w:rPr>
          <w:rtl/>
        </w:rPr>
        <w:t xml:space="preserve"> מוקנות.</w:t>
      </w:r>
    </w:p>
    <w:p w:rsidR="00D2065C" w:rsidRDefault="00D2065C" w:rsidP="00D2065C">
      <w:pPr>
        <w:pStyle w:val="Ruller41"/>
        <w:rPr>
          <w:rtl/>
        </w:rPr>
      </w:pPr>
    </w:p>
    <w:p w:rsidR="00D2065C" w:rsidRDefault="00D2065C" w:rsidP="00D2065C">
      <w:pPr>
        <w:pStyle w:val="Ruller41"/>
        <w:rPr>
          <w:rtl/>
        </w:rPr>
      </w:pPr>
      <w:r>
        <w:rPr>
          <w:rtl/>
        </w:rPr>
        <w:t>5.</w:t>
      </w:r>
      <w:r>
        <w:rPr>
          <w:rtl/>
        </w:rPr>
        <w:tab/>
        <w:t xml:space="preserve">דא עקא, עיון בפסק הדין מושא הבקשה מלמד, כי הלכות בסוגיות הללו – לא יצאו מפתחו של בית המשפט. הפוך בו והפוך בו בפסק הדין, ולא תמצא </w:t>
      </w:r>
      <w:r w:rsidRPr="00D24E32">
        <w:rPr>
          <w:rFonts w:ascii="Century" w:hAnsi="Century" w:cs="Miriam"/>
          <w:b/>
          <w:spacing w:val="0"/>
          <w:szCs w:val="24"/>
          <w:rtl/>
        </w:rPr>
        <w:t>'הלכה חדשה'</w:t>
      </w:r>
      <w:r>
        <w:rPr>
          <w:rtl/>
        </w:rPr>
        <w:t xml:space="preserve">, לבטח לא בדעת רוב, בכל אחת מן הנקודות שאליהן התייחסה המבקשת. </w:t>
      </w:r>
      <w:r w:rsidR="00835739">
        <w:rPr>
          <w:rFonts w:hint="cs"/>
          <w:rtl/>
        </w:rPr>
        <w:t xml:space="preserve">ממילא אין מקום לדיון נוסף. </w:t>
      </w:r>
      <w:r>
        <w:rPr>
          <w:rtl/>
        </w:rPr>
        <w:t>אסביר.</w:t>
      </w:r>
    </w:p>
    <w:p w:rsidR="00D2065C" w:rsidRDefault="00D2065C" w:rsidP="00D2065C">
      <w:pPr>
        <w:pStyle w:val="Ruller41"/>
        <w:rPr>
          <w:rtl/>
        </w:rPr>
      </w:pPr>
    </w:p>
    <w:p w:rsidR="00D2065C" w:rsidRDefault="00D2065C" w:rsidP="00D2065C">
      <w:pPr>
        <w:pStyle w:val="Ruller41"/>
        <w:rPr>
          <w:rFonts w:ascii="Century" w:hAnsi="Century"/>
          <w:rtl/>
        </w:rPr>
      </w:pPr>
      <w:r>
        <w:rPr>
          <w:rtl/>
        </w:rPr>
        <w:tab/>
        <w:t xml:space="preserve">(א) </w:t>
      </w:r>
      <w:r>
        <w:rPr>
          <w:rtl/>
        </w:rPr>
        <w:tab/>
      </w:r>
      <w:r>
        <w:rPr>
          <w:rFonts w:ascii="Century" w:hAnsi="Century" w:cs="Miriam"/>
          <w:b/>
          <w:spacing w:val="0"/>
          <w:szCs w:val="24"/>
          <w:rtl/>
        </w:rPr>
        <w:t>אשר לטענה לצמצום עילות ההתערבות בפסקי דין של הערכאות הדתיות</w:t>
      </w:r>
      <w:r>
        <w:rPr>
          <w:rtl/>
        </w:rPr>
        <w:t xml:space="preserve"> – קבעו כל שופטי ההרכב, כי בית משפט זה אינו יושב כערכאת ערעור על בתי הדין הרבניים, וכי התערבותו תהא מוגבלת למצבים שבהם נמצאה חריגה מסמכות; נפגעו עקרונות הצדק הטבעי; נתגלתה סטייה מהוראות-החוק; או למקרים חריגים שבהם נדרש ליתן סעד מן הצדק, כאשר העניין אינו נתון לסמכותה של ערכאה שיפוטית אחרת. עוד קבעו שופטי ההרכב, כי גם אם נפלה טעות ביישום הוראות הדין – הדתי או האזרחי – על מערכת העובדות הקיימת, אין בכך כדי להקים עילה להתערבותו של בית המשפט הגבוה לצדק. דברים אלה נקבעו </w:t>
      </w:r>
      <w:r>
        <w:rPr>
          <w:rFonts w:ascii="Century" w:hAnsi="Century"/>
          <w:rtl/>
        </w:rPr>
        <w:t xml:space="preserve">בחוות הדעת של חברי השופט </w:t>
      </w:r>
      <w:r>
        <w:rPr>
          <w:rFonts w:ascii="Century" w:hAnsi="Century" w:cs="Miriam"/>
          <w:b/>
          <w:spacing w:val="0"/>
          <w:szCs w:val="24"/>
          <w:rtl/>
        </w:rPr>
        <w:t>עמית</w:t>
      </w:r>
      <w:r>
        <w:rPr>
          <w:rFonts w:ascii="Century" w:hAnsi="Century"/>
          <w:rtl/>
        </w:rPr>
        <w:t xml:space="preserve"> (פסקה 7); בחוות הדעת של חברי השופט </w:t>
      </w:r>
      <w:r>
        <w:rPr>
          <w:rFonts w:ascii="Century" w:hAnsi="Century" w:cs="Miriam"/>
          <w:b/>
          <w:spacing w:val="0"/>
          <w:szCs w:val="24"/>
          <w:rtl/>
        </w:rPr>
        <w:t>מינץ</w:t>
      </w:r>
      <w:r>
        <w:rPr>
          <w:rFonts w:ascii="Century" w:hAnsi="Century"/>
          <w:rtl/>
        </w:rPr>
        <w:t xml:space="preserve"> (פסקה 9); וכן בחוות הדעת של חברי השופט </w:t>
      </w:r>
      <w:r>
        <w:rPr>
          <w:rFonts w:ascii="Century" w:hAnsi="Century" w:cs="Miriam"/>
          <w:b/>
          <w:spacing w:val="0"/>
          <w:szCs w:val="24"/>
          <w:rtl/>
        </w:rPr>
        <w:t>שטיין</w:t>
      </w:r>
      <w:r>
        <w:rPr>
          <w:rFonts w:ascii="Century" w:hAnsi="Century"/>
          <w:rtl/>
        </w:rPr>
        <w:t xml:space="preserve"> (פסקה 1). קביעה זו אינה בגדר </w:t>
      </w:r>
      <w:r w:rsidRPr="009E3EF2">
        <w:rPr>
          <w:rFonts w:ascii="Century" w:hAnsi="Century" w:cs="Miriam"/>
          <w:b/>
          <w:spacing w:val="0"/>
          <w:szCs w:val="24"/>
          <w:rtl/>
        </w:rPr>
        <w:t>'הלכה חדשה'</w:t>
      </w:r>
      <w:r>
        <w:rPr>
          <w:rFonts w:ascii="Century" w:hAnsi="Century"/>
          <w:rtl/>
        </w:rPr>
        <w:t>, והיא אינה מגלה פנים שלא כהלכה קודמת. קביעה זו, אינה אלא אבן-דרך נוספת בפסיקה מושרשת וידועה. אמנם, המבקשת טוענת כי היה על בית המשפט להתערב בפסק הדין של בית הדין הרבני הגדול ב</w:t>
      </w:r>
      <w:r>
        <w:rPr>
          <w:rFonts w:ascii="Century" w:hAnsi="Century" w:hint="cs"/>
          <w:rtl/>
        </w:rPr>
        <w:t>עניין דנן</w:t>
      </w:r>
      <w:r>
        <w:rPr>
          <w:rFonts w:ascii="Century" w:hAnsi="Century"/>
          <w:rtl/>
        </w:rPr>
        <w:t xml:space="preserve">, משום שלשיטתה פסק הדין ניתן מכוח הדין הדתי, באופן הנוגד את הדין האזרחי. בדרך זו מנסה המבקשת לטעון, כי עילת ההתערבות צומצמה למקרי-קצה, שכן לדבריה, תוצאת פסק הדין עלולה להביא למסקנה כי הכרעה לפי דין דתי בענייני רכוש, שלא בסמכות, אינה מספקת לצורך התערבות. ואולם, בפסק הדין לא </w:t>
      </w:r>
      <w:proofErr w:type="spellStart"/>
      <w:r>
        <w:rPr>
          <w:rFonts w:ascii="Century" w:hAnsi="Century"/>
          <w:rtl/>
        </w:rPr>
        <w:t>נתחדשה</w:t>
      </w:r>
      <w:proofErr w:type="spellEnd"/>
      <w:r>
        <w:rPr>
          <w:rFonts w:ascii="Century" w:hAnsi="Century"/>
          <w:rtl/>
        </w:rPr>
        <w:t xml:space="preserve"> כל הלכה גם במישור זה. ברי, כי השופט </w:t>
      </w:r>
      <w:r>
        <w:rPr>
          <w:rFonts w:ascii="Century" w:hAnsi="Century" w:cs="Miriam"/>
          <w:b/>
          <w:spacing w:val="0"/>
          <w:szCs w:val="24"/>
          <w:rtl/>
        </w:rPr>
        <w:t>עמית</w:t>
      </w:r>
      <w:r>
        <w:rPr>
          <w:rFonts w:ascii="Century" w:hAnsi="Century"/>
          <w:rtl/>
        </w:rPr>
        <w:t xml:space="preserve"> אינו מצמצם את עילות ההתערבות, שכן לשיטתו יש </w:t>
      </w:r>
      <w:r>
        <w:rPr>
          <w:rFonts w:ascii="Century" w:hAnsi="Century" w:cs="Miriam"/>
          <w:b/>
          <w:spacing w:val="0"/>
          <w:szCs w:val="24"/>
          <w:rtl/>
        </w:rPr>
        <w:t>להתערב</w:t>
      </w:r>
      <w:r>
        <w:rPr>
          <w:rFonts w:ascii="Century" w:hAnsi="Century"/>
          <w:rtl/>
        </w:rPr>
        <w:t xml:space="preserve"> בפסק דינו של בית הדין הרבני הגדול, </w:t>
      </w:r>
      <w:r>
        <w:rPr>
          <w:rFonts w:ascii="Century" w:hAnsi="Century" w:cs="Miriam"/>
          <w:b/>
          <w:spacing w:val="0"/>
          <w:szCs w:val="24"/>
          <w:rtl/>
        </w:rPr>
        <w:t>"מן הטעם שקריאה של פסק הדין בשלמותו מביאה למסקנה כי מעשה הבגידה של העותרת, הוא שהיטה את הכף לחובתה. בכך התיימר בית הדין להחיל את הדין הדתי על ענייני רכוש בניגוד להלכה הפסוקה, ובכך חרג הוא מסמכותו"</w:t>
      </w:r>
      <w:r>
        <w:rPr>
          <w:rFonts w:ascii="Century" w:hAnsi="Century"/>
          <w:rtl/>
        </w:rPr>
        <w:t xml:space="preserve">. השופט </w:t>
      </w:r>
      <w:r>
        <w:rPr>
          <w:rFonts w:ascii="Century" w:hAnsi="Century" w:cs="Miriam"/>
          <w:b/>
          <w:spacing w:val="0"/>
          <w:szCs w:val="24"/>
          <w:rtl/>
        </w:rPr>
        <w:t>מינץ</w:t>
      </w:r>
      <w:r>
        <w:rPr>
          <w:rFonts w:ascii="Century" w:hAnsi="Century"/>
          <w:rtl/>
        </w:rPr>
        <w:t xml:space="preserve"> אינו מצמצם גם הוא את עילות ההתערבות, שכן מסקנת דבריו נובעת מקריאתו באופן אחר את פסק דינו של בית הדין הרבני הגדול. כדבריו: </w:t>
      </w:r>
      <w:r>
        <w:rPr>
          <w:rFonts w:ascii="Century" w:hAnsi="Century" w:cs="Miriam"/>
          <w:b/>
          <w:spacing w:val="0"/>
          <w:szCs w:val="24"/>
          <w:rtl/>
        </w:rPr>
        <w:t xml:space="preserve">"מתוך דברי הדיינים עמוס </w:t>
      </w:r>
      <w:proofErr w:type="spellStart"/>
      <w:r>
        <w:rPr>
          <w:rFonts w:ascii="Century" w:hAnsi="Century" w:cs="Miriam"/>
          <w:b/>
          <w:spacing w:val="0"/>
          <w:szCs w:val="24"/>
          <w:rtl/>
        </w:rPr>
        <w:t>ואלמליח</w:t>
      </w:r>
      <w:proofErr w:type="spellEnd"/>
      <w:r>
        <w:rPr>
          <w:rFonts w:ascii="Century" w:hAnsi="Century" w:cs="Miriam"/>
          <w:b/>
          <w:spacing w:val="0"/>
          <w:szCs w:val="24"/>
          <w:rtl/>
        </w:rPr>
        <w:t xml:space="preserve"> ונימוקיהם נלמד כי מסקנה זו נתקבלה במנותק לבגידה [...] אין מקום כדי לומר כי </w:t>
      </w:r>
      <w:r>
        <w:rPr>
          <w:rFonts w:ascii="Century" w:hAnsi="Century" w:cs="Miriam"/>
          <w:b/>
          <w:spacing w:val="0"/>
          <w:szCs w:val="24"/>
          <w:rtl/>
        </w:rPr>
        <w:lastRenderedPageBreak/>
        <w:t>מסקנת דעת הרוב בפסק הדין הייתה נגועה בשקלול נסיבות שאינן רלוונטיות לעניין, או כי בית הדין החיל את הדין הדתי על יחסי הממון הקיימים בין בני הזוג. אשר על כן, בית הדין לא חרג מסמכותו בפסק דינו"</w:t>
      </w:r>
      <w:r>
        <w:rPr>
          <w:rFonts w:ascii="Century" w:hAnsi="Century"/>
          <w:rtl/>
        </w:rPr>
        <w:t xml:space="preserve">. גם השופט </w:t>
      </w:r>
      <w:r>
        <w:rPr>
          <w:rFonts w:ascii="Century" w:hAnsi="Century" w:cs="Miriam"/>
          <w:b/>
          <w:spacing w:val="0"/>
          <w:szCs w:val="24"/>
          <w:rtl/>
        </w:rPr>
        <w:t>שטיין</w:t>
      </w:r>
      <w:r>
        <w:rPr>
          <w:rFonts w:ascii="Century" w:hAnsi="Century"/>
          <w:rtl/>
        </w:rPr>
        <w:t xml:space="preserve"> אינו מצמצם בדבריו את עילות ההתערבות, הגם שהגיע למסקנתו בדרך אחרת, בעקבות פרשנות שונה שנתן להוראות הדין </w:t>
      </w:r>
      <w:r>
        <w:rPr>
          <w:rFonts w:ascii="Century" w:hAnsi="Century" w:cs="Miriam"/>
          <w:b/>
          <w:spacing w:val="0"/>
          <w:szCs w:val="24"/>
          <w:rtl/>
        </w:rPr>
        <w:t>האזרחי</w:t>
      </w:r>
      <w:r>
        <w:rPr>
          <w:rFonts w:ascii="Century" w:hAnsi="Century"/>
          <w:rtl/>
        </w:rPr>
        <w:t xml:space="preserve"> בכל הנוגע לאי-נאמנות זוגית.</w:t>
      </w:r>
    </w:p>
    <w:p w:rsidR="00D2065C" w:rsidRDefault="00D2065C" w:rsidP="00D2065C">
      <w:pPr>
        <w:pStyle w:val="Ruller41"/>
        <w:spacing w:line="240" w:lineRule="auto"/>
        <w:rPr>
          <w:rFonts w:ascii="Century" w:hAnsi="Century"/>
          <w:rtl/>
        </w:rPr>
      </w:pPr>
    </w:p>
    <w:p w:rsidR="00D2065C" w:rsidRDefault="00D2065C" w:rsidP="00D2065C">
      <w:pPr>
        <w:pStyle w:val="Ruller41"/>
        <w:rPr>
          <w:rtl/>
        </w:rPr>
      </w:pPr>
      <w:r>
        <w:rPr>
          <w:rFonts w:ascii="Century" w:hAnsi="Century"/>
          <w:rtl/>
        </w:rPr>
        <w:tab/>
        <w:t xml:space="preserve">אמנם, לדעת חברתי הנשיאה, נדרשה התערבותו של בית המשפט הגבוה לצדק במקרה זה, בפסק הדין של בית הדין הרבני הגדול, משום שלשיטתה מרכיב הבגידה היה דומיננטי בקביעות הדיינים, ולא נאמר רק למעלה מן הנדרש. בכך מאמצת חברתי הנשיאה את פרשנותו של חברי השופט </w:t>
      </w:r>
      <w:r>
        <w:rPr>
          <w:rFonts w:ascii="Century" w:hAnsi="Century" w:cs="Miriam"/>
          <w:b/>
          <w:spacing w:val="0"/>
          <w:szCs w:val="24"/>
          <w:rtl/>
        </w:rPr>
        <w:t>עמית</w:t>
      </w:r>
      <w:r>
        <w:rPr>
          <w:rFonts w:ascii="Century" w:hAnsi="Century"/>
          <w:rtl/>
        </w:rPr>
        <w:t xml:space="preserve">, לנאמר בפסק הדין של בית הדין הרבני הגדול, וחולקת על הפרשנות שהוצעה על-ידי חברי השופט </w:t>
      </w:r>
      <w:r>
        <w:rPr>
          <w:rFonts w:ascii="Century" w:hAnsi="Century" w:cs="Miriam"/>
          <w:b/>
          <w:spacing w:val="0"/>
          <w:szCs w:val="24"/>
          <w:rtl/>
        </w:rPr>
        <w:t>מינץ</w:t>
      </w:r>
      <w:r>
        <w:rPr>
          <w:rFonts w:ascii="Century" w:hAnsi="Century"/>
          <w:rtl/>
        </w:rPr>
        <w:t xml:space="preserve">. כלשונה: </w:t>
      </w:r>
      <w:r>
        <w:rPr>
          <w:rFonts w:ascii="Century" w:hAnsi="Century" w:cs="Miriam"/>
          <w:b/>
          <w:spacing w:val="0"/>
          <w:szCs w:val="24"/>
          <w:rtl/>
        </w:rPr>
        <w:t>"אין בידי להסכים לחוות דעתו של חברי, השופט ד' מינץ, לפיה התייחסותו של בית הדין הרבני הגדול לבגידה הנטענת נעשתה למעלה מן הצורך, ולעמדתי לא יכול להיות חולק שהדבר היווה שיקול משמעותי בתוצאה הסופית שאליה הגיע בית הדין"</w:t>
      </w:r>
      <w:r>
        <w:rPr>
          <w:rFonts w:ascii="Century" w:hAnsi="Century"/>
          <w:rtl/>
        </w:rPr>
        <w:t xml:space="preserve">. דא עקא, נימוק זה אין בכוחו להצדיק דיון נוסף, מקום שבו לא </w:t>
      </w:r>
      <w:proofErr w:type="spellStart"/>
      <w:r>
        <w:rPr>
          <w:rFonts w:ascii="Century" w:hAnsi="Century" w:cs="Miriam"/>
          <w:b/>
          <w:spacing w:val="0"/>
          <w:szCs w:val="24"/>
          <w:rtl/>
        </w:rPr>
        <w:t>נתחדשה</w:t>
      </w:r>
      <w:proofErr w:type="spellEnd"/>
      <w:r>
        <w:rPr>
          <w:rFonts w:ascii="Century" w:hAnsi="Century" w:cs="Miriam"/>
          <w:b/>
          <w:spacing w:val="0"/>
          <w:szCs w:val="24"/>
          <w:rtl/>
        </w:rPr>
        <w:t xml:space="preserve"> הלכה</w:t>
      </w:r>
      <w:r>
        <w:rPr>
          <w:rFonts w:ascii="Century" w:hAnsi="Century"/>
          <w:rtl/>
        </w:rPr>
        <w:t xml:space="preserve">, וכל אשר נמצא לפנינו הוא פרשנות שונה, שניתנה על-ידי שופטים שונים, לעובדות המקרה, אשר מכוחה יושמה </w:t>
      </w:r>
      <w:r>
        <w:rPr>
          <w:rFonts w:ascii="Century" w:hAnsi="Century" w:cs="Miriam"/>
          <w:b/>
          <w:spacing w:val="0"/>
          <w:szCs w:val="24"/>
          <w:rtl/>
        </w:rPr>
        <w:t>ההלכה הנוהגת</w:t>
      </w:r>
      <w:r>
        <w:rPr>
          <w:rFonts w:ascii="Century" w:hAnsi="Century"/>
          <w:rtl/>
        </w:rPr>
        <w:t xml:space="preserve"> באופן שונה. לא </w:t>
      </w:r>
      <w:proofErr w:type="spellStart"/>
      <w:r>
        <w:rPr>
          <w:rFonts w:ascii="Century" w:hAnsi="Century"/>
          <w:rtl/>
        </w:rPr>
        <w:t>בכגון</w:t>
      </w:r>
      <w:proofErr w:type="spellEnd"/>
      <w:r>
        <w:rPr>
          <w:rFonts w:ascii="Century" w:hAnsi="Century"/>
          <w:rtl/>
        </w:rPr>
        <w:t xml:space="preserve"> דא נקיים דיון נוסף. </w:t>
      </w:r>
      <w:r>
        <w:rPr>
          <w:rFonts w:ascii="Century" w:hAnsi="Century" w:hint="cs"/>
          <w:rtl/>
        </w:rPr>
        <w:t xml:space="preserve">כך אמר המשנה לנשיא דאז, </w:t>
      </w:r>
      <w:r w:rsidRPr="00D24E32">
        <w:rPr>
          <w:rFonts w:ascii="Century" w:hAnsi="Century" w:cs="Miriam" w:hint="cs"/>
          <w:b/>
          <w:spacing w:val="0"/>
          <w:szCs w:val="24"/>
          <w:rtl/>
        </w:rPr>
        <w:t>מ' חשין</w:t>
      </w:r>
      <w:r>
        <w:rPr>
          <w:rFonts w:ascii="Century" w:hAnsi="Century" w:hint="cs"/>
          <w:rtl/>
        </w:rPr>
        <w:t xml:space="preserve">: </w:t>
      </w:r>
      <w:r>
        <w:rPr>
          <w:rFonts w:ascii="Century" w:hAnsi="Century" w:cs="Miriam"/>
          <w:b/>
          <w:spacing w:val="0"/>
          <w:szCs w:val="24"/>
          <w:rtl/>
        </w:rPr>
        <w:t>"אמת, דעות השופטים נחלקו באשר ליישומם של הדברים על עובדות המקרה, ואולם בידוע הוא כי טענות כנגד יישומה של הלכה מקומן בערעור, ולא בדיון הנוסף שתכליתו בחינה מחודשת של הלכות משפטיות שנפסקו"</w:t>
      </w:r>
      <w:r>
        <w:rPr>
          <w:rFonts w:ascii="Century" w:hAnsi="Century"/>
          <w:rtl/>
        </w:rPr>
        <w:t xml:space="preserve"> </w:t>
      </w:r>
      <w:r>
        <w:rPr>
          <w:rtl/>
        </w:rPr>
        <w:t xml:space="preserve">(ד"נ 7542/04 </w:t>
      </w:r>
      <w:r>
        <w:rPr>
          <w:rFonts w:ascii="Century" w:hAnsi="Century" w:cs="Miriam"/>
          <w:b/>
          <w:spacing w:val="0"/>
          <w:szCs w:val="24"/>
          <w:rtl/>
        </w:rPr>
        <w:t>עובדיה נ' סיבל נהריה בע"מ</w:t>
      </w:r>
      <w:r>
        <w:rPr>
          <w:rtl/>
        </w:rPr>
        <w:t xml:space="preserve">, פסקה 9 (2.8.2005)); כיוצא בדברים הללו, אמרה השופטת </w:t>
      </w:r>
      <w:r>
        <w:rPr>
          <w:rFonts w:ascii="Century" w:hAnsi="Century" w:cs="Miriam"/>
          <w:b/>
          <w:spacing w:val="0"/>
          <w:szCs w:val="24"/>
          <w:rtl/>
        </w:rPr>
        <w:t>א'</w:t>
      </w:r>
      <w:r>
        <w:rPr>
          <w:rtl/>
        </w:rPr>
        <w:t xml:space="preserve"> </w:t>
      </w:r>
      <w:r>
        <w:rPr>
          <w:rFonts w:ascii="Century" w:hAnsi="Century" w:cs="Miriam"/>
          <w:b/>
          <w:spacing w:val="0"/>
          <w:szCs w:val="24"/>
          <w:rtl/>
        </w:rPr>
        <w:t>פרוקצ'יה</w:t>
      </w:r>
      <w:r>
        <w:rPr>
          <w:rtl/>
        </w:rPr>
        <w:t xml:space="preserve">: </w:t>
      </w:r>
      <w:r>
        <w:rPr>
          <w:rFonts w:ascii="Century" w:hAnsi="Century" w:cs="Miriam"/>
          <w:b/>
          <w:spacing w:val="0"/>
          <w:szCs w:val="24"/>
          <w:rtl/>
        </w:rPr>
        <w:t xml:space="preserve">"מקום שההליך מותיר את ההלכה המשפטית על מכונה, ובכלל זה מותיר על כנם את כללי המשקל והאיזון הפנימי המובנים בה, נראה כי שאלות יישומה הפרטני ודרכי החלתה הלכה למעשה הן ענין לערכאות הדיון והערעור. דרכי היישום של ההלכה העקרונית במסגרת הפעלת שיקול הדעת השיפוטי, האמצעים הננקטים </w:t>
      </w:r>
      <w:proofErr w:type="spellStart"/>
      <w:r>
        <w:rPr>
          <w:rFonts w:ascii="Century" w:hAnsi="Century" w:cs="Miriam"/>
          <w:b/>
          <w:spacing w:val="0"/>
          <w:szCs w:val="24"/>
          <w:rtl/>
        </w:rPr>
        <w:t>לשיקלול</w:t>
      </w:r>
      <w:proofErr w:type="spellEnd"/>
      <w:r>
        <w:rPr>
          <w:rFonts w:ascii="Century" w:hAnsi="Century" w:cs="Miriam"/>
          <w:b/>
          <w:spacing w:val="0"/>
          <w:szCs w:val="24"/>
          <w:rtl/>
        </w:rPr>
        <w:t xml:space="preserve"> ואיזון בין מרכיביה, קביעת קריטריונים כלליים לצורך כך, והחלתם הפרטנית למקרה הקונקרטי </w:t>
      </w:r>
      <w:r>
        <w:rPr>
          <w:rFonts w:ascii="Century" w:hAnsi="Century"/>
          <w:rtl/>
        </w:rPr>
        <w:t>–</w:t>
      </w:r>
      <w:r>
        <w:rPr>
          <w:rFonts w:ascii="Century" w:hAnsi="Century" w:cs="Miriam"/>
          <w:b/>
          <w:spacing w:val="0"/>
          <w:szCs w:val="24"/>
          <w:rtl/>
        </w:rPr>
        <w:t xml:space="preserve"> עניינם של אלה להתברר בערכאה הדיונית, ובערכאה </w:t>
      </w:r>
      <w:proofErr w:type="spellStart"/>
      <w:r>
        <w:rPr>
          <w:rFonts w:ascii="Century" w:hAnsi="Century" w:cs="Miriam"/>
          <w:b/>
          <w:spacing w:val="0"/>
          <w:szCs w:val="24"/>
          <w:rtl/>
        </w:rPr>
        <w:t>ערעורית</w:t>
      </w:r>
      <w:proofErr w:type="spellEnd"/>
      <w:r>
        <w:rPr>
          <w:rFonts w:ascii="Century" w:hAnsi="Century" w:cs="Miriam"/>
          <w:b/>
          <w:spacing w:val="0"/>
          <w:szCs w:val="24"/>
          <w:rtl/>
        </w:rPr>
        <w:t xml:space="preserve"> המעמידה למבחן את קביעותיה [...] דומה, כי מצווים אנו במתיחת אבחנה ברורה בין הערכתה המחודשת של הלכה משפטית עקרונית חשובה במסגרת הדיון הנוסף, לבין בחינת דרכי יישומה הלכה למעשה לסיטואציות עובדתיות קונקרטיות, המתבררות בערכאות דיוניות ונתונות לביקורת </w:t>
      </w:r>
      <w:proofErr w:type="spellStart"/>
      <w:r>
        <w:rPr>
          <w:rFonts w:ascii="Century" w:hAnsi="Century" w:cs="Miriam"/>
          <w:b/>
          <w:spacing w:val="0"/>
          <w:szCs w:val="24"/>
          <w:rtl/>
        </w:rPr>
        <w:t>ערעורית</w:t>
      </w:r>
      <w:proofErr w:type="spellEnd"/>
      <w:r>
        <w:rPr>
          <w:rFonts w:ascii="Century" w:hAnsi="Century" w:cs="Miriam" w:hint="cs"/>
          <w:b/>
          <w:spacing w:val="0"/>
          <w:szCs w:val="24"/>
          <w:rtl/>
        </w:rPr>
        <w:t xml:space="preserve"> [...] חשיבות ההקפדה על הגדרה ברורה של מסגרות הדיון השונות, ובכללן על קווי הגבול שבין הליך הדיון הנוסף להליך הערעור, אינה מצטמצמת לחובת כיבוד סדרי הדיון שנקבעו בדין, והגשמת התכליות המיוחדות המאפיינות את סוגי ההליכים השונים. היא משפיעה על יציבות ההלכה הפסוקה; היא אוצלת על גורם הוודאות והביטחון במשפט; היא מקרינה על עקרון סופיות הדיון; היא תורמת לעיצוב ברור של סמכויות השיפוט השונות במסגרות הדיוניות שנקבעו להן בדין</w:t>
      </w:r>
      <w:r>
        <w:rPr>
          <w:rFonts w:ascii="Century" w:hAnsi="Century" w:cs="Miriam"/>
          <w:b/>
          <w:spacing w:val="0"/>
          <w:szCs w:val="24"/>
          <w:rtl/>
        </w:rPr>
        <w:t>"</w:t>
      </w:r>
      <w:r>
        <w:rPr>
          <w:rtl/>
        </w:rPr>
        <w:t xml:space="preserve"> (דנ"א 2045/05 </w:t>
      </w:r>
      <w:r>
        <w:rPr>
          <w:rFonts w:ascii="Century" w:hAnsi="Century" w:cs="Miriam"/>
          <w:b/>
          <w:spacing w:val="0"/>
          <w:szCs w:val="24"/>
          <w:rtl/>
        </w:rPr>
        <w:t xml:space="preserve">ארגון מגדלי ירקות </w:t>
      </w:r>
      <w:r>
        <w:rPr>
          <w:rFonts w:ascii="Century" w:hAnsi="Century"/>
          <w:rtl/>
        </w:rPr>
        <w:t>–</w:t>
      </w:r>
      <w:r>
        <w:rPr>
          <w:rFonts w:ascii="Century" w:hAnsi="Century" w:cs="Miriam"/>
          <w:b/>
          <w:spacing w:val="0"/>
          <w:szCs w:val="24"/>
          <w:rtl/>
        </w:rPr>
        <w:t xml:space="preserve"> אגודה חקלאית שיתופית בע"מ נ' מדינת ישראל</w:t>
      </w:r>
      <w:r>
        <w:rPr>
          <w:rtl/>
        </w:rPr>
        <w:t xml:space="preserve">, פ"ד סא(2) 1, </w:t>
      </w:r>
      <w:r>
        <w:rPr>
          <w:rFonts w:hint="cs"/>
          <w:rtl/>
        </w:rPr>
        <w:t xml:space="preserve">81-79 </w:t>
      </w:r>
      <w:r>
        <w:rPr>
          <w:rtl/>
        </w:rPr>
        <w:lastRenderedPageBreak/>
        <w:t>(2006)</w:t>
      </w:r>
      <w:r>
        <w:rPr>
          <w:rFonts w:hint="cs"/>
          <w:rtl/>
        </w:rPr>
        <w:t xml:space="preserve">); ובלשונו התמציתית של השופט </w:t>
      </w:r>
      <w:r w:rsidRPr="009E3EF2">
        <w:rPr>
          <w:rFonts w:ascii="Century" w:hAnsi="Century" w:cs="Miriam" w:hint="cs"/>
          <w:b/>
          <w:spacing w:val="0"/>
          <w:szCs w:val="24"/>
          <w:rtl/>
        </w:rPr>
        <w:t>א' א' לוי</w:t>
      </w:r>
      <w:r w:rsidRPr="002B15CB">
        <w:rPr>
          <w:rFonts w:hint="cs"/>
          <w:rtl/>
        </w:rPr>
        <w:t>:</w:t>
      </w:r>
      <w:r>
        <w:rPr>
          <w:rFonts w:hint="cs"/>
          <w:rtl/>
        </w:rPr>
        <w:t xml:space="preserve"> </w:t>
      </w:r>
      <w:r w:rsidRPr="009E3EF2">
        <w:rPr>
          <w:rFonts w:ascii="Century" w:hAnsi="Century" w:cs="Miriam" w:hint="cs"/>
          <w:b/>
          <w:spacing w:val="0"/>
          <w:szCs w:val="24"/>
          <w:rtl/>
        </w:rPr>
        <w:t>"מתקשה אני לראות מהי אותה הלכה חדשה המצריכה את עיוננו החוזר"</w:t>
      </w:r>
      <w:r>
        <w:rPr>
          <w:rFonts w:ascii="Century" w:hAnsi="Century" w:cs="Miriam" w:hint="cs"/>
          <w:b/>
          <w:spacing w:val="0"/>
          <w:szCs w:val="24"/>
          <w:rtl/>
        </w:rPr>
        <w:t xml:space="preserve"> </w:t>
      </w:r>
      <w:r>
        <w:rPr>
          <w:rFonts w:hint="cs"/>
          <w:rtl/>
        </w:rPr>
        <w:t>(שם, 82)</w:t>
      </w:r>
      <w:r>
        <w:rPr>
          <w:rtl/>
        </w:rPr>
        <w:t>.</w:t>
      </w:r>
      <w:r>
        <w:rPr>
          <w:rFonts w:hint="cs"/>
          <w:rtl/>
        </w:rPr>
        <w:t xml:space="preserve"> דבריו ישימים לענייננו.</w:t>
      </w:r>
    </w:p>
    <w:p w:rsidR="00D2065C" w:rsidRDefault="00D2065C" w:rsidP="00D2065C">
      <w:pPr>
        <w:pStyle w:val="Ruller41"/>
        <w:rPr>
          <w:rFonts w:ascii="Century" w:hAnsi="Century"/>
          <w:rtl/>
        </w:rPr>
      </w:pPr>
    </w:p>
    <w:p w:rsidR="00D2065C" w:rsidRDefault="00D2065C" w:rsidP="00D2065C">
      <w:pPr>
        <w:pStyle w:val="Ruller41"/>
        <w:rPr>
          <w:rFonts w:ascii="Century" w:hAnsi="Century"/>
          <w:rtl/>
        </w:rPr>
      </w:pPr>
      <w:r>
        <w:rPr>
          <w:rtl/>
        </w:rPr>
        <w:tab/>
        <w:t>(ב)</w:t>
      </w:r>
      <w:r>
        <w:rPr>
          <w:rtl/>
        </w:rPr>
        <w:tab/>
      </w:r>
      <w:r>
        <w:rPr>
          <w:rFonts w:ascii="Century" w:hAnsi="Century" w:cs="Miriam"/>
          <w:b/>
          <w:spacing w:val="0"/>
          <w:szCs w:val="24"/>
          <w:rtl/>
        </w:rPr>
        <w:t>בכל הנוגע לטענה כי משתמע שהשיתוף הספציפי מתגבש רק במועד הפירוד ולא קודם לכן</w:t>
      </w:r>
      <w:r>
        <w:rPr>
          <w:rFonts w:ascii="Century" w:hAnsi="Century"/>
          <w:rtl/>
        </w:rPr>
        <w:t xml:space="preserve"> – קריאת פסק הדין מעלה, כי הוכרע בו שהשיתוף הספציפי מתגבש בשלב מסוים על ציר חיי הנישואין, ולא אך בהגיע מועד הפירוד. כך מבהיר חברי השופט </w:t>
      </w:r>
      <w:r>
        <w:rPr>
          <w:rFonts w:ascii="Century" w:hAnsi="Century" w:cs="Miriam"/>
          <w:b/>
          <w:spacing w:val="0"/>
          <w:szCs w:val="24"/>
          <w:rtl/>
        </w:rPr>
        <w:t>עמית</w:t>
      </w:r>
      <w:r>
        <w:rPr>
          <w:rFonts w:ascii="Century" w:hAnsi="Century"/>
          <w:rtl/>
        </w:rPr>
        <w:t xml:space="preserve">, כי </w:t>
      </w:r>
      <w:r>
        <w:rPr>
          <w:rFonts w:ascii="Century" w:hAnsi="Century" w:cs="Miriam"/>
          <w:b/>
          <w:spacing w:val="0"/>
          <w:szCs w:val="24"/>
          <w:rtl/>
        </w:rPr>
        <w:t>"ההנחה היא שהשיתוף הכללי בנכסים, כמו גם השיתוף בנכס ספציפי, מתגבש במועד מסוים על ציר חיי הנישואין"</w:t>
      </w:r>
      <w:r>
        <w:rPr>
          <w:rFonts w:ascii="Century" w:hAnsi="Century"/>
          <w:rtl/>
        </w:rPr>
        <w:t xml:space="preserve">. חברי השופט </w:t>
      </w:r>
      <w:r>
        <w:rPr>
          <w:rFonts w:ascii="Century" w:hAnsi="Century" w:cs="Miriam"/>
          <w:b/>
          <w:spacing w:val="0"/>
          <w:szCs w:val="24"/>
          <w:rtl/>
        </w:rPr>
        <w:t>מינץ</w:t>
      </w:r>
      <w:r>
        <w:rPr>
          <w:rFonts w:ascii="Century" w:hAnsi="Century"/>
          <w:rtl/>
        </w:rPr>
        <w:t xml:space="preserve"> מסכים עמו ומציין, כי </w:t>
      </w:r>
      <w:r>
        <w:rPr>
          <w:rFonts w:ascii="Century" w:hAnsi="Century" w:cs="Miriam"/>
          <w:b/>
          <w:spacing w:val="0"/>
          <w:szCs w:val="24"/>
          <w:rtl/>
        </w:rPr>
        <w:t>"כפי שהצביע חברי, כשם ש</w:t>
      </w:r>
      <w:r>
        <w:rPr>
          <w:rFonts w:ascii="Century" w:hAnsi="Century" w:cs="Miriam"/>
          <w:b/>
          <w:spacing w:val="0"/>
          <w:szCs w:val="24"/>
          <w:u w:val="single"/>
          <w:rtl/>
        </w:rPr>
        <w:t>התגבשות השיתוף נמדדת על ציר חיי הנישואין</w:t>
      </w:r>
      <w:r>
        <w:rPr>
          <w:rFonts w:ascii="Century" w:hAnsi="Century" w:cs="Miriam"/>
          <w:b/>
          <w:spacing w:val="0"/>
          <w:szCs w:val="24"/>
          <w:rtl/>
        </w:rPr>
        <w:t>, כך גם הנסיבות המצביעות על היעדר שיתוף נלקחות בחשבון על רצף חיי הנישואין ואין 'נענשים עליהן למפרע'"</w:t>
      </w:r>
      <w:r>
        <w:rPr>
          <w:rFonts w:ascii="Century" w:hAnsi="Century"/>
          <w:rtl/>
        </w:rPr>
        <w:t xml:space="preserve">; ובהמשך מוסיף, כי </w:t>
      </w:r>
      <w:r>
        <w:rPr>
          <w:rFonts w:ascii="Century" w:hAnsi="Century" w:cs="Miriam"/>
          <w:b/>
          <w:spacing w:val="0"/>
          <w:szCs w:val="24"/>
          <w:rtl/>
        </w:rPr>
        <w:t xml:space="preserve">"אין מקום לזקוף את בגידתה הנטענת המאוחרת של העותרת לשלילת השיתוף בנכסים </w:t>
      </w:r>
      <w:r>
        <w:rPr>
          <w:rFonts w:ascii="Century" w:hAnsi="Century" w:cs="Miriam"/>
          <w:b/>
          <w:spacing w:val="0"/>
          <w:szCs w:val="24"/>
          <w:u w:val="single"/>
          <w:rtl/>
        </w:rPr>
        <w:t>שהתגבש עוד קודם לכן</w:t>
      </w:r>
      <w:r>
        <w:rPr>
          <w:rFonts w:ascii="Century" w:hAnsi="Century" w:cs="Miriam"/>
          <w:b/>
          <w:spacing w:val="0"/>
          <w:szCs w:val="24"/>
          <w:rtl/>
        </w:rPr>
        <w:t>"</w:t>
      </w:r>
      <w:r>
        <w:rPr>
          <w:rFonts w:ascii="Century" w:hAnsi="Century"/>
          <w:rtl/>
        </w:rPr>
        <w:t xml:space="preserve"> (ההדגשות אינן במקור – נ' ס'). אמנם, חברי השופט </w:t>
      </w:r>
      <w:r>
        <w:rPr>
          <w:rFonts w:ascii="Century" w:hAnsi="Century" w:cs="Miriam"/>
          <w:b/>
          <w:spacing w:val="0"/>
          <w:szCs w:val="24"/>
          <w:rtl/>
        </w:rPr>
        <w:t>שטיין</w:t>
      </w:r>
      <w:r>
        <w:rPr>
          <w:rFonts w:ascii="Century" w:hAnsi="Century"/>
          <w:rtl/>
        </w:rPr>
        <w:t xml:space="preserve"> נכון לקבוע כי בתוך מערכת יחסים בין בני זוג יכול להיווצר 'הסכם מכללא' (התלוי בנסיבות כל מקרה ומקרה), אשר במקרים מסוימים עשוי ללמד </w:t>
      </w:r>
      <w:r>
        <w:rPr>
          <w:rFonts w:ascii="Century" w:hAnsi="Century" w:cs="Miriam"/>
          <w:b/>
          <w:spacing w:val="0"/>
          <w:szCs w:val="24"/>
          <w:rtl/>
        </w:rPr>
        <w:t>למפרע</w:t>
      </w:r>
      <w:r>
        <w:rPr>
          <w:rFonts w:ascii="Century" w:hAnsi="Century"/>
          <w:rtl/>
        </w:rPr>
        <w:t xml:space="preserve"> על העדר כוונת שיתוף. ברם, אין בדברים אלה כדי ללמד, שלשיטתו, לא התגבש שיתוף ספציפי בשלב מסוים לאורך תקופת הנישואין. זאת גם אם לעמדתו, בנסיבות, ניתן יהיה לקבוע כי מתקיים תנאי מתלה אשר עשוי לבטל את השיתוף הספציפי שהתגבש, בהתאם לאומד דעת הצדדים. גם אם נרחיק לכת ונאמר, כי חברי השופט </w:t>
      </w:r>
      <w:r>
        <w:rPr>
          <w:rFonts w:ascii="Century" w:hAnsi="Century" w:cs="Miriam"/>
          <w:b/>
          <w:spacing w:val="0"/>
          <w:szCs w:val="24"/>
          <w:rtl/>
        </w:rPr>
        <w:t>שטיין</w:t>
      </w:r>
      <w:r>
        <w:rPr>
          <w:rFonts w:ascii="Century" w:hAnsi="Century"/>
          <w:rtl/>
        </w:rPr>
        <w:t xml:space="preserve"> חולק אף על המועד שבו מתגבש השיתוף הספציפי, ברי כי גישתו-שלו, לבדה, אינה יוצרת </w:t>
      </w:r>
      <w:r>
        <w:rPr>
          <w:rFonts w:ascii="Century" w:hAnsi="Century" w:cs="Miriam"/>
          <w:b/>
          <w:spacing w:val="0"/>
          <w:szCs w:val="24"/>
          <w:rtl/>
        </w:rPr>
        <w:t xml:space="preserve">הלכה </w:t>
      </w:r>
      <w:r>
        <w:rPr>
          <w:rFonts w:ascii="Century" w:hAnsi="Century"/>
          <w:rtl/>
        </w:rPr>
        <w:t xml:space="preserve">חדשה, מקום שבו דעת </w:t>
      </w:r>
      <w:r>
        <w:rPr>
          <w:rFonts w:ascii="Century" w:hAnsi="Century" w:cs="Miriam"/>
          <w:b/>
          <w:spacing w:val="0"/>
          <w:szCs w:val="24"/>
          <w:rtl/>
        </w:rPr>
        <w:t>הרוב</w:t>
      </w:r>
      <w:r>
        <w:rPr>
          <w:rFonts w:ascii="Century" w:hAnsi="Century"/>
          <w:rtl/>
        </w:rPr>
        <w:t xml:space="preserve"> אינה מורה כן. </w:t>
      </w:r>
    </w:p>
    <w:p w:rsidR="00D2065C" w:rsidRDefault="00D2065C" w:rsidP="00D2065C">
      <w:pPr>
        <w:pStyle w:val="Ruller41"/>
        <w:rPr>
          <w:rtl/>
        </w:rPr>
      </w:pPr>
    </w:p>
    <w:p w:rsidR="00D2065C" w:rsidRDefault="00D2065C" w:rsidP="00D2065C">
      <w:pPr>
        <w:pStyle w:val="Ruller41"/>
        <w:rPr>
          <w:rtl/>
        </w:rPr>
      </w:pPr>
      <w:r>
        <w:rPr>
          <w:rtl/>
        </w:rPr>
        <w:tab/>
        <w:t>(ג)</w:t>
      </w:r>
      <w:r>
        <w:rPr>
          <w:rtl/>
        </w:rPr>
        <w:tab/>
      </w:r>
      <w:r>
        <w:rPr>
          <w:rFonts w:ascii="Century" w:hAnsi="Century" w:cs="Miriam"/>
          <w:b/>
          <w:spacing w:val="0"/>
          <w:szCs w:val="24"/>
          <w:rtl/>
        </w:rPr>
        <w:t>בהתייחס לטענה בדבר שלילת זכויות מוקנות מחמת אי-נאמנות מינית</w:t>
      </w:r>
      <w:r>
        <w:rPr>
          <w:rtl/>
        </w:rPr>
        <w:t xml:space="preserve"> – גם כאן, על-פי דעת </w:t>
      </w:r>
      <w:r>
        <w:rPr>
          <w:rFonts w:ascii="Century" w:hAnsi="Century" w:cs="Miriam"/>
          <w:b/>
          <w:spacing w:val="0"/>
          <w:szCs w:val="24"/>
          <w:rtl/>
        </w:rPr>
        <w:t>הרוב</w:t>
      </w:r>
      <w:r>
        <w:rPr>
          <w:rtl/>
        </w:rPr>
        <w:t xml:space="preserve">, אין לשלול מאדם זכויות מוקנות רק מחמת אי-נאמנות מינית, ולצד זאת, שוררת תמימות דעים לגבי האפשרות לשקול נסיבה זו, בין מכלול השיקולים המובאים בחשבון בעת הכרעה בשאלת השיתוף הספציפי. כך, כשם שניתן לשקול את משך הנישואין, טיבם, כוונה ספציפית לשיתוף, אופן השיתוף בין בני הזוג (חשבונות משותפים וכדומה), השקעותיהם הכספיות בנכס, וכיוצא באלו דברים; ניתן גם לשקול את נאמנותם של בני הזוג, זה לזו (ראו: פסקה 14 לחוות הדעת של חברי השופט </w:t>
      </w:r>
      <w:r>
        <w:rPr>
          <w:rFonts w:ascii="Century" w:hAnsi="Century" w:cs="Miriam"/>
          <w:b/>
          <w:spacing w:val="0"/>
          <w:szCs w:val="24"/>
          <w:rtl/>
        </w:rPr>
        <w:t>עמית</w:t>
      </w:r>
      <w:r>
        <w:rPr>
          <w:rtl/>
        </w:rPr>
        <w:t xml:space="preserve">, ופסקה 7 לחוות הדעת של חברי השופט </w:t>
      </w:r>
      <w:r>
        <w:rPr>
          <w:rFonts w:ascii="Century" w:hAnsi="Century" w:cs="Miriam"/>
          <w:b/>
          <w:spacing w:val="0"/>
          <w:szCs w:val="24"/>
          <w:rtl/>
        </w:rPr>
        <w:t>מינץ</w:t>
      </w:r>
      <w:r>
        <w:rPr>
          <w:rtl/>
        </w:rPr>
        <w:t xml:space="preserve">). על קביעה זו, שאינה בגדר חידוש או הלכה, מוסיף השופט </w:t>
      </w:r>
      <w:r>
        <w:rPr>
          <w:rFonts w:ascii="Century" w:hAnsi="Century" w:cs="Miriam"/>
          <w:b/>
          <w:spacing w:val="0"/>
          <w:szCs w:val="24"/>
          <w:rtl/>
        </w:rPr>
        <w:t>עמית</w:t>
      </w:r>
      <w:r>
        <w:rPr>
          <w:rtl/>
        </w:rPr>
        <w:t xml:space="preserve">, כי </w:t>
      </w:r>
      <w:r>
        <w:rPr>
          <w:rFonts w:ascii="Century" w:hAnsi="Century" w:cs="Miriam"/>
          <w:b/>
          <w:spacing w:val="0"/>
          <w:szCs w:val="24"/>
          <w:rtl/>
        </w:rPr>
        <w:t xml:space="preserve">"גם אלו הסבורים כי יש ליתן משקל לאשמה של בן הזוג בענייני רכוש, יסכימו כי </w:t>
      </w:r>
      <w:proofErr w:type="spellStart"/>
      <w:r>
        <w:rPr>
          <w:rFonts w:ascii="Century" w:hAnsi="Century" w:cs="Miriam"/>
          <w:b/>
          <w:spacing w:val="0"/>
          <w:szCs w:val="24"/>
          <w:rtl/>
        </w:rPr>
        <w:t>נפקותה</w:t>
      </w:r>
      <w:proofErr w:type="spellEnd"/>
      <w:r>
        <w:rPr>
          <w:rFonts w:ascii="Century" w:hAnsi="Century" w:cs="Miriam"/>
          <w:b/>
          <w:spacing w:val="0"/>
          <w:szCs w:val="24"/>
          <w:rtl/>
        </w:rPr>
        <w:t xml:space="preserve"> של בגידת בן הזוג היא מכאן ואילך, כנקודת זמן המעידה על המשבר ביחסים בין בני הזוג, ולכן יש להבחין בין רכוש שנצבר לפני מעשה הבגידה לרכוש שנצבר מיום הבגידה ועד לפירוק בפועל של הנישואין"</w:t>
      </w:r>
      <w:r>
        <w:rPr>
          <w:rtl/>
        </w:rPr>
        <w:t xml:space="preserve">. השופט </w:t>
      </w:r>
      <w:r>
        <w:rPr>
          <w:rFonts w:ascii="Century" w:hAnsi="Century" w:cs="Miriam"/>
          <w:b/>
          <w:spacing w:val="0"/>
          <w:szCs w:val="24"/>
          <w:rtl/>
        </w:rPr>
        <w:t>מינץ</w:t>
      </w:r>
      <w:r>
        <w:rPr>
          <w:rtl/>
        </w:rPr>
        <w:t xml:space="preserve"> מתייחס גם הוא לנקודה זו, ומציין במפורש, כי </w:t>
      </w:r>
      <w:r>
        <w:rPr>
          <w:rFonts w:ascii="Century" w:hAnsi="Century" w:cs="Miriam"/>
          <w:b/>
          <w:spacing w:val="0"/>
          <w:szCs w:val="24"/>
          <w:rtl/>
        </w:rPr>
        <w:t xml:space="preserve">"אין בכוחה של בגידה של אחד מבני הזוג לבטל את שיתוף </w:t>
      </w:r>
      <w:r>
        <w:rPr>
          <w:rFonts w:ascii="Century" w:hAnsi="Century" w:cs="Miriam"/>
          <w:b/>
          <w:spacing w:val="0"/>
          <w:szCs w:val="24"/>
          <w:rtl/>
        </w:rPr>
        <w:lastRenderedPageBreak/>
        <w:t>הנכסים שהתגבש, אם התגבש לפני הבגידה"</w:t>
      </w:r>
      <w:r>
        <w:rPr>
          <w:rtl/>
        </w:rPr>
        <w:t xml:space="preserve">. אם כן, גם טענתה-זו של המבקשת, אינה עולה בקנה אחד עם הנאמר בפסק הדין. משקבעה </w:t>
      </w:r>
      <w:r>
        <w:rPr>
          <w:rFonts w:ascii="Century" w:hAnsi="Century"/>
          <w:rtl/>
        </w:rPr>
        <w:t xml:space="preserve">דעת </w:t>
      </w:r>
      <w:r>
        <w:rPr>
          <w:rFonts w:ascii="Century" w:hAnsi="Century" w:cs="Miriam"/>
          <w:b/>
          <w:spacing w:val="0"/>
          <w:szCs w:val="24"/>
          <w:rtl/>
        </w:rPr>
        <w:t>הרוב</w:t>
      </w:r>
      <w:r>
        <w:rPr>
          <w:rFonts w:ascii="Century" w:hAnsi="Century"/>
          <w:rtl/>
        </w:rPr>
        <w:t xml:space="preserve">, כי אין בכוחה של אי-נאמנות מינית כדי לבטל, באופן קטגורי, שיתוף ספציפי שהתגבש קודם לכן, </w:t>
      </w:r>
      <w:r>
        <w:rPr>
          <w:rtl/>
        </w:rPr>
        <w:t xml:space="preserve">הרי שפסק הדין אינו קובע </w:t>
      </w:r>
      <w:r w:rsidRPr="00D24E32">
        <w:rPr>
          <w:rFonts w:ascii="Century" w:hAnsi="Century" w:cs="Miriam"/>
          <w:b/>
          <w:spacing w:val="0"/>
          <w:szCs w:val="24"/>
          <w:rtl/>
        </w:rPr>
        <w:t>הלכה חדשה</w:t>
      </w:r>
      <w:r>
        <w:rPr>
          <w:rtl/>
        </w:rPr>
        <w:t xml:space="preserve"> גם בהקשר הזה.</w:t>
      </w:r>
    </w:p>
    <w:p w:rsidR="00D2065C" w:rsidRDefault="00D2065C" w:rsidP="00D2065C">
      <w:pPr>
        <w:pStyle w:val="Ruller41"/>
        <w:rPr>
          <w:rtl/>
        </w:rPr>
      </w:pPr>
    </w:p>
    <w:p w:rsidR="00D2065C" w:rsidRDefault="00D2065C" w:rsidP="00B33C99">
      <w:pPr>
        <w:pStyle w:val="Ruller41"/>
        <w:rPr>
          <w:rtl/>
        </w:rPr>
      </w:pPr>
      <w:r>
        <w:rPr>
          <w:rFonts w:hint="cs"/>
          <w:rtl/>
        </w:rPr>
        <w:t>6</w:t>
      </w:r>
      <w:r>
        <w:rPr>
          <w:rtl/>
        </w:rPr>
        <w:t>.</w:t>
      </w:r>
      <w:r>
        <w:rPr>
          <w:rtl/>
        </w:rPr>
        <w:tab/>
        <w:t xml:space="preserve">הנה כי כן, שלא כטענת המבקשת, בפסק הדין מושא הבקשה לא </w:t>
      </w:r>
      <w:proofErr w:type="spellStart"/>
      <w:r>
        <w:rPr>
          <w:rtl/>
        </w:rPr>
        <w:t>נתחדשה</w:t>
      </w:r>
      <w:proofErr w:type="spellEnd"/>
      <w:r>
        <w:rPr>
          <w:rtl/>
        </w:rPr>
        <w:t xml:space="preserve"> כל </w:t>
      </w:r>
      <w:r w:rsidRPr="00D24E32">
        <w:rPr>
          <w:rFonts w:ascii="Century" w:hAnsi="Century" w:cs="Miriam"/>
          <w:b/>
          <w:spacing w:val="0"/>
          <w:szCs w:val="24"/>
          <w:rtl/>
        </w:rPr>
        <w:t>הלכה</w:t>
      </w:r>
      <w:r>
        <w:rPr>
          <w:rtl/>
        </w:rPr>
        <w:t xml:space="preserve">. בקשתה אינה ממלאת אחר תנאי-הסף הבסיסי שקבע המחוקק, אשר רק בהתקיימוֹ עשויה להתעורר הצדקה לדיון נוסף בפסק דין שניתן </w:t>
      </w:r>
      <w:r w:rsidR="00B33C99">
        <w:rPr>
          <w:rFonts w:hint="cs"/>
          <w:rtl/>
        </w:rPr>
        <w:t>בבית המשפט העליון</w:t>
      </w:r>
      <w:r>
        <w:rPr>
          <w:rtl/>
        </w:rPr>
        <w:t xml:space="preserve">. ברי אפוא כי עניינה של המבקשת אינו </w:t>
      </w:r>
      <w:r>
        <w:rPr>
          <w:rFonts w:ascii="Century" w:hAnsi="Century" w:cs="Miriam"/>
          <w:b/>
          <w:spacing w:val="0"/>
          <w:szCs w:val="24"/>
          <w:rtl/>
        </w:rPr>
        <w:t>"משתייך לאותם מקרים חריגים-שבחריגים, נדירים-שבנדירים, שבהם יקוים דיון נוסף"</w:t>
      </w:r>
      <w:r>
        <w:rPr>
          <w:rtl/>
        </w:rPr>
        <w:t xml:space="preserve"> (</w:t>
      </w:r>
      <w:proofErr w:type="spellStart"/>
      <w:r>
        <w:rPr>
          <w:rtl/>
        </w:rPr>
        <w:t>דנ"פ</w:t>
      </w:r>
      <w:proofErr w:type="spellEnd"/>
      <w:r>
        <w:rPr>
          <w:rtl/>
        </w:rPr>
        <w:t xml:space="preserve"> 11414/05 </w:t>
      </w:r>
      <w:proofErr w:type="spellStart"/>
      <w:r>
        <w:rPr>
          <w:rFonts w:ascii="Century" w:hAnsi="Century" w:cs="Miriam"/>
          <w:b/>
          <w:spacing w:val="0"/>
          <w:szCs w:val="24"/>
          <w:rtl/>
        </w:rPr>
        <w:t>רוזנשטיין</w:t>
      </w:r>
      <w:proofErr w:type="spellEnd"/>
      <w:r>
        <w:rPr>
          <w:rFonts w:ascii="Century" w:hAnsi="Century" w:cs="Miriam"/>
          <w:b/>
          <w:spacing w:val="0"/>
          <w:szCs w:val="24"/>
          <w:rtl/>
        </w:rPr>
        <w:t xml:space="preserve"> נ' היועץ המשפטי לממשלה</w:t>
      </w:r>
      <w:r>
        <w:rPr>
          <w:rtl/>
        </w:rPr>
        <w:t>, פסקה 14 (31.1.2006)). ודוק: לא בכדי צמצם המחוקק את הליך הדיון הנוסף למקרים גדורים וחריגים. פריצת גבולותיו של הליך זה עלולה לפגוע ביציבות השיטה, ובוודאות השיפוטית שאמורה להיות מנת חלקו של מי שזכה בדין בערכאה השיפוטית העליונה, ביודעו כי ככלל, למעט חריגים-שבחריגים, אין מהרהרים אחר הכרעותיה.</w:t>
      </w:r>
    </w:p>
    <w:p w:rsidR="00D2065C" w:rsidRDefault="00D2065C" w:rsidP="00D2065C">
      <w:pPr>
        <w:pStyle w:val="Ruller41"/>
        <w:rPr>
          <w:rtl/>
        </w:rPr>
      </w:pPr>
    </w:p>
    <w:p w:rsidR="00D2065C" w:rsidRDefault="00D2065C" w:rsidP="00D2065C">
      <w:pPr>
        <w:pStyle w:val="Ruller41"/>
        <w:rPr>
          <w:rtl/>
        </w:rPr>
      </w:pPr>
      <w:r>
        <w:rPr>
          <w:rFonts w:hint="cs"/>
          <w:rtl/>
        </w:rPr>
        <w:t>7</w:t>
      </w:r>
      <w:r>
        <w:rPr>
          <w:rtl/>
        </w:rPr>
        <w:t>.</w:t>
      </w:r>
      <w:r>
        <w:rPr>
          <w:rtl/>
        </w:rPr>
        <w:tab/>
        <w:t xml:space="preserve">כפי שציינתי לעיל, עמדתי היא כי די בכך; דיון נוסף לא נועד לשם בירור העתירה </w:t>
      </w:r>
      <w:r w:rsidR="00A8341D">
        <w:rPr>
          <w:rFonts w:hint="cs"/>
          <w:rtl/>
        </w:rPr>
        <w:t xml:space="preserve">שהוגשה לבית משפט זה בשבתו כבג"ץ, </w:t>
      </w:r>
      <w:r>
        <w:rPr>
          <w:rtl/>
        </w:rPr>
        <w:t xml:space="preserve">מחדש, ולא לניתוח ישיר של הכרעת בית הדין הרבני הגדול – הפעם לפני הרכב רחב יותר של שופטים. הליך הדיון הנוסף חג אך סביב צירה של </w:t>
      </w:r>
      <w:r w:rsidRPr="00D24E32">
        <w:rPr>
          <w:rFonts w:ascii="Century" w:hAnsi="Century" w:cs="Miriam"/>
          <w:b/>
          <w:spacing w:val="0"/>
          <w:szCs w:val="24"/>
          <w:rtl/>
        </w:rPr>
        <w:t>ההלכה המשפטית</w:t>
      </w:r>
      <w:r>
        <w:rPr>
          <w:rtl/>
        </w:rPr>
        <w:t xml:space="preserve">, אשר נטען כי </w:t>
      </w:r>
      <w:proofErr w:type="spellStart"/>
      <w:r>
        <w:rPr>
          <w:rtl/>
        </w:rPr>
        <w:t>נתחדשה</w:t>
      </w:r>
      <w:proofErr w:type="spellEnd"/>
      <w:r>
        <w:rPr>
          <w:rtl/>
        </w:rPr>
        <w:t xml:space="preserve"> בפסיקת</w:t>
      </w:r>
      <w:r>
        <w:rPr>
          <w:rFonts w:hint="cs"/>
          <w:rtl/>
        </w:rPr>
        <w:t>ו של בית המשפט העליון</w:t>
      </w:r>
      <w:r>
        <w:rPr>
          <w:rtl/>
        </w:rPr>
        <w:t xml:space="preserve"> (ד"נ 3379/91 </w:t>
      </w:r>
      <w:r>
        <w:rPr>
          <w:rFonts w:ascii="Century" w:hAnsi="Century" w:cs="Miriam"/>
          <w:b/>
          <w:spacing w:val="0"/>
          <w:szCs w:val="24"/>
          <w:rtl/>
        </w:rPr>
        <w:t>כספי נ' מדינת ישראל</w:t>
      </w:r>
      <w:r>
        <w:rPr>
          <w:rtl/>
        </w:rPr>
        <w:t xml:space="preserve"> (15.8.1991)). בהתאם, תפקידנו בשלב זה של ההליך, הוא לבחון את פסק הדין שיצא מלפני בית משפט זה, לנתח </w:t>
      </w:r>
      <w:r>
        <w:rPr>
          <w:rFonts w:ascii="Century" w:hAnsi="Century" w:cs="Miriam"/>
          <w:b/>
          <w:spacing w:val="0"/>
          <w:szCs w:val="24"/>
          <w:rtl/>
        </w:rPr>
        <w:t>אותו</w:t>
      </w:r>
      <w:r>
        <w:rPr>
          <w:rtl/>
        </w:rPr>
        <w:t xml:space="preserve">, ולקבוע אם אכן נפסקה </w:t>
      </w:r>
      <w:r>
        <w:rPr>
          <w:rFonts w:ascii="Century" w:hAnsi="Century" w:cs="Miriam"/>
          <w:b/>
          <w:spacing w:val="0"/>
          <w:szCs w:val="24"/>
          <w:rtl/>
        </w:rPr>
        <w:t>בו</w:t>
      </w:r>
      <w:r w:rsidR="009858A9">
        <w:rPr>
          <w:rFonts w:hint="cs"/>
          <w:rtl/>
        </w:rPr>
        <w:t xml:space="preserve">, בפסק דין זה, </w:t>
      </w:r>
      <w:r>
        <w:rPr>
          <w:rtl/>
        </w:rPr>
        <w:t>הלכה חדשה. משלא נמצאה כזו, אין מקום לקיים דיון נוסף, וזאת גם אם מגיש הבקשה סבור כי התוצאה שאליה הגיע בית משפט זה אינה נכונה, ואף אם לשיטתו נפלה טעות בהכרעה המקורית שעליה נסוב פסק הדין.</w:t>
      </w:r>
    </w:p>
    <w:p w:rsidR="00D2065C" w:rsidRDefault="00D2065C" w:rsidP="00D2065C">
      <w:pPr>
        <w:pStyle w:val="Ruller41"/>
        <w:rPr>
          <w:rtl/>
        </w:rPr>
      </w:pPr>
    </w:p>
    <w:p w:rsidR="00D2065C" w:rsidRDefault="00D2065C" w:rsidP="00616689">
      <w:pPr>
        <w:pStyle w:val="Ruller41"/>
        <w:rPr>
          <w:rtl/>
        </w:rPr>
      </w:pPr>
      <w:r>
        <w:rPr>
          <w:rFonts w:hint="cs"/>
          <w:rtl/>
        </w:rPr>
        <w:t>8</w:t>
      </w:r>
      <w:r>
        <w:rPr>
          <w:rtl/>
        </w:rPr>
        <w:t>.</w:t>
      </w:r>
      <w:r>
        <w:rPr>
          <w:rtl/>
        </w:rPr>
        <w:tab/>
        <w:t xml:space="preserve">סיכום דברַי הוא זה: המבקשת סומכת את בקשתה על שלושה אדנים, שבהם, לטענתה, נקבעו </w:t>
      </w:r>
      <w:r w:rsidR="00616689">
        <w:rPr>
          <w:rtl/>
        </w:rPr>
        <w:t>–</w:t>
      </w:r>
      <w:r w:rsidR="00616689">
        <w:rPr>
          <w:rFonts w:hint="cs"/>
          <w:rtl/>
        </w:rPr>
        <w:t xml:space="preserve"> בפסק הדין שניתן בעתירתה לבית משפט זה בשבתו כבג"ץ </w:t>
      </w:r>
      <w:r w:rsidR="00616689">
        <w:rPr>
          <w:rtl/>
        </w:rPr>
        <w:t>–</w:t>
      </w:r>
      <w:r w:rsidR="00616689">
        <w:rPr>
          <w:rFonts w:hint="cs"/>
          <w:rtl/>
        </w:rPr>
        <w:t xml:space="preserve"> ק</w:t>
      </w:r>
      <w:r>
        <w:rPr>
          <w:rtl/>
        </w:rPr>
        <w:t xml:space="preserve">ביעות העולות כדי </w:t>
      </w:r>
      <w:r>
        <w:rPr>
          <w:rFonts w:ascii="Century" w:hAnsi="Century" w:cs="Miriam"/>
          <w:b/>
          <w:spacing w:val="0"/>
          <w:szCs w:val="24"/>
          <w:rtl/>
        </w:rPr>
        <w:t>'הלכה</w:t>
      </w:r>
      <w:r>
        <w:rPr>
          <w:rtl/>
        </w:rPr>
        <w:t xml:space="preserve"> </w:t>
      </w:r>
      <w:r>
        <w:rPr>
          <w:rFonts w:ascii="Century" w:hAnsi="Century" w:cs="Miriam"/>
          <w:b/>
          <w:spacing w:val="0"/>
          <w:szCs w:val="24"/>
          <w:rtl/>
        </w:rPr>
        <w:t>חדשה'</w:t>
      </w:r>
      <w:r>
        <w:rPr>
          <w:rtl/>
        </w:rPr>
        <w:t xml:space="preserve">, ומצדיקות לקיים בהן דיון נוסף. </w:t>
      </w:r>
      <w:r>
        <w:rPr>
          <w:rFonts w:ascii="Century" w:hAnsi="Century" w:cs="Miriam"/>
          <w:b/>
          <w:spacing w:val="0"/>
          <w:szCs w:val="24"/>
          <w:rtl/>
        </w:rPr>
        <w:t>האחת</w:t>
      </w:r>
      <w:r>
        <w:rPr>
          <w:rtl/>
        </w:rPr>
        <w:t xml:space="preserve"> – צמצום ניכר של עילות ההתערבות של בית משפט זה בפסיקת בתי הדין הרבניים, למקרי-קצה נדירים שבנדירים; </w:t>
      </w:r>
      <w:proofErr w:type="spellStart"/>
      <w:r>
        <w:rPr>
          <w:rFonts w:ascii="Century" w:hAnsi="Century" w:cs="Miriam"/>
          <w:b/>
          <w:spacing w:val="0"/>
          <w:szCs w:val="24"/>
          <w:rtl/>
        </w:rPr>
        <w:t>השניה</w:t>
      </w:r>
      <w:proofErr w:type="spellEnd"/>
      <w:r>
        <w:rPr>
          <w:rtl/>
        </w:rPr>
        <w:t xml:space="preserve"> – קביעה משתמעת כי השיתוף הספציפי מתגבש רק במועד הפירוד שבין בני הזוג; ו</w:t>
      </w:r>
      <w:r>
        <w:rPr>
          <w:rFonts w:ascii="Century" w:hAnsi="Century" w:cs="Miriam"/>
          <w:b/>
          <w:spacing w:val="0"/>
          <w:szCs w:val="24"/>
          <w:rtl/>
        </w:rPr>
        <w:t xml:space="preserve">השלישית </w:t>
      </w:r>
      <w:r>
        <w:rPr>
          <w:rtl/>
        </w:rPr>
        <w:t xml:space="preserve">– מתן משמעות לאי-נאמנות מינית בתקופת הנישואין, עד כדי שלילת זכויות </w:t>
      </w:r>
      <w:proofErr w:type="spellStart"/>
      <w:r>
        <w:rPr>
          <w:rtl/>
        </w:rPr>
        <w:t>רכושיות</w:t>
      </w:r>
      <w:proofErr w:type="spellEnd"/>
      <w:r>
        <w:rPr>
          <w:rtl/>
        </w:rPr>
        <w:t xml:space="preserve"> למפרע. דא עקא, בכל אחד מן האדנים הללו לא נקבעה </w:t>
      </w:r>
      <w:r>
        <w:rPr>
          <w:rFonts w:ascii="Century" w:hAnsi="Century" w:cs="Miriam"/>
          <w:b/>
          <w:spacing w:val="0"/>
          <w:szCs w:val="24"/>
          <w:rtl/>
        </w:rPr>
        <w:t>הלכה</w:t>
      </w:r>
      <w:r>
        <w:rPr>
          <w:rtl/>
        </w:rPr>
        <w:t xml:space="preserve"> חדשה, ודאי שלא הלכה ברורה, מפורשת וגלויה, כדרישת הדין והפסיקה. המחלוקת שנתגלעה בין חברַי, השופט </w:t>
      </w:r>
      <w:r>
        <w:rPr>
          <w:rFonts w:ascii="Century" w:hAnsi="Century" w:cs="Miriam"/>
          <w:b/>
          <w:spacing w:val="0"/>
          <w:szCs w:val="24"/>
          <w:rtl/>
        </w:rPr>
        <w:t>עמית</w:t>
      </w:r>
      <w:r>
        <w:rPr>
          <w:rtl/>
        </w:rPr>
        <w:t xml:space="preserve"> והשופט </w:t>
      </w:r>
      <w:r>
        <w:rPr>
          <w:rFonts w:ascii="Century" w:hAnsi="Century" w:cs="Miriam"/>
          <w:b/>
          <w:spacing w:val="0"/>
          <w:szCs w:val="24"/>
          <w:rtl/>
        </w:rPr>
        <w:t>מינץ</w:t>
      </w:r>
      <w:r>
        <w:rPr>
          <w:rtl/>
        </w:rPr>
        <w:t>, נובעת אך מפרשנות שונה שניתנה על-</w:t>
      </w:r>
      <w:r>
        <w:rPr>
          <w:rtl/>
        </w:rPr>
        <w:lastRenderedPageBreak/>
        <w:t xml:space="preserve">ידי כל אחד מהם, לאמוּר בפסק הדין של בית הדין הרבני הגדול, </w:t>
      </w:r>
      <w:r>
        <w:rPr>
          <w:rFonts w:hint="cs"/>
          <w:rtl/>
        </w:rPr>
        <w:t>והיא שה</w:t>
      </w:r>
      <w:r>
        <w:rPr>
          <w:rtl/>
        </w:rPr>
        <w:t xml:space="preserve">ביאה אותם ליישום שונה של ההלכה הקיימת והנוהגת. גם קביעותיו של חברי השופט </w:t>
      </w:r>
      <w:r>
        <w:rPr>
          <w:rFonts w:ascii="Century" w:hAnsi="Century" w:cs="Miriam"/>
          <w:b/>
          <w:spacing w:val="0"/>
          <w:szCs w:val="24"/>
          <w:rtl/>
        </w:rPr>
        <w:t>שטיין</w:t>
      </w:r>
      <w:r>
        <w:rPr>
          <w:rtl/>
        </w:rPr>
        <w:t xml:space="preserve">, לגבי מועד התגבשות השיתוף הספציפי, ובאשר לתוצאותיה של אי-נאמנות מינית, אינן בבחינת </w:t>
      </w:r>
      <w:r>
        <w:rPr>
          <w:rFonts w:ascii="Century" w:hAnsi="Century" w:cs="Miriam"/>
          <w:b/>
          <w:spacing w:val="0"/>
          <w:szCs w:val="24"/>
          <w:rtl/>
        </w:rPr>
        <w:t>הלכה</w:t>
      </w:r>
      <w:r>
        <w:rPr>
          <w:rtl/>
        </w:rPr>
        <w:t xml:space="preserve">, </w:t>
      </w:r>
      <w:proofErr w:type="spellStart"/>
      <w:r>
        <w:rPr>
          <w:rFonts w:hint="cs"/>
          <w:rtl/>
        </w:rPr>
        <w:t>מכיון</w:t>
      </w:r>
      <w:proofErr w:type="spellEnd"/>
      <w:r>
        <w:rPr>
          <w:rFonts w:hint="cs"/>
          <w:rtl/>
        </w:rPr>
        <w:t xml:space="preserve"> ש</w:t>
      </w:r>
      <w:r>
        <w:rPr>
          <w:rtl/>
        </w:rPr>
        <w:t>דעת הרוב לא הורתה כן</w:t>
      </w:r>
      <w:r>
        <w:rPr>
          <w:rFonts w:hint="cs"/>
          <w:rtl/>
        </w:rPr>
        <w:t>;</w:t>
      </w:r>
      <w:r>
        <w:rPr>
          <w:rtl/>
        </w:rPr>
        <w:t xml:space="preserve"> </w:t>
      </w:r>
      <w:r>
        <w:rPr>
          <w:rFonts w:hint="cs"/>
          <w:rtl/>
        </w:rPr>
        <w:t xml:space="preserve">כדברי חברתי הנשיאה לאחרונה בעניין </w:t>
      </w:r>
      <w:r w:rsidRPr="009F71C9">
        <w:rPr>
          <w:rFonts w:ascii="Century" w:hAnsi="Century" w:cs="Miriam" w:hint="cs"/>
          <w:b/>
          <w:spacing w:val="0"/>
          <w:szCs w:val="24"/>
          <w:rtl/>
        </w:rPr>
        <w:t>ג'בארין</w:t>
      </w:r>
      <w:r>
        <w:rPr>
          <w:rFonts w:hint="cs"/>
          <w:rtl/>
        </w:rPr>
        <w:t xml:space="preserve"> הנ"ל: </w:t>
      </w:r>
      <w:r w:rsidRPr="009F71C9">
        <w:rPr>
          <w:rFonts w:ascii="Century" w:hAnsi="Century" w:cs="Miriam" w:hint="cs"/>
          <w:b/>
          <w:spacing w:val="0"/>
          <w:szCs w:val="24"/>
          <w:rtl/>
        </w:rPr>
        <w:t>"דעת יחיד</w:t>
      </w:r>
      <w:r>
        <w:rPr>
          <w:rFonts w:ascii="Century" w:hAnsi="Century" w:cs="Miriam" w:hint="cs"/>
          <w:b/>
          <w:spacing w:val="0"/>
          <w:szCs w:val="24"/>
          <w:rtl/>
        </w:rPr>
        <w:t xml:space="preserve"> [</w:t>
      </w:r>
      <w:r w:rsidRPr="009F71C9">
        <w:rPr>
          <w:rFonts w:ascii="Century" w:hAnsi="Century" w:cs="Miriam" w:hint="cs"/>
          <w:b/>
          <w:spacing w:val="0"/>
          <w:szCs w:val="24"/>
          <w:rtl/>
        </w:rPr>
        <w:t>...</w:t>
      </w:r>
      <w:r>
        <w:rPr>
          <w:rFonts w:ascii="Century" w:hAnsi="Century" w:cs="Miriam" w:hint="cs"/>
          <w:b/>
          <w:spacing w:val="0"/>
          <w:szCs w:val="24"/>
          <w:rtl/>
        </w:rPr>
        <w:t>]</w:t>
      </w:r>
      <w:r w:rsidRPr="009F71C9">
        <w:rPr>
          <w:rFonts w:ascii="Century" w:hAnsi="Century" w:cs="Miriam" w:hint="cs"/>
          <w:b/>
          <w:spacing w:val="0"/>
          <w:szCs w:val="24"/>
          <w:rtl/>
        </w:rPr>
        <w:t xml:space="preserve"> אינה עולה כדי 'הלכה' לצרכי דיון נוסף"</w:t>
      </w:r>
      <w:r>
        <w:rPr>
          <w:rFonts w:hint="cs"/>
          <w:rtl/>
        </w:rPr>
        <w:t xml:space="preserve">. </w:t>
      </w:r>
      <w:r>
        <w:rPr>
          <w:rtl/>
        </w:rPr>
        <w:t>זאת</w:t>
      </w:r>
      <w:r>
        <w:rPr>
          <w:rFonts w:hint="cs"/>
          <w:rtl/>
        </w:rPr>
        <w:t xml:space="preserve"> </w:t>
      </w:r>
      <w:proofErr w:type="spellStart"/>
      <w:r>
        <w:rPr>
          <w:rFonts w:hint="cs"/>
          <w:rtl/>
        </w:rPr>
        <w:t>איפוא</w:t>
      </w:r>
      <w:proofErr w:type="spellEnd"/>
      <w:r>
        <w:rPr>
          <w:rtl/>
        </w:rPr>
        <w:t xml:space="preserve"> למודעי: הגיג שעלה במחשבה אצל דיין או שופט, אין בו משום חידוש </w:t>
      </w:r>
      <w:r>
        <w:rPr>
          <w:rFonts w:ascii="Century" w:hAnsi="Century" w:cs="Miriam"/>
          <w:b/>
          <w:spacing w:val="0"/>
          <w:szCs w:val="24"/>
          <w:rtl/>
        </w:rPr>
        <w:t>הלכה</w:t>
      </w:r>
      <w:r>
        <w:rPr>
          <w:rtl/>
        </w:rPr>
        <w:t>, וממילא לא קמה הצדקה לקיים בו דיון נוסף.</w:t>
      </w:r>
    </w:p>
    <w:p w:rsidR="00D2065C" w:rsidRDefault="00D2065C" w:rsidP="00D2065C">
      <w:pPr>
        <w:pStyle w:val="Ruller41"/>
        <w:rPr>
          <w:rtl/>
        </w:rPr>
      </w:pPr>
    </w:p>
    <w:p w:rsidR="00D2065C" w:rsidRDefault="00D2065C" w:rsidP="00D2065C">
      <w:pPr>
        <w:pStyle w:val="Ruller4"/>
        <w:numPr>
          <w:ilvl w:val="0"/>
          <w:numId w:val="0"/>
        </w:numPr>
        <w:rPr>
          <w:rtl/>
        </w:rPr>
      </w:pPr>
      <w:r>
        <w:rPr>
          <w:rFonts w:hint="cs"/>
          <w:rtl/>
        </w:rPr>
        <w:t>9.</w:t>
      </w:r>
      <w:r>
        <w:rPr>
          <w:rFonts w:hint="cs"/>
          <w:rtl/>
        </w:rPr>
        <w:tab/>
        <w:t xml:space="preserve">אמנם, חברתי הנשיאה קבעה, בהחלטה מיום 18.6.2019, כי יתקיים דיון נוסף בפסק הדין מושא הבקשה. ברם, אין בכך כדי לגרוע מסמכות ההרכב הדן בדיון הנוסף להורות אחרת, ולדחות את העתירה מבלעדי דיון לגופו של עניין, אם נמצא כי אין בפסק הדין </w:t>
      </w:r>
      <w:r w:rsidRPr="00D76833">
        <w:rPr>
          <w:rFonts w:ascii="Century" w:hAnsi="Century" w:cs="Miriam" w:hint="cs"/>
          <w:b/>
          <w:spacing w:val="0"/>
          <w:sz w:val="22"/>
          <w:szCs w:val="24"/>
          <w:rtl/>
        </w:rPr>
        <w:t>הלכה</w:t>
      </w:r>
      <w:r>
        <w:rPr>
          <w:rFonts w:hint="cs"/>
          <w:rtl/>
        </w:rPr>
        <w:t xml:space="preserve"> </w:t>
      </w:r>
      <w:proofErr w:type="spellStart"/>
      <w:r>
        <w:rPr>
          <w:rFonts w:hint="cs"/>
          <w:rtl/>
        </w:rPr>
        <w:t>שנתחדשה</w:t>
      </w:r>
      <w:proofErr w:type="spellEnd"/>
      <w:r>
        <w:rPr>
          <w:rFonts w:hint="cs"/>
          <w:rtl/>
        </w:rPr>
        <w:t xml:space="preserve">. זאת, כדברי השופטת </w:t>
      </w:r>
      <w:r w:rsidRPr="00D76833">
        <w:rPr>
          <w:rFonts w:ascii="Century" w:hAnsi="Century" w:cs="Miriam" w:hint="eastAsia"/>
          <w:b/>
          <w:spacing w:val="0"/>
          <w:sz w:val="22"/>
          <w:szCs w:val="24"/>
          <w:rtl/>
        </w:rPr>
        <w:t>מ</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נאור</w:t>
      </w:r>
      <w:r>
        <w:rPr>
          <w:rFonts w:hint="cs"/>
          <w:rtl/>
        </w:rPr>
        <w:t xml:space="preserve"> (כתוארה אז) בדנ"א 3993/07 </w:t>
      </w:r>
      <w:r w:rsidRPr="00D76833">
        <w:rPr>
          <w:rFonts w:ascii="Century" w:hAnsi="Century" w:cs="Miriam" w:hint="eastAsia"/>
          <w:b/>
          <w:spacing w:val="0"/>
          <w:sz w:val="22"/>
          <w:szCs w:val="24"/>
          <w:rtl/>
        </w:rPr>
        <w:t>פקיד</w:t>
      </w:r>
      <w:r w:rsidRPr="00D76833">
        <w:rPr>
          <w:rFonts w:ascii="Century" w:hAnsi="Century" w:cs="Miriam"/>
          <w:b/>
          <w:spacing w:val="0"/>
          <w:sz w:val="22"/>
          <w:szCs w:val="24"/>
          <w:rtl/>
        </w:rPr>
        <w:t xml:space="preserve"> שומה ירושלים 3 נ' </w:t>
      </w:r>
      <w:proofErr w:type="spellStart"/>
      <w:r w:rsidRPr="00D76833">
        <w:rPr>
          <w:rFonts w:ascii="Century" w:hAnsi="Century" w:cs="Miriam" w:hint="eastAsia"/>
          <w:b/>
          <w:spacing w:val="0"/>
          <w:sz w:val="22"/>
          <w:szCs w:val="24"/>
          <w:rtl/>
        </w:rPr>
        <w:t>איקאפוד</w:t>
      </w:r>
      <w:proofErr w:type="spellEnd"/>
      <w:r w:rsidRPr="00D76833">
        <w:rPr>
          <w:rFonts w:ascii="Century" w:hAnsi="Century" w:cs="Miriam"/>
          <w:b/>
          <w:spacing w:val="0"/>
          <w:sz w:val="22"/>
          <w:szCs w:val="24"/>
          <w:rtl/>
        </w:rPr>
        <w:t xml:space="preserve"> בע"מ</w:t>
      </w:r>
      <w:r>
        <w:rPr>
          <w:rFonts w:hint="cs"/>
          <w:rtl/>
        </w:rPr>
        <w:t xml:space="preserve">, פסקה 22 (14.7.2011): </w:t>
      </w:r>
      <w:r w:rsidRPr="00D76833">
        <w:rPr>
          <w:rFonts w:ascii="Century" w:hAnsi="Century" w:cs="Miriam"/>
          <w:b/>
          <w:spacing w:val="0"/>
          <w:sz w:val="22"/>
          <w:szCs w:val="24"/>
          <w:rtl/>
        </w:rPr>
        <w:t>"לאחר פסק הדין בערעור נעתר המשנה לנשיאה ריבלין לעתירת המדינה והורה על דיון נוסף בשאלת התחולה למפרע. האם יש בהחלטתו זו לחייב את ההרכב (המורחב) היושב לדין לערוך דיון לגופו של עניין? התשובה שניתנה לכך בהלכה הפסוקה היא בשלילה. ההלכה היא כי גם אם ניתן היתר לדיון נוסף הרי שבית המשפט היושב לדין רשאי לדחות את העתירה גם ללא דיון לגופו של עניין. [...] ככל שענייננו בשאלה של יישום הלכה קיימת</w:t>
      </w:r>
      <w:r>
        <w:rPr>
          <w:rFonts w:ascii="Century" w:hAnsi="Century" w:cs="Miriam" w:hint="cs"/>
          <w:b/>
          <w:spacing w:val="0"/>
          <w:sz w:val="22"/>
          <w:szCs w:val="24"/>
          <w:rtl/>
        </w:rPr>
        <w:t xml:space="preserve"> </w:t>
      </w:r>
      <w:r w:rsidRPr="00E5536F">
        <w:rPr>
          <w:rFonts w:ascii="Century" w:hAnsi="Century" w:cs="Miriam"/>
          <w:b/>
          <w:spacing w:val="0"/>
          <w:sz w:val="22"/>
          <w:szCs w:val="24"/>
          <w:rtl/>
        </w:rPr>
        <w:t xml:space="preserve">[...] </w:t>
      </w:r>
      <w:r w:rsidRPr="00D76833">
        <w:rPr>
          <w:rFonts w:ascii="Century" w:hAnsi="Century" w:cs="Miriam"/>
          <w:b/>
          <w:spacing w:val="0"/>
          <w:sz w:val="22"/>
          <w:szCs w:val="24"/>
          <w:rtl/>
        </w:rPr>
        <w:t>אין לדעתי הצדקה לערוך לגביה דיון נוסף, וניתן לדעתי גם לדחות את העתירה מטעם זה ללא דיון לגופו של עניין"</w:t>
      </w:r>
      <w:r>
        <w:rPr>
          <w:rFonts w:hint="cs"/>
          <w:rtl/>
        </w:rPr>
        <w:t xml:space="preserve"> (ראו שם, לעומת זאת, את חוות דעתם של השופט (כתוארו אז) </w:t>
      </w:r>
      <w:r w:rsidRPr="00D76833">
        <w:rPr>
          <w:rFonts w:ascii="Century" w:hAnsi="Century" w:cs="Miriam" w:hint="eastAsia"/>
          <w:b/>
          <w:spacing w:val="0"/>
          <w:sz w:val="22"/>
          <w:szCs w:val="24"/>
          <w:rtl/>
        </w:rPr>
        <w:t>א</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גרוניס</w:t>
      </w:r>
      <w:r w:rsidRPr="00074A77">
        <w:rPr>
          <w:rtl/>
        </w:rPr>
        <w:t xml:space="preserve"> </w:t>
      </w:r>
      <w:r>
        <w:rPr>
          <w:rFonts w:hint="cs"/>
          <w:rtl/>
        </w:rPr>
        <w:t xml:space="preserve">וחברתי הנשיאה אשר בחרו להותיר שאלה זו </w:t>
      </w:r>
      <w:proofErr w:type="spellStart"/>
      <w:r>
        <w:rPr>
          <w:rFonts w:hint="cs"/>
          <w:rtl/>
        </w:rPr>
        <w:t>בצריך</w:t>
      </w:r>
      <w:proofErr w:type="spellEnd"/>
      <w:r>
        <w:rPr>
          <w:rFonts w:hint="cs"/>
          <w:rtl/>
        </w:rPr>
        <w:t xml:space="preserve"> עיון). ד"ר יגאל מרזל סקר את הפסיקה בנדון, והביע עמדתו שלפיה </w:t>
      </w:r>
      <w:r>
        <w:rPr>
          <w:rtl/>
        </w:rPr>
        <w:t>–</w:t>
      </w:r>
      <w:r>
        <w:rPr>
          <w:rFonts w:hint="cs"/>
          <w:rtl/>
        </w:rPr>
        <w:t xml:space="preserve"> </w:t>
      </w:r>
      <w:r>
        <w:rPr>
          <w:rFonts w:ascii="Century" w:hAnsi="Century" w:cs="Miriam" w:hint="cs"/>
          <w:b/>
          <w:spacing w:val="0"/>
          <w:sz w:val="22"/>
          <w:szCs w:val="24"/>
          <w:rtl/>
        </w:rPr>
        <w:t>"</w:t>
      </w:r>
      <w:r w:rsidRPr="00E5536F">
        <w:rPr>
          <w:rFonts w:ascii="Century" w:hAnsi="Century" w:cs="Miriam"/>
          <w:b/>
          <w:spacing w:val="0"/>
          <w:sz w:val="22"/>
          <w:szCs w:val="24"/>
          <w:rtl/>
        </w:rPr>
        <w:t xml:space="preserve">אם לא היה מקום לתת דיון נוסף, וזו המסקנה של ההרכב המורחב הדן בדיון הנוסף, הוא רשאי בהחלט שלא </w:t>
      </w:r>
      <w:r w:rsidRPr="00E5536F">
        <w:rPr>
          <w:rFonts w:ascii="Century" w:hAnsi="Century" w:cs="Miriam" w:hint="eastAsia"/>
          <w:b/>
          <w:spacing w:val="0"/>
          <w:sz w:val="22"/>
          <w:szCs w:val="24"/>
          <w:rtl/>
        </w:rPr>
        <w:t>לדון</w:t>
      </w:r>
      <w:r w:rsidRPr="00E5536F">
        <w:rPr>
          <w:rFonts w:ascii="Century" w:hAnsi="Century" w:cs="Miriam"/>
          <w:b/>
          <w:spacing w:val="0"/>
          <w:sz w:val="22"/>
          <w:szCs w:val="24"/>
          <w:rtl/>
        </w:rPr>
        <w:t xml:space="preserve"> </w:t>
      </w:r>
      <w:r w:rsidRPr="00E5536F">
        <w:rPr>
          <w:rFonts w:ascii="Century" w:hAnsi="Century" w:cs="Miriam" w:hint="eastAsia"/>
          <w:b/>
          <w:spacing w:val="0"/>
          <w:sz w:val="22"/>
          <w:szCs w:val="24"/>
          <w:rtl/>
        </w:rPr>
        <w:t>בכך</w:t>
      </w:r>
      <w:r w:rsidRPr="00E5536F">
        <w:rPr>
          <w:rFonts w:ascii="Century" w:hAnsi="Century" w:cs="Miriam"/>
          <w:b/>
          <w:spacing w:val="0"/>
          <w:sz w:val="22"/>
          <w:szCs w:val="24"/>
          <w:rtl/>
        </w:rPr>
        <w:t xml:space="preserve"> </w:t>
      </w:r>
      <w:r w:rsidRPr="00E5536F">
        <w:rPr>
          <w:rFonts w:ascii="Century" w:hAnsi="Century" w:cs="Miriam" w:hint="eastAsia"/>
          <w:b/>
          <w:spacing w:val="0"/>
          <w:sz w:val="22"/>
          <w:szCs w:val="24"/>
          <w:rtl/>
        </w:rPr>
        <w:t>לגופו</w:t>
      </w:r>
      <w:r w:rsidRPr="00E5536F">
        <w:rPr>
          <w:rFonts w:ascii="Century" w:hAnsi="Century" w:cs="Miriam"/>
          <w:b/>
          <w:spacing w:val="0"/>
          <w:sz w:val="22"/>
          <w:szCs w:val="24"/>
          <w:rtl/>
        </w:rPr>
        <w:t>"</w:t>
      </w:r>
      <w:r>
        <w:rPr>
          <w:rFonts w:hint="cs"/>
          <w:rtl/>
        </w:rPr>
        <w:t xml:space="preserve"> (</w:t>
      </w:r>
      <w:r>
        <w:rPr>
          <w:rtl/>
        </w:rPr>
        <w:t xml:space="preserve">"סעיף 18 לחוק יסוד: השפיטה: דיון נוסף בדיון הנוסף" </w:t>
      </w:r>
      <w:r w:rsidRPr="00E5536F">
        <w:rPr>
          <w:rFonts w:ascii="Century" w:hAnsi="Century" w:cs="Miriam"/>
          <w:b/>
          <w:spacing w:val="0"/>
          <w:sz w:val="22"/>
          <w:szCs w:val="24"/>
          <w:rtl/>
        </w:rPr>
        <w:t>ספר דורית ביניש</w:t>
      </w:r>
      <w:r>
        <w:rPr>
          <w:rFonts w:hint="cs"/>
          <w:rtl/>
        </w:rPr>
        <w:t xml:space="preserve"> 264 </w:t>
      </w:r>
      <w:r>
        <w:rPr>
          <w:rtl/>
        </w:rPr>
        <w:t>(קרן אזולאי, איתי בר סימן טוב, אהרן ברק ושחר ליפשיץ, עורכים) (2018)</w:t>
      </w:r>
      <w:r>
        <w:rPr>
          <w:rFonts w:hint="cs"/>
          <w:rtl/>
        </w:rPr>
        <w:t>)</w:t>
      </w:r>
      <w:r>
        <w:rPr>
          <w:rtl/>
        </w:rPr>
        <w:t>.</w:t>
      </w:r>
      <w:r>
        <w:rPr>
          <w:rFonts w:hint="cs"/>
          <w:rtl/>
        </w:rPr>
        <w:t xml:space="preserve"> יתר על כן: כך נפסק מפי השופט (כתוארו אז) </w:t>
      </w:r>
      <w:r w:rsidRPr="00E5536F">
        <w:rPr>
          <w:rFonts w:ascii="Century" w:hAnsi="Century" w:cs="Miriam" w:hint="eastAsia"/>
          <w:b/>
          <w:spacing w:val="0"/>
          <w:sz w:val="22"/>
          <w:szCs w:val="24"/>
          <w:rtl/>
        </w:rPr>
        <w:t>י</w:t>
      </w:r>
      <w:r w:rsidRPr="00E5536F">
        <w:rPr>
          <w:rFonts w:ascii="Century" w:hAnsi="Century" w:cs="Miriam"/>
          <w:b/>
          <w:spacing w:val="0"/>
          <w:sz w:val="22"/>
          <w:szCs w:val="24"/>
          <w:rtl/>
        </w:rPr>
        <w:t xml:space="preserve">' </w:t>
      </w:r>
      <w:r w:rsidRPr="00E5536F">
        <w:rPr>
          <w:rFonts w:ascii="Century" w:hAnsi="Century" w:cs="Miriam" w:hint="eastAsia"/>
          <w:b/>
          <w:spacing w:val="0"/>
          <w:sz w:val="22"/>
          <w:szCs w:val="24"/>
          <w:rtl/>
        </w:rPr>
        <w:t>זוסמן</w:t>
      </w:r>
      <w:r>
        <w:rPr>
          <w:rFonts w:hint="cs"/>
          <w:rtl/>
        </w:rPr>
        <w:t>, בהסכמת ארבעת חבריו ב</w:t>
      </w:r>
      <w:r>
        <w:rPr>
          <w:rtl/>
        </w:rPr>
        <w:t>ד"נ 2</w:t>
      </w:r>
      <w:r>
        <w:rPr>
          <w:rFonts w:hint="cs"/>
          <w:rtl/>
        </w:rPr>
        <w:t>/</w:t>
      </w:r>
      <w:r w:rsidRPr="00825AB2">
        <w:rPr>
          <w:rtl/>
        </w:rPr>
        <w:t xml:space="preserve">64 </w:t>
      </w:r>
      <w:proofErr w:type="spellStart"/>
      <w:r w:rsidRPr="00D76833">
        <w:rPr>
          <w:rFonts w:ascii="Century" w:hAnsi="Century" w:cs="Miriam"/>
          <w:b/>
          <w:spacing w:val="0"/>
          <w:sz w:val="22"/>
          <w:szCs w:val="24"/>
          <w:rtl/>
        </w:rPr>
        <w:t>קניגסהפר</w:t>
      </w:r>
      <w:proofErr w:type="spellEnd"/>
      <w:r w:rsidRPr="00D76833">
        <w:rPr>
          <w:rFonts w:ascii="Century" w:hAnsi="Century" w:cs="Miriam"/>
          <w:b/>
          <w:spacing w:val="0"/>
          <w:sz w:val="22"/>
          <w:szCs w:val="24"/>
          <w:rtl/>
        </w:rPr>
        <w:t xml:space="preserve"> נ' </w:t>
      </w:r>
      <w:proofErr w:type="spellStart"/>
      <w:r w:rsidRPr="00D76833">
        <w:rPr>
          <w:rFonts w:ascii="Century" w:hAnsi="Century" w:cs="Miriam"/>
          <w:b/>
          <w:spacing w:val="0"/>
          <w:sz w:val="22"/>
          <w:szCs w:val="24"/>
          <w:rtl/>
        </w:rPr>
        <w:t>הומפרט</w:t>
      </w:r>
      <w:proofErr w:type="spellEnd"/>
      <w:r w:rsidRPr="00825AB2">
        <w:rPr>
          <w:rtl/>
        </w:rPr>
        <w:t>,</w:t>
      </w:r>
      <w:r>
        <w:rPr>
          <w:rFonts w:hint="cs"/>
          <w:rtl/>
        </w:rPr>
        <w:t xml:space="preserve"> פ"ד</w:t>
      </w:r>
      <w:r w:rsidRPr="00825AB2">
        <w:rPr>
          <w:rtl/>
        </w:rPr>
        <w:t xml:space="preserve"> יח(3) 377</w:t>
      </w:r>
      <w:r>
        <w:rPr>
          <w:rFonts w:hint="cs"/>
          <w:rtl/>
        </w:rPr>
        <w:t xml:space="preserve">, 384-383 (1964): </w:t>
      </w:r>
      <w:r w:rsidRPr="00D76833">
        <w:rPr>
          <w:rFonts w:ascii="Century" w:hAnsi="Century" w:cs="Miriam"/>
          <w:b/>
          <w:spacing w:val="0"/>
          <w:sz w:val="22"/>
          <w:szCs w:val="24"/>
          <w:rtl/>
        </w:rPr>
        <w:t xml:space="preserve">"אם פסק הדין </w:t>
      </w:r>
      <w:r w:rsidRPr="00D76833">
        <w:rPr>
          <w:rFonts w:ascii="Century" w:hAnsi="Century" w:cs="Miriam" w:hint="eastAsia"/>
          <w:b/>
          <w:spacing w:val="0"/>
          <w:sz w:val="22"/>
          <w:szCs w:val="24"/>
          <w:rtl/>
        </w:rPr>
        <w:t>אינו</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קובע</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את</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ההלכה</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הדיון</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בה</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בשלב</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זה</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לא</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יהא</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דיון</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נוסף</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אלא</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דיון</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ראשוני</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ולכך</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אין</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אנו</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מוסמכים</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אפילו</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ניתן</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צו</w:t>
      </w:r>
      <w:r w:rsidRPr="00D76833">
        <w:rPr>
          <w:rFonts w:ascii="Century" w:hAnsi="Century" w:cs="Miriam"/>
          <w:b/>
          <w:spacing w:val="0"/>
          <w:sz w:val="22"/>
          <w:szCs w:val="24"/>
          <w:rtl/>
        </w:rPr>
        <w:t xml:space="preserve"> לדיון נוסף בבעיה זו. [...] הבעיה האמורה בהחלטת הנשיא, חייבת להיות בעיה של הלכה שנפסקה בפסק הדין, ו'מפאת חשיבותה, קשיותה או חידושה' </w:t>
      </w:r>
      <w:r w:rsidRPr="00D76833">
        <w:rPr>
          <w:rFonts w:ascii="Century" w:hAnsi="Century"/>
          <w:sz w:val="22"/>
          <w:rtl/>
        </w:rPr>
        <w:t>–</w:t>
      </w:r>
      <w:r w:rsidRPr="00D76833">
        <w:rPr>
          <w:rFonts w:ascii="Century" w:hAnsi="Century" w:cs="Miriam"/>
          <w:b/>
          <w:spacing w:val="0"/>
          <w:sz w:val="22"/>
          <w:szCs w:val="24"/>
          <w:rtl/>
        </w:rPr>
        <w:t xml:space="preserve"> נמצאה </w:t>
      </w:r>
      <w:r w:rsidRPr="00D76833">
        <w:rPr>
          <w:rFonts w:ascii="Century" w:hAnsi="Century" w:cs="Miriam" w:hint="eastAsia"/>
          <w:b/>
          <w:spacing w:val="0"/>
          <w:sz w:val="22"/>
          <w:szCs w:val="24"/>
          <w:rtl/>
        </w:rPr>
        <w:t>ראויה</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לשמש</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נושא</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לדיון</w:t>
      </w:r>
      <w:r w:rsidRPr="00D76833">
        <w:rPr>
          <w:rFonts w:ascii="Century" w:hAnsi="Century" w:cs="Miriam"/>
          <w:b/>
          <w:spacing w:val="0"/>
          <w:sz w:val="22"/>
          <w:szCs w:val="24"/>
          <w:rtl/>
        </w:rPr>
        <w:t xml:space="preserve"> </w:t>
      </w:r>
      <w:r w:rsidRPr="00D76833">
        <w:rPr>
          <w:rFonts w:ascii="Century" w:hAnsi="Century" w:cs="Miriam" w:hint="eastAsia"/>
          <w:b/>
          <w:spacing w:val="0"/>
          <w:sz w:val="22"/>
          <w:szCs w:val="24"/>
          <w:rtl/>
        </w:rPr>
        <w:t>נוסף</w:t>
      </w:r>
      <w:r>
        <w:rPr>
          <w:rFonts w:hint="cs"/>
          <w:rtl/>
        </w:rPr>
        <w:t xml:space="preserve">. הנה כי כן, מורה הלכה פסוקה זו, כי </w:t>
      </w:r>
      <w:r w:rsidRPr="002C4B22">
        <w:rPr>
          <w:rFonts w:ascii="Century" w:hAnsi="Century" w:cs="Miriam" w:hint="cs"/>
          <w:b/>
          <w:spacing w:val="0"/>
          <w:sz w:val="22"/>
          <w:szCs w:val="24"/>
          <w:rtl/>
        </w:rPr>
        <w:t>"</w:t>
      </w:r>
      <w:r w:rsidRPr="002C4B22">
        <w:rPr>
          <w:rFonts w:ascii="Century" w:hAnsi="Century" w:cs="Miriam" w:hint="eastAsia"/>
          <w:bCs/>
          <w:spacing w:val="0"/>
          <w:sz w:val="22"/>
          <w:szCs w:val="24"/>
          <w:rtl/>
        </w:rPr>
        <w:t>אין</w:t>
      </w:r>
      <w:r w:rsidRPr="002C4B22">
        <w:rPr>
          <w:rFonts w:ascii="Century" w:hAnsi="Century" w:cs="Miriam"/>
          <w:bCs/>
          <w:spacing w:val="0"/>
          <w:sz w:val="22"/>
          <w:szCs w:val="24"/>
          <w:rtl/>
        </w:rPr>
        <w:t xml:space="preserve"> </w:t>
      </w:r>
      <w:r w:rsidRPr="002C4B22">
        <w:rPr>
          <w:rFonts w:ascii="Century" w:hAnsi="Century" w:cs="Miriam" w:hint="eastAsia"/>
          <w:bCs/>
          <w:spacing w:val="0"/>
          <w:sz w:val="22"/>
          <w:szCs w:val="24"/>
          <w:rtl/>
        </w:rPr>
        <w:t>אנו</w:t>
      </w:r>
      <w:r w:rsidRPr="002C4B22">
        <w:rPr>
          <w:rFonts w:ascii="Century" w:hAnsi="Century" w:cs="Miriam"/>
          <w:bCs/>
          <w:spacing w:val="0"/>
          <w:sz w:val="22"/>
          <w:szCs w:val="24"/>
          <w:rtl/>
        </w:rPr>
        <w:t xml:space="preserve"> </w:t>
      </w:r>
      <w:r w:rsidRPr="002C4B22">
        <w:rPr>
          <w:rFonts w:ascii="Century" w:hAnsi="Century" w:cs="Miriam" w:hint="eastAsia"/>
          <w:bCs/>
          <w:spacing w:val="0"/>
          <w:sz w:val="22"/>
          <w:szCs w:val="24"/>
          <w:rtl/>
        </w:rPr>
        <w:t>מוסמכים</w:t>
      </w:r>
      <w:r>
        <w:rPr>
          <w:rFonts w:ascii="Century" w:hAnsi="Century" w:cs="Miriam" w:hint="cs"/>
          <w:b/>
          <w:spacing w:val="0"/>
          <w:sz w:val="22"/>
          <w:szCs w:val="24"/>
          <w:rtl/>
        </w:rPr>
        <w:t xml:space="preserve">" </w:t>
      </w:r>
      <w:r>
        <w:rPr>
          <w:rFonts w:hint="cs"/>
          <w:rtl/>
        </w:rPr>
        <w:t xml:space="preserve">לדון בנושא שהועמד כאן </w:t>
      </w:r>
      <w:r w:rsidR="002C4B22">
        <w:rPr>
          <w:rFonts w:hint="cs"/>
          <w:rtl/>
        </w:rPr>
        <w:t xml:space="preserve">לפנינו </w:t>
      </w:r>
      <w:r>
        <w:rPr>
          <w:rFonts w:hint="cs"/>
          <w:rtl/>
        </w:rPr>
        <w:t xml:space="preserve">לדיון נוסף; עלינו לגזור גזירה שווה מהתם </w:t>
      </w:r>
      <w:proofErr w:type="spellStart"/>
      <w:r>
        <w:rPr>
          <w:rFonts w:hint="cs"/>
          <w:rtl/>
        </w:rPr>
        <w:t>להכא</w:t>
      </w:r>
      <w:proofErr w:type="spellEnd"/>
      <w:r>
        <w:rPr>
          <w:rFonts w:hint="cs"/>
          <w:rtl/>
        </w:rPr>
        <w:t xml:space="preserve">, מדברי השופט </w:t>
      </w:r>
      <w:r w:rsidRPr="00E5536F">
        <w:rPr>
          <w:rFonts w:ascii="Century" w:hAnsi="Century" w:cs="Miriam" w:hint="eastAsia"/>
          <w:b/>
          <w:spacing w:val="0"/>
          <w:sz w:val="22"/>
          <w:szCs w:val="24"/>
          <w:rtl/>
        </w:rPr>
        <w:t>זוסמן</w:t>
      </w:r>
      <w:r>
        <w:rPr>
          <w:rFonts w:hint="cs"/>
          <w:rtl/>
        </w:rPr>
        <w:t xml:space="preserve"> (שם) לענייננו:</w:t>
      </w:r>
      <w:r w:rsidDel="003935DF">
        <w:rPr>
          <w:rFonts w:hint="cs"/>
          <w:rtl/>
        </w:rPr>
        <w:t xml:space="preserve"> </w:t>
      </w:r>
      <w:r>
        <w:rPr>
          <w:rFonts w:ascii="Century" w:hAnsi="Century" w:cs="Miriam" w:hint="cs"/>
          <w:b/>
          <w:spacing w:val="0"/>
          <w:sz w:val="22"/>
          <w:szCs w:val="24"/>
          <w:rtl/>
        </w:rPr>
        <w:t>"</w:t>
      </w:r>
      <w:proofErr w:type="spellStart"/>
      <w:r w:rsidRPr="00D76833">
        <w:rPr>
          <w:rFonts w:ascii="Century" w:hAnsi="Century" w:cs="Miriam" w:hint="eastAsia"/>
          <w:b/>
          <w:spacing w:val="0"/>
          <w:sz w:val="22"/>
          <w:szCs w:val="24"/>
          <w:rtl/>
        </w:rPr>
        <w:t>בענין</w:t>
      </w:r>
      <w:proofErr w:type="spellEnd"/>
      <w:r w:rsidRPr="00D76833">
        <w:rPr>
          <w:rFonts w:ascii="Century" w:hAnsi="Century" w:cs="Miriam"/>
          <w:b/>
          <w:spacing w:val="0"/>
          <w:sz w:val="22"/>
          <w:szCs w:val="24"/>
          <w:rtl/>
        </w:rPr>
        <w:t xml:space="preserve"> דנא ניתן אמנם צו לדיון נוסף, אך אין בכך כלום הואיל ואין לנו קביעת הלכה באותה בעיה אשר הועמדה לדיון נוסף"</w:t>
      </w:r>
      <w:r>
        <w:rPr>
          <w:rFonts w:hint="cs"/>
          <w:rtl/>
        </w:rPr>
        <w:t xml:space="preserve">. </w:t>
      </w:r>
    </w:p>
    <w:p w:rsidR="00D2065C" w:rsidRDefault="00D2065C" w:rsidP="00D2065C">
      <w:pPr>
        <w:pStyle w:val="Ruller41"/>
        <w:rPr>
          <w:rtl/>
        </w:rPr>
      </w:pPr>
    </w:p>
    <w:p w:rsidR="00D2065C" w:rsidRDefault="00D2065C" w:rsidP="00CA03AF">
      <w:pPr>
        <w:pStyle w:val="Ruller41"/>
        <w:rPr>
          <w:rtl/>
        </w:rPr>
      </w:pPr>
      <w:r>
        <w:rPr>
          <w:rFonts w:hint="cs"/>
          <w:rtl/>
        </w:rPr>
        <w:lastRenderedPageBreak/>
        <w:t>10.</w:t>
      </w:r>
      <w:r>
        <w:rPr>
          <w:rFonts w:hint="cs"/>
          <w:rtl/>
        </w:rPr>
        <w:tab/>
        <w:t xml:space="preserve">אשר על כן, מלכתחילה, לא היה לדעתי מקום לקיים דיון נוסף, בחריגה מהוראת סעיף 30(ב) לחוק, ובסטייה מההלכה הפסוקה. בדיעבד, משהתקיים, </w:t>
      </w:r>
      <w:r w:rsidR="00ED67CE" w:rsidRPr="00ED67CE">
        <w:rPr>
          <w:rFonts w:ascii="Century" w:hAnsi="Century" w:cs="Miriam" w:hint="cs"/>
          <w:b/>
          <w:spacing w:val="0"/>
          <w:szCs w:val="24"/>
          <w:rtl/>
        </w:rPr>
        <w:t>"אין בכך כלום"</w:t>
      </w:r>
      <w:r w:rsidR="00ED67CE">
        <w:rPr>
          <w:rFonts w:hint="cs"/>
          <w:rtl/>
        </w:rPr>
        <w:t xml:space="preserve">, כאמור לעיל, </w:t>
      </w:r>
      <w:r w:rsidR="00ED67CE" w:rsidRPr="00ED67CE">
        <w:rPr>
          <w:rFonts w:ascii="Century" w:hAnsi="Century" w:cs="Miriam" w:hint="cs"/>
          <w:b/>
          <w:spacing w:val="0"/>
          <w:szCs w:val="24"/>
          <w:rtl/>
        </w:rPr>
        <w:t>"הואיל ואין לנו קביעת הלכה באותה בעיה אשר הועמדה לדיון נוסף"</w:t>
      </w:r>
      <w:r w:rsidR="00ED67CE" w:rsidRPr="00ED67CE">
        <w:rPr>
          <w:rFonts w:hint="cs"/>
          <w:rtl/>
        </w:rPr>
        <w:t xml:space="preserve"> </w:t>
      </w:r>
      <w:r w:rsidR="00ED67CE">
        <w:rPr>
          <w:rFonts w:hint="cs"/>
          <w:rtl/>
        </w:rPr>
        <w:t xml:space="preserve">(שם). </w:t>
      </w:r>
      <w:r>
        <w:rPr>
          <w:rFonts w:hint="cs"/>
          <w:rtl/>
        </w:rPr>
        <w:t xml:space="preserve">סבורני </w:t>
      </w:r>
      <w:r w:rsidR="00ED67CE">
        <w:rPr>
          <w:rFonts w:hint="cs"/>
          <w:rtl/>
        </w:rPr>
        <w:t xml:space="preserve">אפוא </w:t>
      </w:r>
      <w:r>
        <w:rPr>
          <w:rFonts w:hint="cs"/>
          <w:rtl/>
        </w:rPr>
        <w:t xml:space="preserve">כי דינו </w:t>
      </w:r>
      <w:r w:rsidR="00ED67CE">
        <w:rPr>
          <w:rFonts w:hint="cs"/>
          <w:rtl/>
        </w:rPr>
        <w:t xml:space="preserve">של הדיון הנוסף </w:t>
      </w:r>
      <w:r>
        <w:rPr>
          <w:rFonts w:hint="cs"/>
          <w:rtl/>
        </w:rPr>
        <w:t xml:space="preserve">לדחייה, הואיל ולא קמה עילה להתערבותנו בפסק הדין מושא הדיון הנוסף, וזאת גם אם אניח כי הדין עם חברתי הנשיאה, וכי ניתן היה להגיע לתוצאה שונה מזו שאליה הגיע בית הדין הרבני הגדול. משנוכחנו לדעת כי לא </w:t>
      </w:r>
      <w:proofErr w:type="spellStart"/>
      <w:r>
        <w:rPr>
          <w:rFonts w:hint="cs"/>
          <w:rtl/>
        </w:rPr>
        <w:t>נתחדשה</w:t>
      </w:r>
      <w:proofErr w:type="spellEnd"/>
      <w:r>
        <w:rPr>
          <w:rFonts w:hint="cs"/>
          <w:rtl/>
        </w:rPr>
        <w:t xml:space="preserve"> הלכה בפסק הדין מושא הדיון הנוסף, ומטעמים של סופיות הדיון, יציבות, ודאות שיפוטית, ושמירה על גבולות הסמכות הנתונה לנו, אינני רואה מקום להתערב בו, ולשנות ממנו. כך בכלל, ובפרט מחמת אופיו של ה</w:t>
      </w:r>
      <w:r w:rsidRPr="00D76833">
        <w:rPr>
          <w:rFonts w:hint="cs"/>
          <w:rtl/>
        </w:rPr>
        <w:t>עניין שהועמד על הפרק: מוטב לא ללב</w:t>
      </w:r>
      <w:r>
        <w:rPr>
          <w:rFonts w:hint="cs"/>
          <w:rtl/>
        </w:rPr>
        <w:t>ּ</w:t>
      </w:r>
      <w:r w:rsidRPr="00D76833">
        <w:rPr>
          <w:rFonts w:hint="cs"/>
          <w:rtl/>
        </w:rPr>
        <w:t>ו</w:t>
      </w:r>
      <w:r>
        <w:rPr>
          <w:rFonts w:hint="cs"/>
          <w:rtl/>
        </w:rPr>
        <w:t>ֹ</w:t>
      </w:r>
      <w:r w:rsidRPr="00D76833">
        <w:rPr>
          <w:rFonts w:hint="cs"/>
          <w:rtl/>
        </w:rPr>
        <w:t>ת ג</w:t>
      </w:r>
      <w:r>
        <w:rPr>
          <w:rFonts w:hint="cs"/>
          <w:rtl/>
        </w:rPr>
        <w:t>ַּ</w:t>
      </w:r>
      <w:r w:rsidRPr="00D76833">
        <w:rPr>
          <w:rFonts w:hint="cs"/>
          <w:rtl/>
        </w:rPr>
        <w:t>ח</w:t>
      </w:r>
      <w:r>
        <w:rPr>
          <w:rFonts w:hint="cs"/>
          <w:rtl/>
        </w:rPr>
        <w:t>ֶ</w:t>
      </w:r>
      <w:r w:rsidRPr="00D76833">
        <w:rPr>
          <w:rFonts w:hint="cs"/>
          <w:rtl/>
        </w:rPr>
        <w:t>ל</w:t>
      </w:r>
      <w:r>
        <w:rPr>
          <w:rFonts w:hint="cs"/>
          <w:rtl/>
        </w:rPr>
        <w:t>ֶ</w:t>
      </w:r>
      <w:r w:rsidRPr="00D76833">
        <w:rPr>
          <w:rFonts w:hint="cs"/>
          <w:rtl/>
        </w:rPr>
        <w:t>ת לו</w:t>
      </w:r>
      <w:r>
        <w:rPr>
          <w:rFonts w:hint="cs"/>
          <w:rtl/>
        </w:rPr>
        <w:t>ֹ</w:t>
      </w:r>
      <w:r w:rsidRPr="00D76833">
        <w:rPr>
          <w:rFonts w:hint="cs"/>
          <w:rtl/>
        </w:rPr>
        <w:t>ח</w:t>
      </w:r>
      <w:r>
        <w:rPr>
          <w:rFonts w:hint="cs"/>
          <w:rtl/>
        </w:rPr>
        <w:t>ֶ</w:t>
      </w:r>
      <w:r w:rsidRPr="00D76833">
        <w:rPr>
          <w:rFonts w:hint="cs"/>
          <w:rtl/>
        </w:rPr>
        <w:t>ש</w:t>
      </w:r>
      <w:r>
        <w:rPr>
          <w:rFonts w:hint="cs"/>
          <w:rtl/>
        </w:rPr>
        <w:t>ֶׁ</w:t>
      </w:r>
      <w:r w:rsidRPr="00D76833">
        <w:rPr>
          <w:rFonts w:hint="cs"/>
          <w:rtl/>
        </w:rPr>
        <w:t>ת.</w:t>
      </w:r>
    </w:p>
    <w:p w:rsidR="00CA03AF" w:rsidRDefault="00CA03AF" w:rsidP="00CA03AF">
      <w:pPr>
        <w:pStyle w:val="Ruller41"/>
      </w:pPr>
    </w:p>
    <w:tbl>
      <w:tblPr>
        <w:bidiVisual/>
        <w:tblW w:w="8363" w:type="dxa"/>
        <w:tblLook w:val="01E0" w:firstRow="1" w:lastRow="1" w:firstColumn="1" w:lastColumn="1" w:noHBand="0" w:noVBand="0"/>
      </w:tblPr>
      <w:tblGrid>
        <w:gridCol w:w="2786"/>
        <w:gridCol w:w="2787"/>
        <w:gridCol w:w="2790"/>
      </w:tblGrid>
      <w:tr w:rsidR="00D2065C" w:rsidTr="00760584">
        <w:tc>
          <w:tcPr>
            <w:tcW w:w="2842" w:type="dxa"/>
            <w:shd w:val="clear" w:color="auto" w:fill="auto"/>
          </w:tcPr>
          <w:p w:rsidR="00D2065C" w:rsidRDefault="00D2065C" w:rsidP="00760584">
            <w:pPr>
              <w:pStyle w:val="Ruller41"/>
              <w:rPr>
                <w:rtl/>
              </w:rPr>
            </w:pPr>
          </w:p>
        </w:tc>
        <w:tc>
          <w:tcPr>
            <w:tcW w:w="2843" w:type="dxa"/>
            <w:shd w:val="clear" w:color="auto" w:fill="auto"/>
          </w:tcPr>
          <w:p w:rsidR="00D2065C" w:rsidRDefault="00D2065C" w:rsidP="00760584">
            <w:pPr>
              <w:pStyle w:val="Ruller41"/>
              <w:jc w:val="center"/>
              <w:rPr>
                <w:rtl/>
              </w:rPr>
            </w:pPr>
          </w:p>
        </w:tc>
        <w:tc>
          <w:tcPr>
            <w:tcW w:w="2843" w:type="dxa"/>
            <w:shd w:val="clear" w:color="auto" w:fill="auto"/>
          </w:tcPr>
          <w:p w:rsidR="00D2065C" w:rsidRDefault="00D2065C" w:rsidP="00760584">
            <w:pPr>
              <w:pStyle w:val="Ruller41"/>
              <w:jc w:val="center"/>
              <w:rPr>
                <w:rtl/>
              </w:rPr>
            </w:pPr>
            <w:r>
              <w:rPr>
                <w:rFonts w:hint="cs"/>
                <w:rtl/>
              </w:rPr>
              <w:t>ש ו פ ט</w:t>
            </w:r>
          </w:p>
        </w:tc>
      </w:tr>
    </w:tbl>
    <w:p w:rsidR="003C3128" w:rsidRDefault="003C3128" w:rsidP="00917458">
      <w:pPr>
        <w:pStyle w:val="BODYVERDICT"/>
        <w:rPr>
          <w:rtl/>
        </w:rPr>
      </w:pPr>
    </w:p>
    <w:p w:rsidR="003C3128" w:rsidRDefault="003C3128" w:rsidP="00917458">
      <w:pPr>
        <w:pStyle w:val="BODYVERDICT"/>
      </w:pPr>
    </w:p>
    <w:p w:rsidR="00917458" w:rsidRPr="00503A3E" w:rsidRDefault="00917458" w:rsidP="00917458">
      <w:pPr>
        <w:pStyle w:val="BODYVERDICT"/>
        <w:rPr>
          <w:rFonts w:cs="Miriam"/>
          <w:sz w:val="24"/>
          <w:szCs w:val="24"/>
          <w:u w:val="single"/>
          <w:rtl/>
        </w:rPr>
      </w:pPr>
      <w:r>
        <w:rPr>
          <w:rFonts w:cs="Miriam"/>
          <w:sz w:val="24"/>
          <w:szCs w:val="24"/>
          <w:u w:val="single"/>
          <w:rtl/>
        </w:rPr>
        <w:t>השופט א' שטיין:</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מתווה הדיון</w:t>
      </w:r>
    </w:p>
    <w:p w:rsidR="00917458" w:rsidRPr="009353CA" w:rsidRDefault="00917458" w:rsidP="00917458">
      <w:pPr>
        <w:pStyle w:val="Ruller41"/>
        <w:rPr>
          <w:rtl/>
        </w:rPr>
      </w:pPr>
    </w:p>
    <w:p w:rsidR="00917458" w:rsidRPr="009353CA" w:rsidRDefault="00917458" w:rsidP="00CA56C6">
      <w:pPr>
        <w:pStyle w:val="Ruller4"/>
        <w:numPr>
          <w:ilvl w:val="0"/>
          <w:numId w:val="30"/>
        </w:numPr>
      </w:pPr>
      <w:r w:rsidRPr="009353CA">
        <w:rPr>
          <w:rFonts w:hint="cs"/>
          <w:rtl/>
        </w:rPr>
        <w:t xml:space="preserve">דיון נוסף זה, ככל דיון נוסף, בא לבחון את </w:t>
      </w:r>
      <w:proofErr w:type="spellStart"/>
      <w:r w:rsidRPr="009353CA">
        <w:rPr>
          <w:rFonts w:hint="cs"/>
          <w:rtl/>
        </w:rPr>
        <w:t>הסוגייה</w:t>
      </w:r>
      <w:proofErr w:type="spellEnd"/>
      <w:r w:rsidRPr="009353CA">
        <w:rPr>
          <w:rFonts w:hint="cs"/>
          <w:rtl/>
        </w:rPr>
        <w:t xml:space="preserve"> המשפטית </w:t>
      </w:r>
      <w:r>
        <w:rPr>
          <w:rFonts w:hint="cs"/>
          <w:rtl/>
        </w:rPr>
        <w:t xml:space="preserve">והעקרונית אשר </w:t>
      </w:r>
      <w:r w:rsidRPr="009353CA">
        <w:rPr>
          <w:rFonts w:hint="cs"/>
          <w:rtl/>
        </w:rPr>
        <w:t xml:space="preserve">מונחת על שולחננו ממבט רוחב ביקורתי, אשר צופה את פני העתיד, ולקבוע שינויים בהלכה הקיימת, ככל שאלו יהיו נחוצים </w:t>
      </w:r>
      <w:r w:rsidRPr="009353CA">
        <w:rPr>
          <w:rtl/>
        </w:rPr>
        <w:t>–</w:t>
      </w:r>
      <w:r w:rsidRPr="009353CA">
        <w:rPr>
          <w:rFonts w:hint="cs"/>
          <w:rtl/>
        </w:rPr>
        <w:t xml:space="preserve"> זאת, אף מחוץ לגזרת הטיעונים הצרה של בעלי הדין אשר מעוניינים להביא את ההליך לתוצאה הרצויה להם (ראו למשל: </w:t>
      </w:r>
      <w:proofErr w:type="spellStart"/>
      <w:r w:rsidRPr="009353CA">
        <w:rPr>
          <w:rFonts w:hint="eastAsia"/>
          <w:rtl/>
        </w:rPr>
        <w:t>דנג</w:t>
      </w:r>
      <w:r w:rsidRPr="009353CA">
        <w:rPr>
          <w:rFonts w:hint="cs"/>
          <w:rtl/>
        </w:rPr>
        <w:t>"</w:t>
      </w:r>
      <w:r w:rsidRPr="009353CA">
        <w:rPr>
          <w:rFonts w:hint="eastAsia"/>
          <w:rtl/>
        </w:rPr>
        <w:t>ץ</w:t>
      </w:r>
      <w:proofErr w:type="spellEnd"/>
      <w:r>
        <w:rPr>
          <w:rtl/>
        </w:rPr>
        <w:t xml:space="preserve"> 2630/14</w:t>
      </w:r>
      <w:r w:rsidRPr="009353CA">
        <w:rPr>
          <w:rtl/>
        </w:rPr>
        <w:t xml:space="preserve"> ‏</w:t>
      </w:r>
      <w:r w:rsidRPr="00CA56C6">
        <w:rPr>
          <w:rFonts w:ascii="Century" w:hAnsi="Century" w:cs="Miriam" w:hint="eastAsia"/>
          <w:b/>
          <w:spacing w:val="0"/>
          <w:sz w:val="22"/>
          <w:szCs w:val="24"/>
          <w:rtl/>
        </w:rPr>
        <w:t>ריינר</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נ</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בית</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הדין</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הרבני</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האזורי</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בתל</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אביב</w:t>
      </w:r>
      <w:r w:rsidRPr="009353CA">
        <w:rPr>
          <w:rFonts w:hint="cs"/>
          <w:rtl/>
        </w:rPr>
        <w:t xml:space="preserve">, פסקה 15 והאסמכתאות שם (23.10.2014); </w:t>
      </w:r>
      <w:proofErr w:type="spellStart"/>
      <w:r w:rsidRPr="009353CA">
        <w:rPr>
          <w:rFonts w:hint="eastAsia"/>
          <w:rtl/>
        </w:rPr>
        <w:t>דנ</w:t>
      </w:r>
      <w:r w:rsidRPr="009353CA">
        <w:rPr>
          <w:rFonts w:hint="cs"/>
          <w:rtl/>
        </w:rPr>
        <w:t>"</w:t>
      </w:r>
      <w:r w:rsidRPr="009353CA">
        <w:rPr>
          <w:rFonts w:hint="eastAsia"/>
          <w:rtl/>
        </w:rPr>
        <w:t>פ</w:t>
      </w:r>
      <w:proofErr w:type="spellEnd"/>
      <w:r w:rsidRPr="009353CA">
        <w:rPr>
          <w:rtl/>
        </w:rPr>
        <w:t xml:space="preserve"> 4971/02 </w:t>
      </w:r>
      <w:proofErr w:type="spellStart"/>
      <w:r w:rsidRPr="00CA56C6">
        <w:rPr>
          <w:rFonts w:ascii="Century" w:hAnsi="Century" w:cs="Miriam" w:hint="eastAsia"/>
          <w:b/>
          <w:spacing w:val="0"/>
          <w:sz w:val="22"/>
          <w:szCs w:val="24"/>
          <w:rtl/>
        </w:rPr>
        <w:t>זגורי</w:t>
      </w:r>
      <w:proofErr w:type="spellEnd"/>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נ</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מדינת</w:t>
      </w:r>
      <w:r w:rsidRPr="00CA56C6">
        <w:rPr>
          <w:rFonts w:ascii="Century" w:hAnsi="Century" w:cs="Miriam"/>
          <w:b/>
          <w:spacing w:val="0"/>
          <w:sz w:val="22"/>
          <w:szCs w:val="24"/>
          <w:rtl/>
        </w:rPr>
        <w:t xml:space="preserve"> </w:t>
      </w:r>
      <w:r w:rsidRPr="00CA56C6">
        <w:rPr>
          <w:rFonts w:ascii="Century" w:hAnsi="Century" w:cs="Miriam" w:hint="eastAsia"/>
          <w:b/>
          <w:spacing w:val="0"/>
          <w:sz w:val="22"/>
          <w:szCs w:val="24"/>
          <w:rtl/>
        </w:rPr>
        <w:t>ישראל</w:t>
      </w:r>
      <w:r w:rsidRPr="009353CA">
        <w:rPr>
          <w:rtl/>
        </w:rPr>
        <w:t xml:space="preserve">, </w:t>
      </w:r>
      <w:r w:rsidRPr="009353CA">
        <w:rPr>
          <w:rFonts w:hint="cs"/>
          <w:rtl/>
        </w:rPr>
        <w:t xml:space="preserve">פ"ד </w:t>
      </w:r>
      <w:r w:rsidRPr="009353CA">
        <w:rPr>
          <w:rFonts w:hint="eastAsia"/>
          <w:rtl/>
        </w:rPr>
        <w:t>נח</w:t>
      </w:r>
      <w:r w:rsidRPr="009353CA">
        <w:rPr>
          <w:rtl/>
        </w:rPr>
        <w:t>(4) 583</w:t>
      </w:r>
      <w:r w:rsidRPr="009353CA">
        <w:rPr>
          <w:rFonts w:hint="cs"/>
          <w:rtl/>
        </w:rPr>
        <w:t>, 635-634 (2004)).</w:t>
      </w:r>
    </w:p>
    <w:p w:rsidR="00917458" w:rsidRPr="009353CA" w:rsidRDefault="00917458" w:rsidP="00917458">
      <w:pPr>
        <w:pStyle w:val="Ruller4"/>
        <w:numPr>
          <w:ilvl w:val="0"/>
          <w:numId w:val="0"/>
        </w:numPr>
        <w:rPr>
          <w:rtl/>
        </w:rPr>
      </w:pPr>
    </w:p>
    <w:p w:rsidR="00917458" w:rsidRPr="009353CA" w:rsidRDefault="00917458" w:rsidP="00917458">
      <w:pPr>
        <w:pStyle w:val="Ruller4"/>
        <w:numPr>
          <w:ilvl w:val="0"/>
          <w:numId w:val="0"/>
        </w:numPr>
        <w:rPr>
          <w:rtl/>
        </w:rPr>
      </w:pPr>
      <w:r w:rsidRPr="009353CA">
        <w:rPr>
          <w:rtl/>
        </w:rPr>
        <w:tab/>
      </w:r>
      <w:r w:rsidRPr="009353CA">
        <w:rPr>
          <w:rFonts w:hint="cs"/>
          <w:rtl/>
        </w:rPr>
        <w:t xml:space="preserve">חוות דעתי תעסוק אפוא בזאת. בגדרה, אציע שינוי משמעותי בהלכה הקיימת שעניינה </w:t>
      </w:r>
      <w:r w:rsidRPr="009353CA">
        <w:rPr>
          <w:rFonts w:ascii="Century" w:hAnsi="Century" w:cs="Miriam" w:hint="cs"/>
          <w:b/>
          <w:spacing w:val="0"/>
          <w:sz w:val="22"/>
          <w:szCs w:val="24"/>
          <w:rtl/>
        </w:rPr>
        <w:t>שיתוף ספציפי</w:t>
      </w:r>
      <w:r w:rsidRPr="009353CA">
        <w:rPr>
          <w:rFonts w:hint="cs"/>
          <w:rtl/>
        </w:rPr>
        <w:t xml:space="preserve">: שיתופו של בן זוג בזכויות בנכס אישי של בת זוגו אשר איננו כלול בין נכסי הנישואין המשותפים לשני בני הזוג ואשר מצוי מחוץ לאיזון המשאבים לפי חוק יחסי ממון בין בני זוג, התשל"ג-1973 (להלן: </w:t>
      </w:r>
      <w:r w:rsidRPr="009353CA">
        <w:rPr>
          <w:rFonts w:ascii="Century" w:hAnsi="Century" w:cs="Miriam" w:hint="cs"/>
          <w:b/>
          <w:spacing w:val="0"/>
          <w:sz w:val="22"/>
          <w:szCs w:val="24"/>
          <w:rtl/>
        </w:rPr>
        <w:t>חוק יחסי ממון</w:t>
      </w:r>
      <w:r w:rsidRPr="009353CA">
        <w:rPr>
          <w:rFonts w:hint="cs"/>
          <w:rtl/>
        </w:rPr>
        <w:t xml:space="preserve">). השינוי שמוצע על ידי כולל מעבר למשטר חדש של </w:t>
      </w:r>
      <w:r w:rsidRPr="009353CA">
        <w:rPr>
          <w:rFonts w:ascii="Century" w:hAnsi="Century" w:cs="Miriam" w:hint="cs"/>
          <w:b/>
          <w:spacing w:val="0"/>
          <w:sz w:val="22"/>
          <w:szCs w:val="24"/>
          <w:rtl/>
        </w:rPr>
        <w:t>שיתוף הדרגתי</w:t>
      </w:r>
      <w:r w:rsidRPr="009353CA">
        <w:rPr>
          <w:rFonts w:hint="cs"/>
          <w:rtl/>
        </w:rPr>
        <w:t xml:space="preserve">, שבמסגרתו כל אחד מבני הזוג רוכש בכל שנת נישואין שלפני הפירוד אחוז אחד (1%) מהזכויות בנכסיו האישיים של בן זוגו, זולת אם בני הזוג קבעו ביניהם הסדר אחר בהסכם ממון אשר נערך ואושר בהתאם לחוק יחסי ממון. </w:t>
      </w:r>
      <w:r>
        <w:rPr>
          <w:rFonts w:hint="cs"/>
          <w:rtl/>
        </w:rPr>
        <w:t>משטר חדש</w:t>
      </w:r>
      <w:r w:rsidRPr="009353CA">
        <w:rPr>
          <w:rFonts w:hint="cs"/>
          <w:rtl/>
        </w:rPr>
        <w:t xml:space="preserve"> זה</w:t>
      </w:r>
      <w:r>
        <w:rPr>
          <w:rFonts w:hint="cs"/>
          <w:rtl/>
        </w:rPr>
        <w:t xml:space="preserve"> </w:t>
      </w:r>
      <w:r>
        <w:rPr>
          <w:rtl/>
        </w:rPr>
        <w:t>–</w:t>
      </w:r>
      <w:r>
        <w:rPr>
          <w:rFonts w:hint="cs"/>
          <w:rtl/>
        </w:rPr>
        <w:t xml:space="preserve"> </w:t>
      </w:r>
      <w:r w:rsidRPr="009353CA">
        <w:rPr>
          <w:rFonts w:hint="cs"/>
          <w:rtl/>
        </w:rPr>
        <w:t>אם יתקבל על דעת חבריי</w:t>
      </w:r>
      <w:r>
        <w:rPr>
          <w:rFonts w:hint="cs"/>
          <w:rtl/>
        </w:rPr>
        <w:t xml:space="preserve"> </w:t>
      </w:r>
      <w:r>
        <w:rPr>
          <w:rtl/>
        </w:rPr>
        <w:t>–</w:t>
      </w:r>
      <w:r w:rsidRPr="009353CA">
        <w:rPr>
          <w:rFonts w:hint="cs"/>
          <w:rtl/>
        </w:rPr>
        <w:t xml:space="preserve"> יחליף את נוסחת השיתוף הספציפי הקיימת</w:t>
      </w:r>
      <w:r>
        <w:rPr>
          <w:rFonts w:hint="cs"/>
          <w:rtl/>
        </w:rPr>
        <w:t xml:space="preserve"> ש</w:t>
      </w:r>
      <w:r w:rsidRPr="009353CA">
        <w:rPr>
          <w:rFonts w:hint="cs"/>
          <w:rtl/>
        </w:rPr>
        <w:t xml:space="preserve">מופעלת רק אחרי תקופת נישואין רבת שנים, אשר לא נקצבו מראש, ואשר </w:t>
      </w:r>
      <w:r>
        <w:rPr>
          <w:rFonts w:hint="cs"/>
          <w:rtl/>
        </w:rPr>
        <w:t xml:space="preserve">בהתקיים תנאים </w:t>
      </w:r>
      <w:proofErr w:type="spellStart"/>
      <w:r>
        <w:rPr>
          <w:rFonts w:hint="cs"/>
          <w:rtl/>
        </w:rPr>
        <w:t>מסויימים</w:t>
      </w:r>
      <w:proofErr w:type="spellEnd"/>
      <w:r>
        <w:rPr>
          <w:rFonts w:hint="cs"/>
          <w:rtl/>
        </w:rPr>
        <w:t xml:space="preserve"> </w:t>
      </w:r>
      <w:r>
        <w:rPr>
          <w:rtl/>
        </w:rPr>
        <w:t>–</w:t>
      </w:r>
      <w:r>
        <w:rPr>
          <w:rFonts w:hint="cs"/>
          <w:rtl/>
        </w:rPr>
        <w:t xml:space="preserve"> שאף הם אינם פשוטים ומעוררים מחלוקות </w:t>
      </w:r>
      <w:r>
        <w:rPr>
          <w:rtl/>
        </w:rPr>
        <w:t>–</w:t>
      </w:r>
      <w:r>
        <w:rPr>
          <w:rFonts w:hint="cs"/>
          <w:rtl/>
        </w:rPr>
        <w:t xml:space="preserve"> </w:t>
      </w:r>
      <w:r w:rsidRPr="009353CA">
        <w:rPr>
          <w:rFonts w:hint="cs"/>
          <w:rtl/>
        </w:rPr>
        <w:t xml:space="preserve">מעניקה </w:t>
      </w:r>
      <w:r w:rsidRPr="009353CA">
        <w:rPr>
          <w:rFonts w:hint="cs"/>
          <w:rtl/>
        </w:rPr>
        <w:lastRenderedPageBreak/>
        <w:t xml:space="preserve">לבן הזוג הזוכה לשיתוף, באבחה אחת, מחצית (50%) מהזכויות בנכסיו האישיים של בן זוגו, זולת אם בני הזוג קבעו ביניהם הסדר אחר בהסכם ממון אשר נערך ואושר בהתאם לחוק יחסי ממון. הנוסחה הקיימת היא פרי של הלכה פסוקה, אשר נקבעה בפסקי הדין המצוטטים להלן (ראו למשל: </w:t>
      </w:r>
      <w:r w:rsidRPr="009353CA">
        <w:rPr>
          <w:rFonts w:hint="eastAsia"/>
          <w:rtl/>
        </w:rPr>
        <w:t>רע</w:t>
      </w:r>
      <w:r w:rsidRPr="009353CA">
        <w:rPr>
          <w:rtl/>
        </w:rPr>
        <w:t>"</w:t>
      </w:r>
      <w:r w:rsidRPr="009353CA">
        <w:rPr>
          <w:rFonts w:hint="eastAsia"/>
          <w:rtl/>
        </w:rPr>
        <w:t>א</w:t>
      </w:r>
      <w:r w:rsidRPr="009353CA">
        <w:rPr>
          <w:rtl/>
        </w:rPr>
        <w:t xml:space="preserve"> 8672/00 </w:t>
      </w:r>
      <w:r w:rsidRPr="009353CA">
        <w:rPr>
          <w:rFonts w:ascii="Century" w:hAnsi="Century" w:cs="Miriam" w:hint="eastAsia"/>
          <w:b/>
          <w:spacing w:val="0"/>
          <w:sz w:val="22"/>
          <w:szCs w:val="24"/>
          <w:rtl/>
        </w:rPr>
        <w:t>אבו</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רומי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אבו</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רומי</w:t>
      </w:r>
      <w:r w:rsidRPr="009353CA">
        <w:rPr>
          <w:rtl/>
        </w:rPr>
        <w:t xml:space="preserve">, </w:t>
      </w:r>
      <w:r w:rsidRPr="009353CA">
        <w:rPr>
          <w:rFonts w:hint="eastAsia"/>
          <w:rtl/>
        </w:rPr>
        <w:t>פ</w:t>
      </w:r>
      <w:r w:rsidRPr="009353CA">
        <w:rPr>
          <w:rtl/>
        </w:rPr>
        <w:t>"</w:t>
      </w:r>
      <w:r w:rsidRPr="009353CA">
        <w:rPr>
          <w:rFonts w:hint="eastAsia"/>
          <w:rtl/>
        </w:rPr>
        <w:t>ד</w:t>
      </w:r>
      <w:r w:rsidRPr="009353CA">
        <w:rPr>
          <w:rtl/>
        </w:rPr>
        <w:t xml:space="preserve"> </w:t>
      </w:r>
      <w:r w:rsidRPr="009353CA">
        <w:rPr>
          <w:rFonts w:hint="eastAsia"/>
          <w:rtl/>
        </w:rPr>
        <w:t>נו</w:t>
      </w:r>
      <w:r w:rsidRPr="009353CA">
        <w:rPr>
          <w:rtl/>
        </w:rPr>
        <w:t>(6) 175 (2002)</w:t>
      </w:r>
      <w:r w:rsidRPr="009353CA">
        <w:rPr>
          <w:rFonts w:hint="cs"/>
          <w:rtl/>
        </w:rPr>
        <w:t xml:space="preserve"> (להלן: הלכת</w:t>
      </w:r>
      <w:r w:rsidRPr="009353CA">
        <w:rPr>
          <w:rtl/>
        </w:rPr>
        <w:t xml:space="preserve"> </w:t>
      </w:r>
      <w:r w:rsidRPr="009353CA">
        <w:rPr>
          <w:rFonts w:ascii="Century" w:hAnsi="Century" w:cs="Miriam" w:hint="eastAsia"/>
          <w:b/>
          <w:spacing w:val="0"/>
          <w:sz w:val="22"/>
          <w:szCs w:val="24"/>
          <w:rtl/>
        </w:rPr>
        <w:t>אבו</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רומי</w:t>
      </w:r>
      <w:r w:rsidRPr="009353CA">
        <w:rPr>
          <w:rFonts w:ascii="Century" w:hAnsi="Century" w:hint="cs"/>
          <w:sz w:val="22"/>
          <w:rtl/>
        </w:rPr>
        <w:t>)</w:t>
      </w:r>
      <w:r w:rsidRPr="009353CA">
        <w:rPr>
          <w:rFonts w:hint="cs"/>
          <w:rtl/>
        </w:rPr>
        <w:t>), ועל כן בכוחנו לשנותה (ראו: סעיף 20(ב) לחוק יסוד: השפיטה). הפה שקבע הוא הפה שיכול לשנות.</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t>על יתרונותיו של המשטר המוצע על ידי בהשוואה למשטר הקיים אעמוד בהמשך דבריי. אציין, כבר בראשית הדרך, שהצעתי זו באה לרפא את הפגמים היסודיים של דוקטרינת השיתוף הספציפי כפי שנקבעה בהלכת</w:t>
      </w:r>
      <w:r w:rsidRPr="009353CA">
        <w:rPr>
          <w:rtl/>
        </w:rPr>
        <w:t xml:space="preserve"> </w:t>
      </w:r>
      <w:r w:rsidRPr="009353CA">
        <w:rPr>
          <w:rFonts w:ascii="Century" w:hAnsi="Century" w:cs="Miriam" w:hint="eastAsia"/>
          <w:b/>
          <w:spacing w:val="0"/>
          <w:sz w:val="22"/>
          <w:szCs w:val="24"/>
          <w:rtl/>
        </w:rPr>
        <w:t>אבו</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רומי</w:t>
      </w:r>
      <w:r w:rsidRPr="009353CA">
        <w:rPr>
          <w:rFonts w:ascii="Century" w:hAnsi="Century" w:hint="cs"/>
          <w:sz w:val="22"/>
          <w:rtl/>
        </w:rPr>
        <w:t xml:space="preserve"> (ראו</w:t>
      </w:r>
      <w:r>
        <w:rPr>
          <w:rFonts w:ascii="Century" w:hAnsi="Century" w:hint="cs"/>
          <w:sz w:val="22"/>
          <w:rtl/>
        </w:rPr>
        <w:t>:</w:t>
      </w:r>
      <w:r w:rsidRPr="009353CA">
        <w:rPr>
          <w:rFonts w:ascii="Century" w:hAnsi="Century" w:hint="cs"/>
          <w:sz w:val="22"/>
          <w:rtl/>
        </w:rPr>
        <w:t xml:space="preserve"> שם, בעמ' 183)</w:t>
      </w:r>
      <w:r w:rsidRPr="009353CA">
        <w:rPr>
          <w:rFonts w:hint="cs"/>
          <w:rtl/>
        </w:rPr>
        <w:t xml:space="preserve"> ובפסקי דין אחרים אשר הלכו בעקבותיה. פגמים אלו כוללים (1) את</w:t>
      </w:r>
      <w:r w:rsidRPr="009353CA">
        <w:rPr>
          <w:rFonts w:ascii="Century" w:hAnsi="Century" w:hint="cs"/>
          <w:sz w:val="22"/>
          <w:rtl/>
        </w:rPr>
        <w:t xml:space="preserve"> </w:t>
      </w:r>
      <w:r w:rsidRPr="009353CA">
        <w:rPr>
          <w:rFonts w:hint="cs"/>
          <w:rtl/>
        </w:rPr>
        <w:t xml:space="preserve">חוסר ההתאמה בין הרציונל של השיתוף הספציפי לבין הנוסחה שנקבעה עבורו; (2) את </w:t>
      </w:r>
      <w:r w:rsidRPr="009353CA">
        <w:rPr>
          <w:rFonts w:ascii="Century" w:hAnsi="Century" w:hint="cs"/>
          <w:sz w:val="22"/>
          <w:rtl/>
        </w:rPr>
        <w:t>חוסר ה</w:t>
      </w:r>
      <w:r w:rsidRPr="009353CA">
        <w:rPr>
          <w:rFonts w:ascii="Century" w:hAnsi="Century" w:hint="eastAsia"/>
          <w:sz w:val="22"/>
          <w:rtl/>
        </w:rPr>
        <w:t>וודאות</w:t>
      </w:r>
      <w:r w:rsidRPr="009353CA">
        <w:rPr>
          <w:rFonts w:ascii="Century" w:hAnsi="Century"/>
          <w:sz w:val="22"/>
          <w:rtl/>
        </w:rPr>
        <w:t xml:space="preserve"> </w:t>
      </w:r>
      <w:r w:rsidRPr="009353CA">
        <w:rPr>
          <w:rFonts w:ascii="Century" w:hAnsi="Century" w:hint="eastAsia"/>
          <w:sz w:val="22"/>
          <w:rtl/>
        </w:rPr>
        <w:t>באשר</w:t>
      </w:r>
      <w:r w:rsidRPr="009353CA">
        <w:rPr>
          <w:rFonts w:ascii="Century" w:hAnsi="Century"/>
          <w:sz w:val="22"/>
          <w:rtl/>
        </w:rPr>
        <w:t xml:space="preserve"> </w:t>
      </w:r>
      <w:r w:rsidRPr="009353CA">
        <w:rPr>
          <w:rFonts w:ascii="Century" w:hAnsi="Century" w:hint="eastAsia"/>
          <w:sz w:val="22"/>
          <w:rtl/>
        </w:rPr>
        <w:t>לזמן</w:t>
      </w:r>
      <w:r w:rsidRPr="009353CA">
        <w:rPr>
          <w:rFonts w:ascii="Century" w:hAnsi="Century"/>
          <w:sz w:val="22"/>
          <w:rtl/>
        </w:rPr>
        <w:t xml:space="preserve"> </w:t>
      </w:r>
      <w:r w:rsidRPr="009353CA">
        <w:rPr>
          <w:rFonts w:ascii="Century" w:hAnsi="Century" w:hint="eastAsia"/>
          <w:sz w:val="22"/>
          <w:rtl/>
        </w:rPr>
        <w:t>ההתגבשות</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השיתוף</w:t>
      </w:r>
      <w:r w:rsidRPr="009353CA">
        <w:rPr>
          <w:rFonts w:ascii="Century" w:hAnsi="Century"/>
          <w:sz w:val="22"/>
          <w:rtl/>
        </w:rPr>
        <w:t xml:space="preserve"> </w:t>
      </w:r>
      <w:r w:rsidRPr="009353CA">
        <w:rPr>
          <w:rFonts w:ascii="Century" w:hAnsi="Century" w:hint="eastAsia"/>
          <w:sz w:val="22"/>
          <w:rtl/>
        </w:rPr>
        <w:t>הספציפי</w:t>
      </w:r>
      <w:r w:rsidRPr="009353CA">
        <w:rPr>
          <w:rFonts w:ascii="Century" w:hAnsi="Century"/>
          <w:sz w:val="22"/>
          <w:rtl/>
        </w:rPr>
        <w:t xml:space="preserve"> </w:t>
      </w:r>
      <w:r w:rsidRPr="009353CA">
        <w:rPr>
          <w:rFonts w:ascii="Century" w:hAnsi="Century" w:hint="eastAsia"/>
          <w:sz w:val="22"/>
          <w:rtl/>
        </w:rPr>
        <w:t>ושאר</w:t>
      </w:r>
      <w:r w:rsidRPr="009353CA">
        <w:rPr>
          <w:rFonts w:ascii="Century" w:hAnsi="Century"/>
          <w:sz w:val="22"/>
          <w:rtl/>
        </w:rPr>
        <w:t xml:space="preserve"> </w:t>
      </w:r>
      <w:r w:rsidRPr="009353CA">
        <w:rPr>
          <w:rFonts w:ascii="Century" w:hAnsi="Century" w:hint="eastAsia"/>
          <w:sz w:val="22"/>
          <w:rtl/>
        </w:rPr>
        <w:t>התנאים</w:t>
      </w:r>
      <w:r w:rsidRPr="009353CA">
        <w:rPr>
          <w:rFonts w:ascii="Century" w:hAnsi="Century"/>
          <w:sz w:val="22"/>
          <w:rtl/>
        </w:rPr>
        <w:t xml:space="preserve"> </w:t>
      </w:r>
      <w:r w:rsidRPr="009353CA">
        <w:rPr>
          <w:rFonts w:ascii="Century" w:hAnsi="Century" w:hint="eastAsia"/>
          <w:sz w:val="22"/>
          <w:rtl/>
        </w:rPr>
        <w:t>שבהם</w:t>
      </w:r>
      <w:r w:rsidRPr="009353CA">
        <w:rPr>
          <w:rFonts w:ascii="Century" w:hAnsi="Century"/>
          <w:sz w:val="22"/>
          <w:rtl/>
        </w:rPr>
        <w:t xml:space="preserve"> </w:t>
      </w:r>
      <w:r w:rsidRPr="009353CA">
        <w:rPr>
          <w:rFonts w:ascii="Century" w:hAnsi="Century" w:hint="eastAsia"/>
          <w:sz w:val="22"/>
          <w:rtl/>
        </w:rPr>
        <w:t>בן</w:t>
      </w:r>
      <w:r w:rsidRPr="009353CA">
        <w:rPr>
          <w:rFonts w:ascii="Century" w:hAnsi="Century"/>
          <w:sz w:val="22"/>
          <w:rtl/>
        </w:rPr>
        <w:t xml:space="preserve"> </w:t>
      </w:r>
      <w:r w:rsidRPr="009353CA">
        <w:rPr>
          <w:rFonts w:ascii="Century" w:hAnsi="Century" w:hint="eastAsia"/>
          <w:sz w:val="22"/>
          <w:rtl/>
        </w:rPr>
        <w:t>זוג</w:t>
      </w:r>
      <w:r w:rsidRPr="009353CA">
        <w:rPr>
          <w:rFonts w:ascii="Century" w:hAnsi="Century"/>
          <w:sz w:val="22"/>
          <w:rtl/>
        </w:rPr>
        <w:t xml:space="preserve"> </w:t>
      </w:r>
      <w:r w:rsidRPr="009353CA">
        <w:rPr>
          <w:rFonts w:ascii="Century" w:hAnsi="Century" w:hint="eastAsia"/>
          <w:sz w:val="22"/>
          <w:rtl/>
        </w:rPr>
        <w:t>רוכש</w:t>
      </w:r>
      <w:r w:rsidRPr="009353CA">
        <w:rPr>
          <w:rFonts w:ascii="Century" w:hAnsi="Century"/>
          <w:sz w:val="22"/>
          <w:rtl/>
        </w:rPr>
        <w:t xml:space="preserve"> </w:t>
      </w:r>
      <w:r w:rsidRPr="009353CA">
        <w:rPr>
          <w:rFonts w:ascii="Century" w:hAnsi="Century" w:hint="eastAsia"/>
          <w:sz w:val="22"/>
          <w:rtl/>
        </w:rPr>
        <w:t>את</w:t>
      </w:r>
      <w:r w:rsidRPr="009353CA">
        <w:rPr>
          <w:rFonts w:ascii="Century" w:hAnsi="Century"/>
          <w:sz w:val="22"/>
          <w:rtl/>
        </w:rPr>
        <w:t xml:space="preserve"> </w:t>
      </w:r>
      <w:r w:rsidRPr="009353CA">
        <w:rPr>
          <w:rFonts w:ascii="Century" w:hAnsi="Century" w:hint="eastAsia"/>
          <w:sz w:val="22"/>
          <w:rtl/>
        </w:rPr>
        <w:t>מחצית</w:t>
      </w:r>
      <w:r w:rsidRPr="009353CA">
        <w:rPr>
          <w:rFonts w:ascii="Century" w:hAnsi="Century"/>
          <w:sz w:val="22"/>
          <w:rtl/>
        </w:rPr>
        <w:t xml:space="preserve"> </w:t>
      </w:r>
      <w:r w:rsidRPr="009353CA">
        <w:rPr>
          <w:rFonts w:ascii="Century" w:hAnsi="Century" w:hint="eastAsia"/>
          <w:sz w:val="22"/>
          <w:rtl/>
        </w:rPr>
        <w:t>הזכויות</w:t>
      </w:r>
      <w:r w:rsidRPr="009353CA">
        <w:rPr>
          <w:rFonts w:ascii="Century" w:hAnsi="Century"/>
          <w:sz w:val="22"/>
          <w:rtl/>
        </w:rPr>
        <w:t xml:space="preserve"> </w:t>
      </w:r>
      <w:r w:rsidRPr="009353CA">
        <w:rPr>
          <w:rFonts w:ascii="Century" w:hAnsi="Century" w:hint="eastAsia"/>
          <w:sz w:val="22"/>
          <w:rtl/>
        </w:rPr>
        <w:t>בנכסה</w:t>
      </w:r>
      <w:r w:rsidRPr="009353CA">
        <w:rPr>
          <w:rFonts w:ascii="Century" w:hAnsi="Century"/>
          <w:sz w:val="22"/>
          <w:rtl/>
        </w:rPr>
        <w:t xml:space="preserve"> </w:t>
      </w:r>
      <w:r w:rsidRPr="009353CA">
        <w:rPr>
          <w:rFonts w:ascii="Century" w:hAnsi="Century" w:hint="eastAsia"/>
          <w:sz w:val="22"/>
          <w:rtl/>
        </w:rPr>
        <w:t>האישי</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בת</w:t>
      </w:r>
      <w:r w:rsidRPr="009353CA">
        <w:rPr>
          <w:rFonts w:ascii="Century" w:hAnsi="Century"/>
          <w:sz w:val="22"/>
          <w:rtl/>
        </w:rPr>
        <w:t xml:space="preserve"> </w:t>
      </w:r>
      <w:r w:rsidRPr="009353CA">
        <w:rPr>
          <w:rFonts w:ascii="Century" w:hAnsi="Century" w:hint="eastAsia"/>
          <w:sz w:val="22"/>
          <w:rtl/>
        </w:rPr>
        <w:t>זוגו</w:t>
      </w:r>
      <w:r w:rsidRPr="009353CA">
        <w:rPr>
          <w:rFonts w:ascii="Century" w:hAnsi="Century" w:hint="cs"/>
          <w:sz w:val="22"/>
          <w:rtl/>
        </w:rPr>
        <w:t xml:space="preserve">; (3) את </w:t>
      </w:r>
      <w:r w:rsidRPr="009353CA">
        <w:rPr>
          <w:rFonts w:ascii="Century" w:hAnsi="Century" w:hint="eastAsia"/>
          <w:sz w:val="22"/>
          <w:rtl/>
        </w:rPr>
        <w:t>היותה</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רכישת</w:t>
      </w:r>
      <w:r w:rsidRPr="009353CA">
        <w:rPr>
          <w:rFonts w:ascii="Century" w:hAnsi="Century"/>
          <w:sz w:val="22"/>
          <w:rtl/>
        </w:rPr>
        <w:t xml:space="preserve"> </w:t>
      </w:r>
      <w:r w:rsidRPr="009353CA">
        <w:rPr>
          <w:rFonts w:ascii="Century" w:hAnsi="Century" w:hint="eastAsia"/>
          <w:sz w:val="22"/>
          <w:rtl/>
        </w:rPr>
        <w:t>הזכויות</w:t>
      </w:r>
      <w:r w:rsidRPr="009353CA">
        <w:rPr>
          <w:rFonts w:ascii="Century" w:hAnsi="Century"/>
          <w:sz w:val="22"/>
          <w:rtl/>
        </w:rPr>
        <w:t xml:space="preserve"> </w:t>
      </w:r>
      <w:r w:rsidRPr="009353CA">
        <w:rPr>
          <w:rFonts w:ascii="Century" w:hAnsi="Century" w:hint="eastAsia"/>
          <w:sz w:val="22"/>
          <w:rtl/>
        </w:rPr>
        <w:t>כאמור</w:t>
      </w:r>
      <w:r w:rsidRPr="009353CA">
        <w:rPr>
          <w:rFonts w:ascii="Century" w:hAnsi="Century"/>
          <w:sz w:val="22"/>
          <w:rtl/>
        </w:rPr>
        <w:t xml:space="preserve"> </w:t>
      </w:r>
      <w:r w:rsidRPr="009353CA">
        <w:rPr>
          <w:rFonts w:ascii="Century" w:hAnsi="Century" w:hint="eastAsia"/>
          <w:sz w:val="22"/>
          <w:rtl/>
        </w:rPr>
        <w:t>רכישה</w:t>
      </w:r>
      <w:r w:rsidRPr="009353CA">
        <w:rPr>
          <w:rFonts w:ascii="Century" w:hAnsi="Century"/>
          <w:sz w:val="22"/>
          <w:rtl/>
        </w:rPr>
        <w:t xml:space="preserve"> </w:t>
      </w:r>
      <w:proofErr w:type="spellStart"/>
      <w:r w:rsidRPr="009353CA">
        <w:rPr>
          <w:rFonts w:ascii="Century" w:hAnsi="Century" w:hint="eastAsia"/>
          <w:sz w:val="22"/>
          <w:rtl/>
        </w:rPr>
        <w:t>מיידית</w:t>
      </w:r>
      <w:proofErr w:type="spellEnd"/>
      <w:r w:rsidRPr="009353CA">
        <w:rPr>
          <w:rFonts w:ascii="Century" w:hAnsi="Century"/>
          <w:sz w:val="22"/>
          <w:rtl/>
        </w:rPr>
        <w:t xml:space="preserve"> </w:t>
      </w:r>
      <w:r w:rsidRPr="009353CA">
        <w:rPr>
          <w:rFonts w:ascii="Century" w:hAnsi="Century" w:hint="eastAsia"/>
          <w:sz w:val="22"/>
          <w:rtl/>
        </w:rPr>
        <w:t>באבחה</w:t>
      </w:r>
      <w:r w:rsidRPr="009353CA">
        <w:rPr>
          <w:rFonts w:ascii="Century" w:hAnsi="Century"/>
          <w:sz w:val="22"/>
          <w:rtl/>
        </w:rPr>
        <w:t xml:space="preserve"> </w:t>
      </w:r>
      <w:r w:rsidRPr="009353CA">
        <w:rPr>
          <w:rFonts w:ascii="Century" w:hAnsi="Century" w:hint="eastAsia"/>
          <w:sz w:val="22"/>
          <w:rtl/>
        </w:rPr>
        <w:t>אחת</w:t>
      </w:r>
      <w:r w:rsidRPr="009353CA">
        <w:rPr>
          <w:rFonts w:ascii="Century" w:hAnsi="Century"/>
          <w:sz w:val="22"/>
          <w:rtl/>
        </w:rPr>
        <w:t xml:space="preserve">, </w:t>
      </w:r>
      <w:r w:rsidRPr="009353CA">
        <w:rPr>
          <w:rFonts w:ascii="Century" w:hAnsi="Century" w:hint="eastAsia"/>
          <w:sz w:val="22"/>
          <w:rtl/>
        </w:rPr>
        <w:t>והתמריצים</w:t>
      </w:r>
      <w:r w:rsidRPr="009353CA">
        <w:rPr>
          <w:rFonts w:ascii="Century" w:hAnsi="Century"/>
          <w:sz w:val="22"/>
          <w:rtl/>
        </w:rPr>
        <w:t xml:space="preserve"> </w:t>
      </w:r>
      <w:r w:rsidRPr="009353CA">
        <w:rPr>
          <w:rFonts w:ascii="Century" w:hAnsi="Century" w:hint="eastAsia"/>
          <w:sz w:val="22"/>
          <w:rtl/>
        </w:rPr>
        <w:t>המעוותים</w:t>
      </w:r>
      <w:r w:rsidRPr="009353CA">
        <w:rPr>
          <w:rFonts w:ascii="Century" w:hAnsi="Century"/>
          <w:sz w:val="22"/>
          <w:rtl/>
        </w:rPr>
        <w:t xml:space="preserve"> </w:t>
      </w:r>
      <w:r w:rsidRPr="009353CA">
        <w:rPr>
          <w:rFonts w:ascii="Century" w:hAnsi="Century" w:hint="eastAsia"/>
          <w:sz w:val="22"/>
          <w:rtl/>
        </w:rPr>
        <w:t>להתנהלותו</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כל</w:t>
      </w:r>
      <w:r w:rsidRPr="009353CA">
        <w:rPr>
          <w:rFonts w:ascii="Century" w:hAnsi="Century"/>
          <w:sz w:val="22"/>
          <w:rtl/>
        </w:rPr>
        <w:t xml:space="preserve"> </w:t>
      </w:r>
      <w:r w:rsidRPr="009353CA">
        <w:rPr>
          <w:rFonts w:ascii="Century" w:hAnsi="Century" w:hint="eastAsia"/>
          <w:sz w:val="22"/>
          <w:rtl/>
        </w:rPr>
        <w:t>אחד</w:t>
      </w:r>
      <w:r w:rsidRPr="009353CA">
        <w:rPr>
          <w:rFonts w:ascii="Century" w:hAnsi="Century"/>
          <w:sz w:val="22"/>
          <w:rtl/>
        </w:rPr>
        <w:t xml:space="preserve"> </w:t>
      </w:r>
      <w:r w:rsidRPr="009353CA">
        <w:rPr>
          <w:rFonts w:ascii="Century" w:hAnsi="Century" w:hint="eastAsia"/>
          <w:sz w:val="22"/>
          <w:rtl/>
        </w:rPr>
        <w:t>מבני</w:t>
      </w:r>
      <w:r w:rsidRPr="009353CA">
        <w:rPr>
          <w:rFonts w:ascii="Century" w:hAnsi="Century"/>
          <w:sz w:val="22"/>
          <w:rtl/>
        </w:rPr>
        <w:t xml:space="preserve"> </w:t>
      </w:r>
      <w:r w:rsidRPr="009353CA">
        <w:rPr>
          <w:rFonts w:ascii="Century" w:hAnsi="Century" w:hint="eastAsia"/>
          <w:sz w:val="22"/>
          <w:rtl/>
        </w:rPr>
        <w:t>הזוג</w:t>
      </w:r>
      <w:r w:rsidRPr="009353CA">
        <w:rPr>
          <w:rFonts w:ascii="Century" w:hAnsi="Century"/>
          <w:sz w:val="22"/>
          <w:rtl/>
        </w:rPr>
        <w:t xml:space="preserve"> </w:t>
      </w:r>
      <w:r w:rsidRPr="009353CA">
        <w:rPr>
          <w:rFonts w:ascii="Century" w:hAnsi="Century" w:hint="eastAsia"/>
          <w:sz w:val="22"/>
          <w:rtl/>
        </w:rPr>
        <w:t>ביחסיו</w:t>
      </w:r>
      <w:r w:rsidRPr="009353CA">
        <w:rPr>
          <w:rFonts w:ascii="Century" w:hAnsi="Century"/>
          <w:sz w:val="22"/>
          <w:rtl/>
        </w:rPr>
        <w:t xml:space="preserve"> </w:t>
      </w:r>
      <w:r w:rsidRPr="009353CA">
        <w:rPr>
          <w:rFonts w:ascii="Century" w:hAnsi="Century" w:hint="eastAsia"/>
          <w:sz w:val="22"/>
          <w:rtl/>
        </w:rPr>
        <w:t>עם</w:t>
      </w:r>
      <w:r w:rsidRPr="009353CA">
        <w:rPr>
          <w:rFonts w:ascii="Century" w:hAnsi="Century"/>
          <w:sz w:val="22"/>
          <w:rtl/>
        </w:rPr>
        <w:t xml:space="preserve"> </w:t>
      </w:r>
      <w:r w:rsidRPr="009353CA">
        <w:rPr>
          <w:rFonts w:ascii="Century" w:hAnsi="Century" w:hint="eastAsia"/>
          <w:sz w:val="22"/>
          <w:rtl/>
        </w:rPr>
        <w:t>בן</w:t>
      </w:r>
      <w:r w:rsidRPr="009353CA">
        <w:rPr>
          <w:rFonts w:ascii="Century" w:hAnsi="Century"/>
          <w:sz w:val="22"/>
          <w:rtl/>
        </w:rPr>
        <w:t xml:space="preserve"> </w:t>
      </w:r>
      <w:r w:rsidRPr="009353CA">
        <w:rPr>
          <w:rFonts w:ascii="Century" w:hAnsi="Century" w:hint="eastAsia"/>
          <w:sz w:val="22"/>
          <w:rtl/>
        </w:rPr>
        <w:t>או</w:t>
      </w:r>
      <w:r w:rsidRPr="009353CA">
        <w:rPr>
          <w:rFonts w:ascii="Century" w:hAnsi="Century"/>
          <w:sz w:val="22"/>
          <w:rtl/>
        </w:rPr>
        <w:t xml:space="preserve"> </w:t>
      </w:r>
      <w:r w:rsidRPr="009353CA">
        <w:rPr>
          <w:rFonts w:ascii="Century" w:hAnsi="Century" w:hint="eastAsia"/>
          <w:sz w:val="22"/>
          <w:rtl/>
        </w:rPr>
        <w:t>בת</w:t>
      </w:r>
      <w:r w:rsidRPr="009353CA">
        <w:rPr>
          <w:rFonts w:ascii="Century" w:hAnsi="Century"/>
          <w:sz w:val="22"/>
          <w:rtl/>
        </w:rPr>
        <w:t xml:space="preserve"> </w:t>
      </w:r>
      <w:r w:rsidRPr="009353CA">
        <w:rPr>
          <w:rFonts w:ascii="Century" w:hAnsi="Century" w:hint="eastAsia"/>
          <w:sz w:val="22"/>
          <w:rtl/>
        </w:rPr>
        <w:t>זוגו</w:t>
      </w:r>
      <w:r w:rsidRPr="009353CA">
        <w:rPr>
          <w:rFonts w:ascii="Century" w:hAnsi="Century"/>
          <w:sz w:val="22"/>
          <w:rtl/>
        </w:rPr>
        <w:t xml:space="preserve"> </w:t>
      </w:r>
      <w:r w:rsidRPr="009353CA">
        <w:rPr>
          <w:rFonts w:ascii="Century" w:hAnsi="Century" w:hint="eastAsia"/>
          <w:sz w:val="22"/>
          <w:rtl/>
        </w:rPr>
        <w:t>אשר</w:t>
      </w:r>
      <w:r w:rsidRPr="009353CA">
        <w:rPr>
          <w:rFonts w:ascii="Century" w:hAnsi="Century"/>
          <w:sz w:val="22"/>
          <w:rtl/>
        </w:rPr>
        <w:t xml:space="preserve"> </w:t>
      </w:r>
      <w:r w:rsidRPr="009353CA">
        <w:rPr>
          <w:rFonts w:ascii="Century" w:hAnsi="Century" w:hint="eastAsia"/>
          <w:sz w:val="22"/>
          <w:rtl/>
        </w:rPr>
        <w:t>נובעים</w:t>
      </w:r>
      <w:r w:rsidRPr="009353CA">
        <w:rPr>
          <w:rFonts w:ascii="Century" w:hAnsi="Century"/>
          <w:sz w:val="22"/>
          <w:rtl/>
        </w:rPr>
        <w:t xml:space="preserve"> </w:t>
      </w:r>
      <w:r w:rsidRPr="009353CA">
        <w:rPr>
          <w:rFonts w:ascii="Century" w:hAnsi="Century" w:hint="eastAsia"/>
          <w:sz w:val="22"/>
          <w:rtl/>
        </w:rPr>
        <w:t>מכך</w:t>
      </w:r>
      <w:r w:rsidRPr="009353CA">
        <w:rPr>
          <w:rFonts w:ascii="Century" w:hAnsi="Century" w:hint="cs"/>
          <w:sz w:val="22"/>
          <w:rtl/>
        </w:rPr>
        <w:t xml:space="preserve">; (4) את </w:t>
      </w:r>
      <w:r w:rsidRPr="009353CA">
        <w:rPr>
          <w:rFonts w:ascii="Century" w:hAnsi="Century" w:hint="eastAsia"/>
          <w:sz w:val="22"/>
          <w:rtl/>
        </w:rPr>
        <w:t>העדר</w:t>
      </w:r>
      <w:r w:rsidRPr="009353CA">
        <w:rPr>
          <w:rFonts w:ascii="Century" w:hAnsi="Century"/>
          <w:sz w:val="22"/>
          <w:rtl/>
        </w:rPr>
        <w:t xml:space="preserve"> </w:t>
      </w:r>
      <w:r w:rsidRPr="009353CA">
        <w:rPr>
          <w:rFonts w:ascii="Century" w:hAnsi="Century" w:hint="cs"/>
          <w:sz w:val="22"/>
          <w:rtl/>
        </w:rPr>
        <w:t>ה</w:t>
      </w:r>
      <w:r w:rsidRPr="009353CA">
        <w:rPr>
          <w:rFonts w:ascii="Century" w:hAnsi="Century" w:hint="eastAsia"/>
          <w:sz w:val="22"/>
          <w:rtl/>
        </w:rPr>
        <w:t>התאמה</w:t>
      </w:r>
      <w:r w:rsidRPr="009353CA">
        <w:rPr>
          <w:rFonts w:ascii="Century" w:hAnsi="Century"/>
          <w:sz w:val="22"/>
          <w:rtl/>
        </w:rPr>
        <w:t xml:space="preserve"> </w:t>
      </w:r>
      <w:r w:rsidRPr="009353CA">
        <w:rPr>
          <w:rFonts w:ascii="Century" w:hAnsi="Century" w:hint="eastAsia"/>
          <w:sz w:val="22"/>
          <w:rtl/>
        </w:rPr>
        <w:t>בין</w:t>
      </w:r>
      <w:r w:rsidRPr="009353CA">
        <w:rPr>
          <w:rFonts w:ascii="Century" w:hAnsi="Century"/>
          <w:sz w:val="22"/>
          <w:rtl/>
        </w:rPr>
        <w:t xml:space="preserve"> </w:t>
      </w:r>
      <w:r w:rsidRPr="009353CA">
        <w:rPr>
          <w:rFonts w:ascii="Century" w:hAnsi="Century" w:hint="eastAsia"/>
          <w:sz w:val="22"/>
          <w:rtl/>
        </w:rPr>
        <w:t>רכישת</w:t>
      </w:r>
      <w:r w:rsidRPr="009353CA">
        <w:rPr>
          <w:rFonts w:ascii="Century" w:hAnsi="Century"/>
          <w:sz w:val="22"/>
          <w:rtl/>
        </w:rPr>
        <w:t xml:space="preserve"> </w:t>
      </w:r>
      <w:r w:rsidRPr="009353CA">
        <w:rPr>
          <w:rFonts w:ascii="Century" w:hAnsi="Century" w:hint="eastAsia"/>
          <w:sz w:val="22"/>
          <w:rtl/>
        </w:rPr>
        <w:t>הזכויות</w:t>
      </w:r>
      <w:r w:rsidRPr="009353CA">
        <w:rPr>
          <w:rFonts w:ascii="Century" w:hAnsi="Century"/>
          <w:sz w:val="22"/>
          <w:rtl/>
        </w:rPr>
        <w:t xml:space="preserve"> </w:t>
      </w:r>
      <w:r w:rsidRPr="009353CA">
        <w:rPr>
          <w:rFonts w:ascii="Century" w:hAnsi="Century" w:hint="eastAsia"/>
          <w:sz w:val="22"/>
          <w:rtl/>
        </w:rPr>
        <w:t>כאמור</w:t>
      </w:r>
      <w:r w:rsidRPr="009353CA">
        <w:rPr>
          <w:rFonts w:ascii="Century" w:hAnsi="Century"/>
          <w:sz w:val="22"/>
          <w:rtl/>
        </w:rPr>
        <w:t xml:space="preserve"> </w:t>
      </w:r>
      <w:r w:rsidRPr="009353CA">
        <w:rPr>
          <w:rFonts w:ascii="Century" w:hAnsi="Century" w:hint="eastAsia"/>
          <w:sz w:val="22"/>
          <w:rtl/>
        </w:rPr>
        <w:t>לבין</w:t>
      </w:r>
      <w:r w:rsidRPr="009353CA">
        <w:rPr>
          <w:rFonts w:ascii="Century" w:hAnsi="Century"/>
          <w:sz w:val="22"/>
          <w:rtl/>
        </w:rPr>
        <w:t xml:space="preserve"> </w:t>
      </w:r>
      <w:r w:rsidRPr="009353CA">
        <w:rPr>
          <w:rFonts w:ascii="Century" w:hAnsi="Century" w:hint="eastAsia"/>
          <w:sz w:val="22"/>
          <w:rtl/>
        </w:rPr>
        <w:t>רצונם</w:t>
      </w:r>
      <w:r w:rsidRPr="009353CA">
        <w:rPr>
          <w:rFonts w:ascii="Century" w:hAnsi="Century"/>
          <w:sz w:val="22"/>
          <w:rtl/>
        </w:rPr>
        <w:t xml:space="preserve"> </w:t>
      </w:r>
      <w:r w:rsidRPr="009353CA">
        <w:rPr>
          <w:rFonts w:ascii="Century" w:hAnsi="Century" w:hint="eastAsia"/>
          <w:sz w:val="22"/>
          <w:rtl/>
        </w:rPr>
        <w:t>הטיפוסי</w:t>
      </w:r>
      <w:r w:rsidRPr="009353CA">
        <w:rPr>
          <w:rFonts w:ascii="Century" w:hAnsi="Century"/>
          <w:sz w:val="22"/>
          <w:rtl/>
        </w:rPr>
        <w:t xml:space="preserve"> </w:t>
      </w:r>
      <w:r w:rsidRPr="009353CA">
        <w:rPr>
          <w:rFonts w:ascii="Century" w:hAnsi="Century" w:hint="eastAsia"/>
          <w:sz w:val="22"/>
          <w:rtl/>
        </w:rPr>
        <w:t>והשכיח</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בני</w:t>
      </w:r>
      <w:r w:rsidRPr="009353CA">
        <w:rPr>
          <w:rFonts w:ascii="Century" w:hAnsi="Century"/>
          <w:sz w:val="22"/>
          <w:rtl/>
        </w:rPr>
        <w:t xml:space="preserve"> </w:t>
      </w:r>
      <w:r w:rsidRPr="009353CA">
        <w:rPr>
          <w:rFonts w:ascii="Century" w:hAnsi="Century" w:hint="eastAsia"/>
          <w:sz w:val="22"/>
          <w:rtl/>
        </w:rPr>
        <w:t>הזוג</w:t>
      </w:r>
      <w:r w:rsidRPr="009353CA">
        <w:rPr>
          <w:rFonts w:ascii="Century" w:hAnsi="Century"/>
          <w:sz w:val="22"/>
          <w:rtl/>
        </w:rPr>
        <w:t xml:space="preserve"> </w:t>
      </w:r>
      <w:r w:rsidRPr="009353CA">
        <w:rPr>
          <w:rFonts w:ascii="Century" w:hAnsi="Century" w:hint="eastAsia"/>
          <w:sz w:val="22"/>
          <w:rtl/>
        </w:rPr>
        <w:t>הנישאים</w:t>
      </w:r>
      <w:r w:rsidRPr="009353CA">
        <w:rPr>
          <w:rFonts w:ascii="Century" w:hAnsi="Century"/>
          <w:sz w:val="22"/>
          <w:rtl/>
        </w:rPr>
        <w:t xml:space="preserve"> </w:t>
      </w:r>
      <w:r w:rsidRPr="009353CA">
        <w:rPr>
          <w:rFonts w:ascii="Century" w:hAnsi="Century" w:hint="eastAsia"/>
          <w:sz w:val="22"/>
          <w:rtl/>
        </w:rPr>
        <w:t>במצב</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חוסר</w:t>
      </w:r>
      <w:r w:rsidRPr="009353CA">
        <w:rPr>
          <w:rFonts w:ascii="Century" w:hAnsi="Century"/>
          <w:sz w:val="22"/>
          <w:rtl/>
        </w:rPr>
        <w:t xml:space="preserve"> </w:t>
      </w:r>
      <w:r w:rsidRPr="009353CA">
        <w:rPr>
          <w:rFonts w:ascii="Century" w:hAnsi="Century" w:hint="eastAsia"/>
          <w:sz w:val="22"/>
          <w:rtl/>
        </w:rPr>
        <w:t>שוויון</w:t>
      </w:r>
      <w:r w:rsidRPr="009353CA">
        <w:rPr>
          <w:rFonts w:ascii="Century" w:hAnsi="Century"/>
          <w:sz w:val="22"/>
          <w:rtl/>
        </w:rPr>
        <w:t xml:space="preserve"> </w:t>
      </w:r>
      <w:r w:rsidRPr="009353CA">
        <w:rPr>
          <w:rFonts w:ascii="Century" w:hAnsi="Century" w:hint="eastAsia"/>
          <w:sz w:val="22"/>
          <w:rtl/>
        </w:rPr>
        <w:t>רכושי</w:t>
      </w:r>
      <w:r w:rsidRPr="009353CA">
        <w:rPr>
          <w:rFonts w:ascii="Century" w:hAnsi="Century" w:hint="cs"/>
          <w:sz w:val="22"/>
          <w:rtl/>
        </w:rPr>
        <w:t xml:space="preserve">; (5) את </w:t>
      </w:r>
      <w:r w:rsidRPr="009353CA">
        <w:rPr>
          <w:rFonts w:ascii="Century" w:hAnsi="Century" w:hint="eastAsia"/>
          <w:sz w:val="22"/>
          <w:rtl/>
        </w:rPr>
        <w:t>פועלה</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cs"/>
          <w:sz w:val="22"/>
          <w:rtl/>
        </w:rPr>
        <w:t>דוקטרינת</w:t>
      </w:r>
      <w:r w:rsidRPr="009353CA">
        <w:rPr>
          <w:rFonts w:ascii="Century" w:hAnsi="Century"/>
          <w:sz w:val="22"/>
          <w:rtl/>
        </w:rPr>
        <w:t xml:space="preserve"> </w:t>
      </w:r>
      <w:r w:rsidRPr="009353CA">
        <w:rPr>
          <w:rFonts w:ascii="Century" w:hAnsi="Century" w:hint="eastAsia"/>
          <w:sz w:val="22"/>
          <w:rtl/>
        </w:rPr>
        <w:t>השיתוף</w:t>
      </w:r>
      <w:r w:rsidRPr="009353CA">
        <w:rPr>
          <w:rFonts w:ascii="Century" w:hAnsi="Century"/>
          <w:sz w:val="22"/>
          <w:rtl/>
        </w:rPr>
        <w:t xml:space="preserve"> </w:t>
      </w:r>
      <w:r w:rsidRPr="009353CA">
        <w:rPr>
          <w:rFonts w:ascii="Century" w:hAnsi="Century" w:hint="eastAsia"/>
          <w:sz w:val="22"/>
          <w:rtl/>
        </w:rPr>
        <w:t>הספציפי</w:t>
      </w:r>
      <w:r w:rsidRPr="009353CA">
        <w:rPr>
          <w:rFonts w:ascii="Century" w:hAnsi="Century"/>
          <w:sz w:val="22"/>
          <w:rtl/>
        </w:rPr>
        <w:t xml:space="preserve"> </w:t>
      </w:r>
      <w:r w:rsidRPr="009353CA">
        <w:rPr>
          <w:rFonts w:ascii="Century" w:hAnsi="Century" w:hint="eastAsia"/>
          <w:sz w:val="22"/>
          <w:rtl/>
        </w:rPr>
        <w:t>כ</w:t>
      </w:r>
      <w:r w:rsidRPr="009353CA">
        <w:rPr>
          <w:rFonts w:ascii="Century" w:hAnsi="Century"/>
          <w:sz w:val="22"/>
          <w:rtl/>
        </w:rPr>
        <w:t>"</w:t>
      </w:r>
      <w:r w:rsidRPr="009353CA">
        <w:rPr>
          <w:rFonts w:ascii="Century" w:hAnsi="Century" w:hint="eastAsia"/>
          <w:sz w:val="22"/>
          <w:rtl/>
        </w:rPr>
        <w:t>מלכודת</w:t>
      </w:r>
      <w:r w:rsidRPr="009353CA">
        <w:rPr>
          <w:rFonts w:ascii="Century" w:hAnsi="Century"/>
          <w:sz w:val="22"/>
          <w:rtl/>
        </w:rPr>
        <w:t xml:space="preserve"> </w:t>
      </w:r>
      <w:r w:rsidRPr="009353CA">
        <w:rPr>
          <w:rFonts w:ascii="Century" w:hAnsi="Century" w:hint="eastAsia"/>
          <w:sz w:val="22"/>
          <w:rtl/>
        </w:rPr>
        <w:t>קניין</w:t>
      </w:r>
      <w:r w:rsidRPr="009353CA">
        <w:rPr>
          <w:rFonts w:ascii="Century" w:hAnsi="Century"/>
          <w:sz w:val="22"/>
          <w:rtl/>
        </w:rPr>
        <w:t xml:space="preserve">" </w:t>
      </w:r>
      <w:r w:rsidRPr="009353CA">
        <w:rPr>
          <w:rFonts w:ascii="Century" w:hAnsi="Century" w:hint="eastAsia"/>
          <w:sz w:val="22"/>
          <w:rtl/>
        </w:rPr>
        <w:t>עבור</w:t>
      </w:r>
      <w:r w:rsidRPr="009353CA">
        <w:rPr>
          <w:rFonts w:ascii="Century" w:hAnsi="Century"/>
          <w:sz w:val="22"/>
          <w:rtl/>
        </w:rPr>
        <w:t xml:space="preserve"> </w:t>
      </w:r>
      <w:r w:rsidRPr="009353CA">
        <w:rPr>
          <w:rFonts w:ascii="Century" w:hAnsi="Century" w:hint="eastAsia"/>
          <w:sz w:val="22"/>
          <w:rtl/>
        </w:rPr>
        <w:t>בני</w:t>
      </w:r>
      <w:r w:rsidRPr="009353CA">
        <w:rPr>
          <w:rFonts w:ascii="Century" w:hAnsi="Century"/>
          <w:sz w:val="22"/>
          <w:rtl/>
        </w:rPr>
        <w:t xml:space="preserve"> </w:t>
      </w:r>
      <w:r w:rsidRPr="009353CA">
        <w:rPr>
          <w:rFonts w:ascii="Century" w:hAnsi="Century" w:hint="eastAsia"/>
          <w:sz w:val="22"/>
          <w:rtl/>
        </w:rPr>
        <w:t>הזוג</w:t>
      </w:r>
      <w:r w:rsidRPr="009353CA">
        <w:rPr>
          <w:rFonts w:ascii="Century" w:hAnsi="Century"/>
          <w:sz w:val="22"/>
          <w:rtl/>
        </w:rPr>
        <w:t xml:space="preserve"> </w:t>
      </w:r>
      <w:r w:rsidRPr="009353CA">
        <w:rPr>
          <w:rFonts w:ascii="Century" w:hAnsi="Century" w:hint="eastAsia"/>
          <w:sz w:val="22"/>
          <w:rtl/>
        </w:rPr>
        <w:t>הנישאים</w:t>
      </w:r>
      <w:r w:rsidRPr="009353CA">
        <w:rPr>
          <w:rFonts w:ascii="Century" w:hAnsi="Century"/>
          <w:sz w:val="22"/>
          <w:rtl/>
        </w:rPr>
        <w:t xml:space="preserve"> </w:t>
      </w:r>
      <w:r w:rsidRPr="009353CA">
        <w:rPr>
          <w:rFonts w:ascii="Century" w:hAnsi="Century" w:hint="eastAsia"/>
          <w:sz w:val="22"/>
          <w:rtl/>
        </w:rPr>
        <w:t>והוריהם</w:t>
      </w:r>
      <w:r w:rsidRPr="009353CA">
        <w:rPr>
          <w:rFonts w:ascii="Century" w:hAnsi="Century"/>
          <w:sz w:val="22"/>
          <w:rtl/>
        </w:rPr>
        <w:t xml:space="preserve">, </w:t>
      </w:r>
      <w:r w:rsidRPr="009353CA">
        <w:rPr>
          <w:rFonts w:ascii="Century" w:hAnsi="Century" w:hint="eastAsia"/>
          <w:sz w:val="22"/>
          <w:rtl/>
        </w:rPr>
        <w:t>שאינם</w:t>
      </w:r>
      <w:r w:rsidRPr="009353CA">
        <w:rPr>
          <w:rFonts w:ascii="Century" w:hAnsi="Century"/>
          <w:sz w:val="22"/>
          <w:rtl/>
        </w:rPr>
        <w:t xml:space="preserve"> </w:t>
      </w:r>
      <w:r w:rsidRPr="009353CA">
        <w:rPr>
          <w:rFonts w:ascii="Century" w:hAnsi="Century" w:hint="eastAsia"/>
          <w:sz w:val="22"/>
          <w:rtl/>
        </w:rPr>
        <w:t>מודעים</w:t>
      </w:r>
      <w:r w:rsidRPr="009353CA">
        <w:rPr>
          <w:rFonts w:ascii="Century" w:hAnsi="Century"/>
          <w:sz w:val="22"/>
          <w:rtl/>
        </w:rPr>
        <w:t xml:space="preserve"> </w:t>
      </w:r>
      <w:r w:rsidRPr="009353CA">
        <w:rPr>
          <w:rFonts w:ascii="Century" w:hAnsi="Century" w:hint="eastAsia"/>
          <w:sz w:val="22"/>
          <w:rtl/>
        </w:rPr>
        <w:t>ל</w:t>
      </w:r>
      <w:r w:rsidRPr="009353CA">
        <w:rPr>
          <w:rFonts w:ascii="Century" w:hAnsi="Century" w:hint="cs"/>
          <w:sz w:val="22"/>
          <w:rtl/>
        </w:rPr>
        <w:t>קיומ</w:t>
      </w:r>
      <w:r w:rsidRPr="009353CA">
        <w:rPr>
          <w:rFonts w:ascii="Century" w:hAnsi="Century" w:hint="eastAsia"/>
          <w:sz w:val="22"/>
          <w:rtl/>
        </w:rPr>
        <w:t>ה</w:t>
      </w:r>
      <w:r w:rsidRPr="009353CA">
        <w:rPr>
          <w:rFonts w:ascii="Century" w:hAnsi="Century" w:hint="cs"/>
          <w:sz w:val="22"/>
          <w:rtl/>
        </w:rPr>
        <w:t xml:space="preserve"> ולכלליה; (6) את ה</w:t>
      </w:r>
      <w:r w:rsidRPr="009353CA">
        <w:rPr>
          <w:rFonts w:ascii="Century" w:hAnsi="Century" w:hint="eastAsia"/>
          <w:sz w:val="22"/>
          <w:rtl/>
        </w:rPr>
        <w:t>קשיים</w:t>
      </w:r>
      <w:r w:rsidRPr="009353CA">
        <w:rPr>
          <w:rFonts w:ascii="Century" w:hAnsi="Century"/>
          <w:sz w:val="22"/>
          <w:rtl/>
        </w:rPr>
        <w:t xml:space="preserve"> </w:t>
      </w:r>
      <w:r w:rsidRPr="009353CA">
        <w:rPr>
          <w:rFonts w:ascii="Century" w:hAnsi="Century" w:hint="cs"/>
          <w:sz w:val="22"/>
          <w:rtl/>
        </w:rPr>
        <w:t>ה</w:t>
      </w:r>
      <w:r w:rsidRPr="009353CA">
        <w:rPr>
          <w:rFonts w:ascii="Century" w:hAnsi="Century" w:hint="eastAsia"/>
          <w:sz w:val="22"/>
          <w:rtl/>
        </w:rPr>
        <w:t>מעשיים</w:t>
      </w:r>
      <w:r w:rsidRPr="009353CA">
        <w:rPr>
          <w:rFonts w:ascii="Century" w:hAnsi="Century"/>
          <w:sz w:val="22"/>
          <w:rtl/>
        </w:rPr>
        <w:t xml:space="preserve"> </w:t>
      </w:r>
      <w:r w:rsidRPr="009353CA">
        <w:rPr>
          <w:rFonts w:ascii="Century" w:hAnsi="Century" w:hint="eastAsia"/>
          <w:sz w:val="22"/>
          <w:rtl/>
        </w:rPr>
        <w:t>ועלויות</w:t>
      </w:r>
      <w:r w:rsidRPr="009353CA">
        <w:rPr>
          <w:rFonts w:ascii="Century" w:hAnsi="Century"/>
          <w:sz w:val="22"/>
          <w:rtl/>
        </w:rPr>
        <w:t xml:space="preserve"> </w:t>
      </w:r>
      <w:r w:rsidRPr="009353CA">
        <w:rPr>
          <w:rFonts w:ascii="Century" w:hAnsi="Century" w:hint="cs"/>
          <w:sz w:val="22"/>
          <w:rtl/>
        </w:rPr>
        <w:t>ה</w:t>
      </w:r>
      <w:r w:rsidRPr="009353CA">
        <w:rPr>
          <w:rFonts w:ascii="Century" w:hAnsi="Century" w:hint="eastAsia"/>
          <w:sz w:val="22"/>
          <w:rtl/>
        </w:rPr>
        <w:t>עסקה</w:t>
      </w:r>
      <w:r w:rsidRPr="009353CA">
        <w:rPr>
          <w:rFonts w:ascii="Century" w:hAnsi="Century"/>
          <w:sz w:val="22"/>
          <w:rtl/>
        </w:rPr>
        <w:t xml:space="preserve"> </w:t>
      </w:r>
      <w:r w:rsidRPr="009353CA">
        <w:rPr>
          <w:rFonts w:ascii="Century" w:hAnsi="Century" w:hint="cs"/>
          <w:sz w:val="22"/>
          <w:rtl/>
        </w:rPr>
        <w:t>ה</w:t>
      </w:r>
      <w:r w:rsidRPr="009353CA">
        <w:rPr>
          <w:rFonts w:ascii="Century" w:hAnsi="Century" w:hint="eastAsia"/>
          <w:sz w:val="22"/>
          <w:rtl/>
        </w:rPr>
        <w:t>כבדות</w:t>
      </w:r>
      <w:r w:rsidRPr="009353CA">
        <w:rPr>
          <w:rFonts w:ascii="Century" w:hAnsi="Century"/>
          <w:sz w:val="22"/>
          <w:rtl/>
        </w:rPr>
        <w:t xml:space="preserve">, </w:t>
      </w:r>
      <w:r w:rsidRPr="009353CA">
        <w:rPr>
          <w:rFonts w:ascii="Century" w:hAnsi="Century" w:hint="eastAsia"/>
          <w:sz w:val="22"/>
          <w:rtl/>
        </w:rPr>
        <w:t>במובנן</w:t>
      </w:r>
      <w:r w:rsidRPr="009353CA">
        <w:rPr>
          <w:rFonts w:ascii="Century" w:hAnsi="Century"/>
          <w:sz w:val="22"/>
          <w:rtl/>
        </w:rPr>
        <w:t xml:space="preserve"> </w:t>
      </w:r>
      <w:r w:rsidRPr="009353CA">
        <w:rPr>
          <w:rFonts w:ascii="Century" w:hAnsi="Century" w:hint="eastAsia"/>
          <w:sz w:val="22"/>
          <w:rtl/>
        </w:rPr>
        <w:t>הרחב</w:t>
      </w:r>
      <w:r w:rsidRPr="009353CA">
        <w:rPr>
          <w:rFonts w:ascii="Century" w:hAnsi="Century"/>
          <w:sz w:val="22"/>
          <w:rtl/>
        </w:rPr>
        <w:t xml:space="preserve">, </w:t>
      </w:r>
      <w:r w:rsidRPr="009353CA">
        <w:rPr>
          <w:rFonts w:ascii="Century" w:hAnsi="Century" w:hint="eastAsia"/>
          <w:sz w:val="22"/>
          <w:rtl/>
        </w:rPr>
        <w:t>אשר</w:t>
      </w:r>
      <w:r w:rsidRPr="009353CA">
        <w:rPr>
          <w:rFonts w:ascii="Century" w:hAnsi="Century"/>
          <w:sz w:val="22"/>
          <w:rtl/>
        </w:rPr>
        <w:t xml:space="preserve"> </w:t>
      </w:r>
      <w:r w:rsidRPr="009353CA">
        <w:rPr>
          <w:rFonts w:ascii="Century" w:hAnsi="Century" w:hint="eastAsia"/>
          <w:sz w:val="22"/>
          <w:rtl/>
        </w:rPr>
        <w:t>נופלים</w:t>
      </w:r>
      <w:r w:rsidRPr="009353CA">
        <w:rPr>
          <w:rFonts w:ascii="Century" w:hAnsi="Century"/>
          <w:sz w:val="22"/>
          <w:rtl/>
        </w:rPr>
        <w:t xml:space="preserve"> </w:t>
      </w:r>
      <w:r w:rsidRPr="009353CA">
        <w:rPr>
          <w:rFonts w:ascii="Century" w:hAnsi="Century" w:hint="eastAsia"/>
          <w:sz w:val="22"/>
          <w:rtl/>
        </w:rPr>
        <w:t>על</w:t>
      </w:r>
      <w:r w:rsidRPr="009353CA">
        <w:rPr>
          <w:rFonts w:ascii="Century" w:hAnsi="Century"/>
          <w:sz w:val="22"/>
          <w:rtl/>
        </w:rPr>
        <w:t xml:space="preserve"> </w:t>
      </w:r>
      <w:r w:rsidRPr="009353CA">
        <w:rPr>
          <w:rFonts w:ascii="Century" w:hAnsi="Century" w:hint="eastAsia"/>
          <w:sz w:val="22"/>
          <w:rtl/>
        </w:rPr>
        <w:t>שכמו</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כל</w:t>
      </w:r>
      <w:r w:rsidRPr="009353CA">
        <w:rPr>
          <w:rFonts w:ascii="Century" w:hAnsi="Century"/>
          <w:sz w:val="22"/>
          <w:rtl/>
        </w:rPr>
        <w:t xml:space="preserve"> </w:t>
      </w:r>
      <w:r w:rsidRPr="009353CA">
        <w:rPr>
          <w:rFonts w:ascii="Century" w:hAnsi="Century" w:hint="eastAsia"/>
          <w:sz w:val="22"/>
          <w:rtl/>
        </w:rPr>
        <w:t>אחד</w:t>
      </w:r>
      <w:r w:rsidRPr="009353CA">
        <w:rPr>
          <w:rFonts w:ascii="Century" w:hAnsi="Century"/>
          <w:sz w:val="22"/>
          <w:rtl/>
        </w:rPr>
        <w:t xml:space="preserve"> </w:t>
      </w:r>
      <w:r w:rsidRPr="009353CA">
        <w:rPr>
          <w:rFonts w:ascii="Century" w:hAnsi="Century" w:hint="eastAsia"/>
          <w:sz w:val="22"/>
          <w:rtl/>
        </w:rPr>
        <w:t>מבני</w:t>
      </w:r>
      <w:r w:rsidRPr="009353CA">
        <w:rPr>
          <w:rFonts w:ascii="Century" w:hAnsi="Century"/>
          <w:sz w:val="22"/>
          <w:rtl/>
        </w:rPr>
        <w:t xml:space="preserve"> </w:t>
      </w:r>
      <w:r w:rsidRPr="009353CA">
        <w:rPr>
          <w:rFonts w:ascii="Century" w:hAnsi="Century" w:hint="eastAsia"/>
          <w:sz w:val="22"/>
          <w:rtl/>
        </w:rPr>
        <w:t>הזוג</w:t>
      </w:r>
      <w:r w:rsidRPr="009353CA">
        <w:rPr>
          <w:rFonts w:ascii="Century" w:hAnsi="Century"/>
          <w:sz w:val="22"/>
          <w:rtl/>
        </w:rPr>
        <w:t xml:space="preserve"> </w:t>
      </w:r>
      <w:r w:rsidRPr="009353CA">
        <w:rPr>
          <w:rFonts w:ascii="Century" w:hAnsi="Century" w:hint="eastAsia"/>
          <w:sz w:val="22"/>
          <w:rtl/>
        </w:rPr>
        <w:t>הנישאים</w:t>
      </w:r>
      <w:r w:rsidRPr="009353CA">
        <w:rPr>
          <w:rFonts w:ascii="Century" w:hAnsi="Century"/>
          <w:sz w:val="22"/>
          <w:rtl/>
        </w:rPr>
        <w:t xml:space="preserve"> </w:t>
      </w:r>
      <w:r w:rsidRPr="009353CA">
        <w:rPr>
          <w:rFonts w:ascii="Century" w:hAnsi="Century" w:hint="eastAsia"/>
          <w:sz w:val="22"/>
          <w:rtl/>
        </w:rPr>
        <w:t>במצב</w:t>
      </w:r>
      <w:r w:rsidRPr="009353CA">
        <w:rPr>
          <w:rFonts w:ascii="Century" w:hAnsi="Century"/>
          <w:sz w:val="22"/>
          <w:rtl/>
        </w:rPr>
        <w:t xml:space="preserve"> </w:t>
      </w:r>
      <w:r w:rsidRPr="009353CA">
        <w:rPr>
          <w:rFonts w:ascii="Century" w:hAnsi="Century" w:hint="eastAsia"/>
          <w:sz w:val="22"/>
          <w:rtl/>
        </w:rPr>
        <w:t>של</w:t>
      </w:r>
      <w:r w:rsidRPr="009353CA">
        <w:rPr>
          <w:rFonts w:ascii="Century" w:hAnsi="Century"/>
          <w:sz w:val="22"/>
          <w:rtl/>
        </w:rPr>
        <w:t xml:space="preserve"> </w:t>
      </w:r>
      <w:r w:rsidRPr="009353CA">
        <w:rPr>
          <w:rFonts w:ascii="Century" w:hAnsi="Century" w:hint="eastAsia"/>
          <w:sz w:val="22"/>
          <w:rtl/>
        </w:rPr>
        <w:t>חוסר</w:t>
      </w:r>
      <w:r w:rsidRPr="009353CA">
        <w:rPr>
          <w:rFonts w:ascii="Century" w:hAnsi="Century"/>
          <w:sz w:val="22"/>
          <w:rtl/>
        </w:rPr>
        <w:t xml:space="preserve"> </w:t>
      </w:r>
      <w:r w:rsidRPr="009353CA">
        <w:rPr>
          <w:rFonts w:ascii="Century" w:hAnsi="Century" w:hint="eastAsia"/>
          <w:sz w:val="22"/>
          <w:rtl/>
        </w:rPr>
        <w:t>שוויון</w:t>
      </w:r>
      <w:r w:rsidRPr="009353CA">
        <w:rPr>
          <w:rFonts w:ascii="Century" w:hAnsi="Century"/>
          <w:sz w:val="22"/>
          <w:rtl/>
        </w:rPr>
        <w:t xml:space="preserve"> </w:t>
      </w:r>
      <w:r w:rsidRPr="009353CA">
        <w:rPr>
          <w:rFonts w:ascii="Century" w:hAnsi="Century" w:hint="eastAsia"/>
          <w:sz w:val="22"/>
          <w:rtl/>
        </w:rPr>
        <w:t>רכושי</w:t>
      </w:r>
      <w:r w:rsidRPr="009353CA">
        <w:rPr>
          <w:rFonts w:ascii="Century" w:hAnsi="Century" w:hint="cs"/>
          <w:sz w:val="22"/>
          <w:rtl/>
        </w:rPr>
        <w:t>; וכן (7) את ה</w:t>
      </w:r>
      <w:r w:rsidRPr="009353CA">
        <w:rPr>
          <w:rFonts w:ascii="Century" w:hAnsi="Century" w:hint="eastAsia"/>
          <w:sz w:val="22"/>
          <w:rtl/>
        </w:rPr>
        <w:t>סתירה</w:t>
      </w:r>
      <w:r w:rsidRPr="009353CA">
        <w:rPr>
          <w:rFonts w:ascii="Century" w:hAnsi="Century"/>
          <w:sz w:val="22"/>
          <w:rtl/>
        </w:rPr>
        <w:t xml:space="preserve"> </w:t>
      </w:r>
      <w:r w:rsidRPr="009353CA">
        <w:rPr>
          <w:rFonts w:ascii="Century" w:hAnsi="Century" w:hint="eastAsia"/>
          <w:sz w:val="22"/>
          <w:rtl/>
        </w:rPr>
        <w:t>בין</w:t>
      </w:r>
      <w:r w:rsidRPr="009353CA">
        <w:rPr>
          <w:rFonts w:ascii="Century" w:hAnsi="Century"/>
          <w:sz w:val="22"/>
          <w:rtl/>
        </w:rPr>
        <w:t xml:space="preserve"> </w:t>
      </w:r>
      <w:r w:rsidRPr="009353CA">
        <w:rPr>
          <w:rFonts w:ascii="Century" w:hAnsi="Century" w:hint="cs"/>
          <w:sz w:val="22"/>
          <w:rtl/>
        </w:rPr>
        <w:t>דוקטרינת</w:t>
      </w:r>
      <w:r w:rsidRPr="009353CA">
        <w:rPr>
          <w:rFonts w:ascii="Century" w:hAnsi="Century"/>
          <w:sz w:val="22"/>
          <w:rtl/>
        </w:rPr>
        <w:t xml:space="preserve"> </w:t>
      </w:r>
      <w:r w:rsidRPr="009353CA">
        <w:rPr>
          <w:rFonts w:ascii="Century" w:hAnsi="Century" w:hint="eastAsia"/>
          <w:sz w:val="22"/>
          <w:rtl/>
        </w:rPr>
        <w:t>השיתוף</w:t>
      </w:r>
      <w:r w:rsidRPr="009353CA">
        <w:rPr>
          <w:rFonts w:ascii="Century" w:hAnsi="Century"/>
          <w:sz w:val="22"/>
          <w:rtl/>
        </w:rPr>
        <w:t xml:space="preserve"> </w:t>
      </w:r>
      <w:r w:rsidRPr="009353CA">
        <w:rPr>
          <w:rFonts w:ascii="Century" w:hAnsi="Century" w:hint="eastAsia"/>
          <w:sz w:val="22"/>
          <w:rtl/>
        </w:rPr>
        <w:t>הספציפי</w:t>
      </w:r>
      <w:r w:rsidRPr="009353CA">
        <w:rPr>
          <w:rFonts w:ascii="Century" w:hAnsi="Century"/>
          <w:sz w:val="22"/>
          <w:rtl/>
        </w:rPr>
        <w:t xml:space="preserve"> </w:t>
      </w:r>
      <w:r w:rsidRPr="009353CA">
        <w:rPr>
          <w:rFonts w:ascii="Century" w:hAnsi="Century" w:hint="eastAsia"/>
          <w:sz w:val="22"/>
          <w:rtl/>
        </w:rPr>
        <w:t>לבין</w:t>
      </w:r>
      <w:r w:rsidRPr="009353CA">
        <w:rPr>
          <w:rFonts w:ascii="Century" w:hAnsi="Century"/>
          <w:sz w:val="22"/>
          <w:rtl/>
        </w:rPr>
        <w:t xml:space="preserve"> </w:t>
      </w:r>
      <w:r w:rsidRPr="009353CA">
        <w:rPr>
          <w:rFonts w:ascii="Century" w:hAnsi="Century" w:hint="eastAsia"/>
          <w:sz w:val="22"/>
          <w:rtl/>
        </w:rPr>
        <w:t>דרישות</w:t>
      </w:r>
      <w:r w:rsidRPr="009353CA">
        <w:rPr>
          <w:rFonts w:ascii="Century" w:hAnsi="Century"/>
          <w:sz w:val="22"/>
          <w:rtl/>
        </w:rPr>
        <w:t xml:space="preserve"> </w:t>
      </w:r>
      <w:r w:rsidRPr="009353CA">
        <w:rPr>
          <w:rFonts w:ascii="Century" w:hAnsi="Century" w:hint="eastAsia"/>
          <w:sz w:val="22"/>
          <w:rtl/>
        </w:rPr>
        <w:t>הכתב</w:t>
      </w:r>
      <w:r w:rsidRPr="009353CA">
        <w:rPr>
          <w:rFonts w:ascii="Century" w:hAnsi="Century"/>
          <w:sz w:val="22"/>
          <w:rtl/>
        </w:rPr>
        <w:t xml:space="preserve"> </w:t>
      </w:r>
      <w:r w:rsidRPr="009353CA">
        <w:rPr>
          <w:rFonts w:ascii="Century" w:hAnsi="Century" w:hint="eastAsia"/>
          <w:sz w:val="22"/>
          <w:rtl/>
        </w:rPr>
        <w:t>שבחוק</w:t>
      </w:r>
      <w:r w:rsidRPr="009353CA">
        <w:rPr>
          <w:rFonts w:ascii="Century" w:hAnsi="Century"/>
          <w:sz w:val="22"/>
          <w:rtl/>
        </w:rPr>
        <w:t xml:space="preserve"> </w:t>
      </w:r>
      <w:r w:rsidRPr="009353CA">
        <w:rPr>
          <w:rFonts w:ascii="Century" w:hAnsi="Century" w:hint="eastAsia"/>
          <w:sz w:val="22"/>
          <w:rtl/>
        </w:rPr>
        <w:t>יחסי</w:t>
      </w:r>
      <w:r w:rsidRPr="009353CA">
        <w:rPr>
          <w:rFonts w:ascii="Century" w:hAnsi="Century"/>
          <w:sz w:val="22"/>
          <w:rtl/>
        </w:rPr>
        <w:t xml:space="preserve"> </w:t>
      </w:r>
      <w:r w:rsidRPr="009353CA">
        <w:rPr>
          <w:rFonts w:ascii="Century" w:hAnsi="Century" w:hint="eastAsia"/>
          <w:sz w:val="22"/>
          <w:rtl/>
        </w:rPr>
        <w:t>ממון</w:t>
      </w:r>
      <w:r w:rsidRPr="009353CA">
        <w:rPr>
          <w:rFonts w:ascii="Century" w:hAnsi="Century"/>
          <w:sz w:val="22"/>
          <w:rtl/>
        </w:rPr>
        <w:t xml:space="preserve"> </w:t>
      </w:r>
      <w:r w:rsidRPr="009353CA">
        <w:rPr>
          <w:rFonts w:ascii="Century" w:hAnsi="Century" w:hint="eastAsia"/>
          <w:sz w:val="22"/>
          <w:rtl/>
        </w:rPr>
        <w:t>ובסעיף</w:t>
      </w:r>
      <w:r w:rsidRPr="009353CA">
        <w:rPr>
          <w:rFonts w:ascii="Century" w:hAnsi="Century"/>
          <w:sz w:val="22"/>
          <w:rtl/>
        </w:rPr>
        <w:t xml:space="preserve"> 8 </w:t>
      </w:r>
      <w:r w:rsidRPr="009353CA">
        <w:rPr>
          <w:rFonts w:ascii="Century" w:hAnsi="Century" w:hint="eastAsia"/>
          <w:sz w:val="22"/>
          <w:rtl/>
        </w:rPr>
        <w:t>לחוק</w:t>
      </w:r>
      <w:r w:rsidRPr="009353CA">
        <w:rPr>
          <w:rFonts w:ascii="Century" w:hAnsi="Century"/>
          <w:sz w:val="22"/>
          <w:rtl/>
        </w:rPr>
        <w:t xml:space="preserve"> </w:t>
      </w:r>
      <w:r w:rsidRPr="009353CA">
        <w:rPr>
          <w:rFonts w:ascii="Century" w:hAnsi="Century" w:hint="eastAsia"/>
          <w:sz w:val="22"/>
          <w:rtl/>
        </w:rPr>
        <w:t>המקרקעין</w:t>
      </w:r>
      <w:r w:rsidRPr="009353CA">
        <w:rPr>
          <w:rFonts w:ascii="Century" w:hAnsi="Century"/>
          <w:sz w:val="22"/>
          <w:rtl/>
        </w:rPr>
        <w:t xml:space="preserve">, </w:t>
      </w:r>
      <w:r w:rsidRPr="009353CA">
        <w:rPr>
          <w:rFonts w:ascii="Century" w:hAnsi="Century" w:hint="eastAsia"/>
          <w:sz w:val="22"/>
          <w:rtl/>
        </w:rPr>
        <w:t>התשכ</w:t>
      </w:r>
      <w:r w:rsidRPr="009353CA">
        <w:rPr>
          <w:rFonts w:ascii="Century" w:hAnsi="Century"/>
          <w:sz w:val="22"/>
          <w:rtl/>
        </w:rPr>
        <w:t>"</w:t>
      </w:r>
      <w:r w:rsidRPr="009353CA">
        <w:rPr>
          <w:rFonts w:ascii="Century" w:hAnsi="Century" w:hint="eastAsia"/>
          <w:sz w:val="22"/>
          <w:rtl/>
        </w:rPr>
        <w:t>ט</w:t>
      </w:r>
      <w:r w:rsidRPr="009353CA">
        <w:rPr>
          <w:rFonts w:ascii="Century" w:hAnsi="Century"/>
          <w:sz w:val="22"/>
          <w:rtl/>
        </w:rPr>
        <w:t>-1969</w:t>
      </w:r>
      <w:r w:rsidRPr="009353CA">
        <w:rPr>
          <w:rFonts w:ascii="Century" w:hAnsi="Century" w:hint="cs"/>
          <w:sz w:val="22"/>
          <w:rtl/>
        </w:rPr>
        <w:t xml:space="preserve"> </w:t>
      </w:r>
      <w:r w:rsidRPr="009353CA">
        <w:rPr>
          <w:rFonts w:hint="cs"/>
          <w:rtl/>
        </w:rPr>
        <w:t xml:space="preserve">(להלן: </w:t>
      </w:r>
      <w:r w:rsidRPr="009353CA">
        <w:rPr>
          <w:rFonts w:ascii="Century" w:hAnsi="Century" w:cs="Miriam" w:hint="cs"/>
          <w:b/>
          <w:spacing w:val="0"/>
          <w:sz w:val="22"/>
          <w:szCs w:val="24"/>
          <w:rtl/>
        </w:rPr>
        <w:t>חוק המקרקעין</w:t>
      </w:r>
      <w:r w:rsidRPr="009353CA">
        <w:rPr>
          <w:rFonts w:hint="cs"/>
          <w:rtl/>
        </w:rPr>
        <w:t xml:space="preserve">). כפי שכבר ציינתי, הפה שקבע הוא הפה שיכול לשנות: שינוי ההלכה המוצע על ידי מתאפשר בשל היותה של דוקטרינת השיתוף הספציפי חלק מהמשפט המקובל הישראלי (ראו: אהרן ברק </w:t>
      </w:r>
      <w:r w:rsidRPr="009353CA">
        <w:rPr>
          <w:rFonts w:ascii="Century" w:hAnsi="Century" w:cs="Miriam" w:hint="cs"/>
          <w:b/>
          <w:spacing w:val="0"/>
          <w:sz w:val="22"/>
          <w:szCs w:val="24"/>
          <w:rtl/>
        </w:rPr>
        <w:t>מבחר כתבים</w:t>
      </w:r>
      <w:r w:rsidRPr="009353CA">
        <w:rPr>
          <w:rFonts w:hint="cs"/>
          <w:rtl/>
        </w:rPr>
        <w:t xml:space="preserve"> א </w:t>
      </w:r>
      <w:r>
        <w:rPr>
          <w:rFonts w:hint="cs"/>
          <w:rtl/>
        </w:rPr>
        <w:t>51-48</w:t>
      </w:r>
      <w:r w:rsidRPr="009353CA">
        <w:rPr>
          <w:rFonts w:hint="cs"/>
          <w:rtl/>
        </w:rPr>
        <w:t xml:space="preserve"> (2000)) </w:t>
      </w:r>
      <w:r w:rsidRPr="009353CA">
        <w:rPr>
          <w:rtl/>
        </w:rPr>
        <w:t>–</w:t>
      </w:r>
      <w:r w:rsidRPr="009353CA">
        <w:rPr>
          <w:rFonts w:hint="cs"/>
          <w:rtl/>
        </w:rPr>
        <w:t xml:space="preserve"> דוקטרינה פסיקתית, מעשה ידיו של בית משפט זה, שאינה כתובה בחיקוק ושניתן להעמידה לבחינה מחודשת ולשנותה על ידי קביעת הלכה שיפוטית חדשה (ראו: </w:t>
      </w:r>
      <w:r w:rsidRPr="009353CA">
        <w:rPr>
          <w:rFonts w:hint="eastAsia"/>
          <w:rtl/>
        </w:rPr>
        <w:t>אהרן</w:t>
      </w:r>
      <w:r w:rsidRPr="009353CA">
        <w:rPr>
          <w:rtl/>
        </w:rPr>
        <w:t xml:space="preserve"> </w:t>
      </w:r>
      <w:r w:rsidRPr="009353CA">
        <w:rPr>
          <w:rFonts w:hint="eastAsia"/>
          <w:rtl/>
        </w:rPr>
        <w:t>ברק</w:t>
      </w:r>
      <w:r w:rsidRPr="009353CA">
        <w:rPr>
          <w:rtl/>
        </w:rPr>
        <w:t xml:space="preserve"> </w:t>
      </w:r>
      <w:r w:rsidRPr="009353CA">
        <w:rPr>
          <w:rFonts w:ascii="Century" w:hAnsi="Century" w:cs="Miriam" w:hint="eastAsia"/>
          <w:b/>
          <w:spacing w:val="0"/>
          <w:sz w:val="22"/>
          <w:szCs w:val="24"/>
          <w:rtl/>
        </w:rPr>
        <w:t>שופט</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בחברה</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דמוקרטית</w:t>
      </w:r>
      <w:r w:rsidRPr="009353CA">
        <w:rPr>
          <w:rFonts w:ascii="Century" w:hAnsi="Century" w:cs="Miriam"/>
          <w:b/>
          <w:spacing w:val="0"/>
          <w:sz w:val="22"/>
          <w:szCs w:val="24"/>
          <w:rtl/>
        </w:rPr>
        <w:t xml:space="preserve"> </w:t>
      </w:r>
      <w:r w:rsidRPr="009353CA">
        <w:rPr>
          <w:rtl/>
        </w:rPr>
        <w:t>247-240 (2004)</w:t>
      </w:r>
      <w:r w:rsidRPr="009353CA">
        <w:rPr>
          <w:rFonts w:hint="cs"/>
          <w:rtl/>
        </w:rPr>
        <w:t xml:space="preserve">; </w:t>
      </w:r>
      <w:r w:rsidRPr="009353CA">
        <w:rPr>
          <w:rFonts w:hint="eastAsia"/>
          <w:rtl/>
        </w:rPr>
        <w:t>בע</w:t>
      </w:r>
      <w:r w:rsidRPr="009353CA">
        <w:rPr>
          <w:rtl/>
        </w:rPr>
        <w:t>"</w:t>
      </w:r>
      <w:r w:rsidRPr="009353CA">
        <w:rPr>
          <w:rFonts w:hint="eastAsia"/>
          <w:rtl/>
        </w:rPr>
        <w:t>מ</w:t>
      </w:r>
      <w:r w:rsidRPr="009353CA">
        <w:rPr>
          <w:rtl/>
        </w:rPr>
        <w:t xml:space="preserve"> 919/15 </w:t>
      </w:r>
      <w:r w:rsidRPr="009353CA">
        <w:rPr>
          <w:rFonts w:ascii="Century" w:hAnsi="Century" w:cs="Miriam" w:hint="eastAsia"/>
          <w:b/>
          <w:spacing w:val="0"/>
          <w:sz w:val="22"/>
          <w:szCs w:val="24"/>
          <w:rtl/>
        </w:rPr>
        <w:t>פלוני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פלונית</w:t>
      </w:r>
      <w:r w:rsidRPr="009353CA">
        <w:rPr>
          <w:rFonts w:ascii="Century" w:hAnsi="Century" w:hint="cs"/>
          <w:sz w:val="22"/>
          <w:rtl/>
        </w:rPr>
        <w:t>, פסקאות 144-143</w:t>
      </w:r>
      <w:r w:rsidRPr="009353CA">
        <w:rPr>
          <w:rtl/>
        </w:rPr>
        <w:t xml:space="preserve"> (19.</w:t>
      </w:r>
      <w:r w:rsidRPr="009353CA">
        <w:rPr>
          <w:rFonts w:hint="cs"/>
          <w:rtl/>
        </w:rPr>
        <w:t>7</w:t>
      </w:r>
      <w:r w:rsidRPr="009353CA">
        <w:rPr>
          <w:rtl/>
        </w:rPr>
        <w:t>.2017)</w:t>
      </w:r>
      <w:r w:rsidRPr="009353CA">
        <w:rPr>
          <w:rFonts w:hint="cs"/>
          <w:rtl/>
        </w:rPr>
        <w:t>).</w:t>
      </w:r>
    </w:p>
    <w:p w:rsidR="00917458" w:rsidRPr="009353CA" w:rsidRDefault="00917458" w:rsidP="00917458">
      <w:pPr>
        <w:pStyle w:val="Ruller41"/>
        <w:rPr>
          <w:rtl/>
        </w:rPr>
      </w:pPr>
    </w:p>
    <w:p w:rsidR="00917458" w:rsidRPr="009353CA" w:rsidRDefault="00917458" w:rsidP="00917458">
      <w:pPr>
        <w:pStyle w:val="Ruller4"/>
      </w:pPr>
      <w:r w:rsidRPr="009353CA">
        <w:rPr>
          <w:rtl/>
        </w:rPr>
        <w:tab/>
      </w:r>
      <w:r w:rsidRPr="009353CA">
        <w:rPr>
          <w:rFonts w:hint="cs"/>
          <w:rtl/>
        </w:rPr>
        <w:t xml:space="preserve">בטרם אומר את אשר עלי לומר עם פניי לעתיד, אפרט את עמדתי ביחס לפסק דיננו אשר ניתן בהליך הקודם בבג"ץ 4602/13 (להלן: </w:t>
      </w:r>
      <w:r w:rsidRPr="009353CA">
        <w:rPr>
          <w:rFonts w:ascii="Century" w:hAnsi="Century" w:cs="Miriam" w:hint="cs"/>
          <w:b/>
          <w:spacing w:val="0"/>
          <w:sz w:val="22"/>
          <w:szCs w:val="24"/>
          <w:rtl/>
        </w:rPr>
        <w:t>ההליך הקודם</w:t>
      </w:r>
      <w:r w:rsidRPr="009353CA">
        <w:rPr>
          <w:rFonts w:hint="cs"/>
          <w:rtl/>
        </w:rPr>
        <w:t xml:space="preserve">) ולמקרה הפרטיקולרי אשר נדון והוכרע באותו פסק דין (להלן: </w:t>
      </w:r>
      <w:r w:rsidRPr="009353CA">
        <w:rPr>
          <w:rFonts w:ascii="Century" w:hAnsi="Century" w:cs="Miriam" w:hint="cs"/>
          <w:b/>
          <w:spacing w:val="0"/>
          <w:sz w:val="22"/>
          <w:szCs w:val="24"/>
          <w:rtl/>
        </w:rPr>
        <w:t>פסק הדין בהליך הקודם</w:t>
      </w:r>
      <w:r w:rsidRPr="009353CA">
        <w:rPr>
          <w:rFonts w:hint="cs"/>
          <w:rtl/>
        </w:rPr>
        <w:t>)</w:t>
      </w:r>
      <w:r>
        <w:rPr>
          <w:rFonts w:hint="cs"/>
          <w:rtl/>
        </w:rPr>
        <w:t xml:space="preserve">. </w:t>
      </w:r>
      <w:r w:rsidRPr="009353CA">
        <w:rPr>
          <w:rFonts w:hint="cs"/>
          <w:rtl/>
        </w:rPr>
        <w:t xml:space="preserve">במסגרת זו אתייחס לעמדתה של חברתי, הנשיאה </w:t>
      </w:r>
      <w:r w:rsidRPr="009353CA">
        <w:rPr>
          <w:rFonts w:ascii="Century" w:hAnsi="Century" w:cs="Miriam" w:hint="cs"/>
          <w:b/>
          <w:spacing w:val="0"/>
          <w:sz w:val="22"/>
          <w:szCs w:val="24"/>
          <w:rtl/>
        </w:rPr>
        <w:t>א' חיות</w:t>
      </w:r>
      <w:r w:rsidRPr="009353CA">
        <w:rPr>
          <w:rFonts w:hint="cs"/>
          <w:rtl/>
        </w:rPr>
        <w:t xml:space="preserve">, אשר מבקשת לשנות פסק דין זה מטעמים שעמהם, בכל הכבוד והיקר, לא אוכל להסכים. </w:t>
      </w:r>
    </w:p>
    <w:p w:rsidR="00917458" w:rsidRPr="009353CA" w:rsidRDefault="00917458" w:rsidP="00917458">
      <w:pPr>
        <w:pStyle w:val="Ruller4"/>
        <w:numPr>
          <w:ilvl w:val="0"/>
          <w:numId w:val="0"/>
        </w:numPr>
        <w:rPr>
          <w:rtl/>
        </w:rPr>
      </w:pPr>
    </w:p>
    <w:p w:rsidR="00917458" w:rsidRPr="009353CA" w:rsidRDefault="00917458" w:rsidP="00917458">
      <w:pPr>
        <w:pStyle w:val="Ruller4"/>
        <w:numPr>
          <w:ilvl w:val="0"/>
          <w:numId w:val="0"/>
        </w:numPr>
      </w:pPr>
      <w:r w:rsidRPr="009353CA">
        <w:rPr>
          <w:rtl/>
        </w:rPr>
        <w:tab/>
      </w:r>
      <w:r w:rsidRPr="009353CA">
        <w:rPr>
          <w:rFonts w:hint="cs"/>
          <w:rtl/>
        </w:rPr>
        <w:t>במילים אחרות: תחילה אדוּן בדין המצוי עליו מבוסס פסק הדין בהליך הקודם</w:t>
      </w:r>
      <w:r>
        <w:rPr>
          <w:rFonts w:hint="cs"/>
          <w:rtl/>
        </w:rPr>
        <w:t>,</w:t>
      </w:r>
      <w:r w:rsidRPr="009353CA">
        <w:rPr>
          <w:rFonts w:hint="cs"/>
          <w:rtl/>
        </w:rPr>
        <w:t xml:space="preserve"> ואחר כך אציע שינוי בדין זה כחלק מהתפתחות ההלכה הפסוקה במתחם שהמחוקק הותיר בידינו. </w:t>
      </w:r>
      <w:r>
        <w:rPr>
          <w:rFonts w:hint="cs"/>
          <w:rtl/>
        </w:rPr>
        <w:t>כפי שאראה להלן, השינוי המוצע על ידי יהפוך את סוגיית ה"בגידה", אשר עומדת על הפרק בהליך שלפנינו, לעניין בלתי רלבנטי לחלוטין.</w:t>
      </w:r>
    </w:p>
    <w:p w:rsidR="00917458" w:rsidRPr="009353CA" w:rsidRDefault="00917458" w:rsidP="00917458">
      <w:pPr>
        <w:pStyle w:val="Ruller4"/>
        <w:numPr>
          <w:ilvl w:val="0"/>
          <w:numId w:val="0"/>
        </w:numPr>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הדין המצוי </w:t>
      </w:r>
      <w:r w:rsidRPr="009353CA">
        <w:rPr>
          <w:rFonts w:ascii="Century" w:hAnsi="Century" w:cs="Miriam"/>
          <w:b/>
          <w:spacing w:val="0"/>
          <w:szCs w:val="24"/>
          <w:rtl/>
        </w:rPr>
        <w:t>–</w:t>
      </w: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עמדתי לגבי פסק הדין בהליך הקודם:</w:t>
      </w: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הכרעת שופטי הרוב בהליך הקודם בדין יסודה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אפתח את הדיון בהצגת שורתו התחתונה: בעניינו של פסק הדין בהליך </w:t>
      </w:r>
      <w:r w:rsidRPr="009353CA">
        <w:rPr>
          <w:rFonts w:ascii="Century" w:hAnsi="Century" w:hint="cs"/>
          <w:sz w:val="22"/>
          <w:rtl/>
        </w:rPr>
        <w:t>הקודם</w:t>
      </w:r>
      <w:r w:rsidRPr="009353CA">
        <w:rPr>
          <w:rFonts w:hint="cs"/>
          <w:rtl/>
        </w:rPr>
        <w:t xml:space="preserve"> דעתי לא השתנתה כהוא זה. הנני סבור כי העתירה אשר נדחתה בהליך הקודם ברוב דעות נדונה לכישלון מהטעמים אשר פורטו בפסק דינו של חברי, השופט </w:t>
      </w:r>
      <w:r w:rsidRPr="009353CA">
        <w:rPr>
          <w:rFonts w:ascii="Century" w:hAnsi="Century" w:cs="Miriam" w:hint="cs"/>
          <w:b/>
          <w:spacing w:val="0"/>
          <w:sz w:val="22"/>
          <w:szCs w:val="24"/>
          <w:rtl/>
        </w:rPr>
        <w:t>ד' מינץ</w:t>
      </w:r>
      <w:r w:rsidRPr="009353CA">
        <w:rPr>
          <w:rFonts w:hint="cs"/>
          <w:rtl/>
        </w:rPr>
        <w:t xml:space="preserve">, ובפסק דיני שלי. במסגרת הנוכחית, אחזור בקצרה על חלק מטעמים אלו. כמו כן אענה לביקורת אשר נמתחה על פסק דינו של השופט </w:t>
      </w:r>
      <w:r w:rsidRPr="009353CA">
        <w:rPr>
          <w:rFonts w:ascii="Century" w:hAnsi="Century" w:cs="Miriam" w:hint="cs"/>
          <w:b/>
          <w:spacing w:val="0"/>
          <w:sz w:val="22"/>
          <w:szCs w:val="24"/>
          <w:rtl/>
        </w:rPr>
        <w:t>מינץ</w:t>
      </w:r>
      <w:r w:rsidRPr="009353CA">
        <w:rPr>
          <w:rFonts w:hint="cs"/>
          <w:rtl/>
        </w:rPr>
        <w:t xml:space="preserve"> ועל פסק דיני שלי </w:t>
      </w:r>
      <w:r w:rsidRPr="009353CA">
        <w:rPr>
          <w:rtl/>
        </w:rPr>
        <w:t>–</w:t>
      </w:r>
      <w:r w:rsidRPr="009353CA">
        <w:rPr>
          <w:rFonts w:hint="cs"/>
          <w:rtl/>
        </w:rPr>
        <w:t xml:space="preserve"> בגדרי ההליך הנוכחי ומחוצה לו </w:t>
      </w:r>
      <w:r w:rsidRPr="009353CA">
        <w:rPr>
          <w:rtl/>
        </w:rPr>
        <w:t>–</w:t>
      </w:r>
      <w:r w:rsidRPr="009353CA">
        <w:rPr>
          <w:rFonts w:hint="cs"/>
          <w:rtl/>
        </w:rPr>
        <w:t xml:space="preserve"> ואף זאת אשתדל לעשות בקיצור ככל שניתן.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פסק הדין אשר ניתן על ידי שופטי הרוב בהליך הקודם </w:t>
      </w:r>
      <w:r w:rsidRPr="009353CA">
        <w:rPr>
          <w:rtl/>
        </w:rPr>
        <w:t>–</w:t>
      </w:r>
      <w:r w:rsidRPr="009353CA">
        <w:rPr>
          <w:rFonts w:hint="cs"/>
          <w:rtl/>
        </w:rPr>
        <w:t xml:space="preserve"> השופט </w:t>
      </w:r>
      <w:r w:rsidRPr="009353CA">
        <w:rPr>
          <w:rFonts w:ascii="Century" w:hAnsi="Century" w:cs="Miriam" w:hint="cs"/>
          <w:b/>
          <w:spacing w:val="0"/>
          <w:sz w:val="22"/>
          <w:szCs w:val="24"/>
          <w:rtl/>
        </w:rPr>
        <w:t>מינץ</w:t>
      </w:r>
      <w:r w:rsidRPr="009353CA">
        <w:rPr>
          <w:rFonts w:hint="cs"/>
          <w:rtl/>
        </w:rPr>
        <w:t xml:space="preserve"> ואנוכי </w:t>
      </w:r>
      <w:r w:rsidRPr="009353CA">
        <w:rPr>
          <w:rtl/>
        </w:rPr>
        <w:t>–</w:t>
      </w:r>
      <w:r w:rsidRPr="009353CA">
        <w:rPr>
          <w:rFonts w:hint="cs"/>
          <w:rtl/>
        </w:rPr>
        <w:t xml:space="preserve"> עומד על יסודות איתנים. עמדתו העקרונית של השופט </w:t>
      </w:r>
      <w:r w:rsidRPr="009353CA">
        <w:rPr>
          <w:rFonts w:ascii="Century" w:hAnsi="Century" w:cs="Miriam" w:hint="cs"/>
          <w:b/>
          <w:spacing w:val="0"/>
          <w:sz w:val="22"/>
          <w:szCs w:val="24"/>
          <w:rtl/>
        </w:rPr>
        <w:t>מינץ</w:t>
      </w:r>
      <w:r w:rsidRPr="009353CA">
        <w:rPr>
          <w:rFonts w:hint="cs"/>
          <w:rtl/>
        </w:rPr>
        <w:t xml:space="preserve"> ועמדתי שלי היא שבית משפט זה, בשבתו על מדין כבית משפט גבוה לצדק, אסור לו שיתערב בפסק דינו של בית דין רבני, או בית דין דתי אחר, כל אימת שזה לא נפגם באחד הפגמים כדלקמן, אשר יורדים לשורש העניין: חריגה מסמכות, טעות בדין, והפרת כללי הצדק הטבעי (ראו: </w:t>
      </w:r>
      <w:r w:rsidRPr="009353CA">
        <w:rPr>
          <w:rFonts w:hint="eastAsia"/>
          <w:rtl/>
        </w:rPr>
        <w:t>בג</w:t>
      </w:r>
      <w:r w:rsidRPr="009353CA">
        <w:rPr>
          <w:rtl/>
        </w:rPr>
        <w:t>"</w:t>
      </w:r>
      <w:r w:rsidRPr="009353CA">
        <w:rPr>
          <w:rFonts w:hint="eastAsia"/>
          <w:rtl/>
        </w:rPr>
        <w:t>ץ</w:t>
      </w:r>
      <w:r w:rsidRPr="009353CA">
        <w:rPr>
          <w:rtl/>
        </w:rPr>
        <w:t xml:space="preserve"> 7395/07 </w:t>
      </w:r>
      <w:r w:rsidRPr="009353CA">
        <w:rPr>
          <w:rFonts w:ascii="Century" w:hAnsi="Century" w:cs="Miriam" w:hint="eastAsia"/>
          <w:b/>
          <w:spacing w:val="0"/>
          <w:sz w:val="22"/>
          <w:szCs w:val="24"/>
          <w:rtl/>
        </w:rPr>
        <w:t>פלוני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הדין</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הרבני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הגדול</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לערעורים</w:t>
      </w:r>
      <w:r w:rsidRPr="009353CA">
        <w:rPr>
          <w:rFonts w:hint="cs"/>
          <w:rtl/>
        </w:rPr>
        <w:t>, פסקה 11</w:t>
      </w:r>
      <w:r w:rsidRPr="009353CA">
        <w:rPr>
          <w:rtl/>
        </w:rPr>
        <w:t xml:space="preserve"> (21.</w:t>
      </w:r>
      <w:r w:rsidRPr="009353CA">
        <w:rPr>
          <w:rFonts w:hint="cs"/>
          <w:rtl/>
        </w:rPr>
        <w:t>1</w:t>
      </w:r>
      <w:r w:rsidRPr="009353CA">
        <w:rPr>
          <w:rtl/>
        </w:rPr>
        <w:t>.2008)</w:t>
      </w:r>
      <w:r w:rsidRPr="009353CA">
        <w:rPr>
          <w:rFonts w:hint="cs"/>
          <w:rtl/>
        </w:rPr>
        <w:t xml:space="preserve">, וכן סעיף 15(ד)(4) לחוק יסוד: השפיטה). הלכה יסודית זו אין לשנותה ואין לסטות ממנה, ולו במקצת, בשל הדחף הטבעי לעשות צדק במקרה פרטיקולרי כזה או אחר; ובהקשר זה נזכור את האמירה הידועה </w:t>
      </w:r>
      <w:r w:rsidRPr="009353CA">
        <w:rPr>
          <w:rFonts w:asciiTheme="majorBidi" w:hAnsiTheme="majorBidi" w:cstheme="majorBidi"/>
        </w:rPr>
        <w:t>"Hard cases make bad law"</w:t>
      </w:r>
      <w:r w:rsidRPr="009353CA">
        <w:rPr>
          <w:rFonts w:ascii="Century" w:hAnsi="Century" w:hint="cs"/>
          <w:sz w:val="22"/>
          <w:rtl/>
        </w:rPr>
        <w:t xml:space="preserve"> (ראו</w:t>
      </w:r>
      <w:r w:rsidRPr="009353CA">
        <w:rPr>
          <w:rFonts w:asciiTheme="majorBidi" w:hAnsiTheme="majorBidi" w:cstheme="majorBidi"/>
          <w:sz w:val="22"/>
          <w:rtl/>
        </w:rPr>
        <w:t>:</w:t>
      </w:r>
      <w:r w:rsidRPr="009353CA">
        <w:rPr>
          <w:rFonts w:asciiTheme="majorBidi" w:hAnsiTheme="majorBidi" w:cstheme="majorBidi"/>
          <w:sz w:val="22"/>
        </w:rPr>
        <w:t xml:space="preserve"> </w:t>
      </w:r>
      <w:r w:rsidRPr="009353CA">
        <w:rPr>
          <w:rFonts w:asciiTheme="majorBidi" w:hAnsiTheme="majorBidi" w:cstheme="majorBidi"/>
          <w:color w:val="000000"/>
        </w:rPr>
        <w:t>Northern Securities Co. v. United States 193 U.S. 197, 400 (1904)</w:t>
      </w:r>
      <w:r w:rsidRPr="009353CA">
        <w:rPr>
          <w:rFonts w:ascii="Century" w:hAnsi="Century" w:hint="cs"/>
          <w:sz w:val="22"/>
          <w:rtl/>
        </w:rPr>
        <w:t xml:space="preserve">). כפועל יוצא מכך, נקוט בידינו כלל נוסף אשר אוסר עלינו להתערב בממצאים עובדתיים שנקבעו על ידי בית דין רבני, או בית דין דתי אחר, </w:t>
      </w:r>
      <w:r w:rsidRPr="009353CA">
        <w:rPr>
          <w:rFonts w:hint="cs"/>
          <w:rtl/>
        </w:rPr>
        <w:t xml:space="preserve">בהתאם לכלליו והלכותיו </w:t>
      </w:r>
      <w:r w:rsidRPr="009353CA">
        <w:rPr>
          <w:rtl/>
        </w:rPr>
        <w:t>–</w:t>
      </w:r>
      <w:r w:rsidRPr="009353CA">
        <w:rPr>
          <w:rFonts w:hint="cs"/>
          <w:rtl/>
        </w:rPr>
        <w:t xml:space="preserve"> </w:t>
      </w:r>
      <w:r>
        <w:rPr>
          <w:rFonts w:hint="cs"/>
          <w:rtl/>
        </w:rPr>
        <w:t>ו</w:t>
      </w:r>
      <w:r w:rsidRPr="009353CA">
        <w:rPr>
          <w:rFonts w:hint="cs"/>
          <w:rtl/>
        </w:rPr>
        <w:t>זאת, גם כשאין אנו מסכימים עם בית הדין</w:t>
      </w:r>
      <w:r>
        <w:rPr>
          <w:rFonts w:hint="cs"/>
          <w:rtl/>
        </w:rPr>
        <w:t>.</w:t>
      </w:r>
      <w:r w:rsidRPr="009353CA">
        <w:rPr>
          <w:rFonts w:hint="cs"/>
          <w:rtl/>
        </w:rPr>
        <w:t xml:space="preserve"> אשר על כן, ממצאים עובדתיים שנקבעו כסופיים על ידי בית הדין הרבני הגדול, בפועלו בהתאם לכללי הדיון וההוכחה אשר </w:t>
      </w:r>
      <w:proofErr w:type="spellStart"/>
      <w:r w:rsidRPr="009353CA">
        <w:rPr>
          <w:rFonts w:hint="cs"/>
          <w:rtl/>
        </w:rPr>
        <w:t>נקוטים</w:t>
      </w:r>
      <w:proofErr w:type="spellEnd"/>
      <w:r w:rsidRPr="009353CA">
        <w:rPr>
          <w:rFonts w:hint="cs"/>
          <w:rtl/>
        </w:rPr>
        <w:t xml:space="preserve"> בידו, הם ממצאים עובדתיים סופיים שמחייבים גם אותנו; ואחריהם אין ולא כלום. בממצאים כאמור נוכל להתערב רק במקרי קיצון, אם וכאשר נמצא </w:t>
      </w:r>
      <w:r w:rsidRPr="009353CA">
        <w:rPr>
          <w:rFonts w:ascii="Century" w:hAnsi="Century" w:cs="Miriam" w:hint="cs"/>
          <w:b/>
          <w:spacing w:val="0"/>
          <w:sz w:val="22"/>
          <w:szCs w:val="24"/>
          <w:rtl/>
        </w:rPr>
        <w:t>היעדר זיקה רציונלית</w:t>
      </w:r>
      <w:r w:rsidRPr="009353CA">
        <w:rPr>
          <w:rFonts w:hint="cs"/>
          <w:rtl/>
        </w:rPr>
        <w:t xml:space="preserve"> בין ממצאיו של בית הדין לבין חומר הראיות אשר נפרשׂ לפניו (ראו: </w:t>
      </w:r>
      <w:r w:rsidRPr="009353CA">
        <w:rPr>
          <w:rFonts w:hint="eastAsia"/>
          <w:rtl/>
        </w:rPr>
        <w:t>בג</w:t>
      </w:r>
      <w:r w:rsidRPr="009353CA">
        <w:rPr>
          <w:rtl/>
        </w:rPr>
        <w:t>"</w:t>
      </w:r>
      <w:r w:rsidRPr="009353CA">
        <w:rPr>
          <w:rFonts w:hint="eastAsia"/>
          <w:rtl/>
        </w:rPr>
        <w:t>ץ</w:t>
      </w:r>
      <w:r w:rsidRPr="009353CA">
        <w:rPr>
          <w:rtl/>
        </w:rPr>
        <w:t xml:space="preserve"> 2222/99‏ </w:t>
      </w:r>
      <w:r w:rsidRPr="009353CA">
        <w:rPr>
          <w:rFonts w:ascii="Century" w:hAnsi="Century" w:cs="Miriam" w:hint="eastAsia"/>
          <w:b/>
          <w:spacing w:val="0"/>
          <w:sz w:val="22"/>
          <w:szCs w:val="24"/>
          <w:rtl/>
        </w:rPr>
        <w:t>גבאי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בית</w:t>
      </w:r>
      <w:r w:rsidRPr="009353CA">
        <w:rPr>
          <w:rFonts w:ascii="Century" w:hAnsi="Century" w:cs="Miriam"/>
          <w:b/>
          <w:spacing w:val="0"/>
          <w:sz w:val="22"/>
          <w:szCs w:val="24"/>
          <w:rtl/>
        </w:rPr>
        <w:t>-</w:t>
      </w:r>
      <w:r w:rsidRPr="009353CA">
        <w:rPr>
          <w:rFonts w:ascii="Century" w:hAnsi="Century" w:cs="Miriam" w:hint="eastAsia"/>
          <w:b/>
          <w:spacing w:val="0"/>
          <w:sz w:val="22"/>
          <w:szCs w:val="24"/>
          <w:rtl/>
        </w:rPr>
        <w:t>הדין</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הרבני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הגדול</w:t>
      </w:r>
      <w:r w:rsidRPr="009353CA">
        <w:rPr>
          <w:rtl/>
        </w:rPr>
        <w:t xml:space="preserve">, </w:t>
      </w:r>
      <w:r w:rsidRPr="009353CA">
        <w:rPr>
          <w:rFonts w:hint="eastAsia"/>
          <w:rtl/>
        </w:rPr>
        <w:t>פ</w:t>
      </w:r>
      <w:r>
        <w:rPr>
          <w:rFonts w:hint="cs"/>
          <w:rtl/>
        </w:rPr>
        <w:t>"</w:t>
      </w:r>
      <w:r w:rsidRPr="009353CA">
        <w:rPr>
          <w:rFonts w:hint="eastAsia"/>
          <w:rtl/>
        </w:rPr>
        <w:t>ד</w:t>
      </w:r>
      <w:r w:rsidRPr="009353CA">
        <w:rPr>
          <w:rtl/>
        </w:rPr>
        <w:t xml:space="preserve"> </w:t>
      </w:r>
      <w:r w:rsidRPr="009353CA">
        <w:rPr>
          <w:rFonts w:hint="eastAsia"/>
          <w:rtl/>
        </w:rPr>
        <w:t>נד</w:t>
      </w:r>
      <w:r w:rsidRPr="009353CA">
        <w:rPr>
          <w:rtl/>
        </w:rPr>
        <w:t xml:space="preserve">(5) </w:t>
      </w:r>
      <w:r w:rsidRPr="009353CA">
        <w:rPr>
          <w:rtl/>
        </w:rPr>
        <w:lastRenderedPageBreak/>
        <w:t>401</w:t>
      </w:r>
      <w:r w:rsidRPr="009353CA">
        <w:rPr>
          <w:rFonts w:hint="cs"/>
          <w:rtl/>
        </w:rPr>
        <w:t>, 425-424 (2000)), או כאשר נעשה שימוש בראיה פסולה אשר השפיעה על תוצאת פסק הדין (</w:t>
      </w:r>
      <w:r>
        <w:rPr>
          <w:rFonts w:hint="cs"/>
          <w:rtl/>
        </w:rPr>
        <w:t xml:space="preserve">ראו: </w:t>
      </w:r>
      <w:r w:rsidRPr="009353CA">
        <w:rPr>
          <w:rFonts w:hint="eastAsia"/>
          <w:rtl/>
        </w:rPr>
        <w:t>בג</w:t>
      </w:r>
      <w:r w:rsidRPr="009353CA">
        <w:rPr>
          <w:rFonts w:hint="cs"/>
          <w:rtl/>
        </w:rPr>
        <w:t>"</w:t>
      </w:r>
      <w:r w:rsidRPr="009353CA">
        <w:rPr>
          <w:rFonts w:hint="eastAsia"/>
          <w:rtl/>
        </w:rPr>
        <w:t>ץ</w:t>
      </w:r>
      <w:r w:rsidRPr="009353CA">
        <w:rPr>
          <w:rtl/>
        </w:rPr>
        <w:t xml:space="preserve"> 6650/04 ‏</w:t>
      </w:r>
      <w:r w:rsidRPr="009353CA">
        <w:rPr>
          <w:rFonts w:ascii="Century" w:hAnsi="Century" w:cs="Miriam" w:hint="eastAsia"/>
          <w:b/>
          <w:spacing w:val="0"/>
          <w:sz w:val="22"/>
          <w:szCs w:val="24"/>
          <w:rtl/>
        </w:rPr>
        <w:t>פלונית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הדין</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הרבני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האזורי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בנתניה</w:t>
      </w:r>
      <w:r w:rsidRPr="009353CA">
        <w:rPr>
          <w:rtl/>
        </w:rPr>
        <w:t xml:space="preserve">, </w:t>
      </w:r>
      <w:r w:rsidRPr="009353CA">
        <w:rPr>
          <w:rFonts w:hint="eastAsia"/>
          <w:rtl/>
        </w:rPr>
        <w:t>פ</w:t>
      </w:r>
      <w:r>
        <w:rPr>
          <w:rFonts w:hint="cs"/>
          <w:rtl/>
        </w:rPr>
        <w:t>"</w:t>
      </w:r>
      <w:r w:rsidRPr="009353CA">
        <w:rPr>
          <w:rFonts w:hint="eastAsia"/>
          <w:rtl/>
        </w:rPr>
        <w:t>ד</w:t>
      </w:r>
      <w:r w:rsidRPr="009353CA">
        <w:rPr>
          <w:rtl/>
        </w:rPr>
        <w:t xml:space="preserve"> </w:t>
      </w:r>
      <w:r w:rsidRPr="009353CA">
        <w:rPr>
          <w:rFonts w:hint="eastAsia"/>
          <w:rtl/>
        </w:rPr>
        <w:t>סא</w:t>
      </w:r>
      <w:r w:rsidRPr="009353CA">
        <w:rPr>
          <w:rtl/>
        </w:rPr>
        <w:t>(1) 581</w:t>
      </w:r>
      <w:r w:rsidRPr="009353CA">
        <w:rPr>
          <w:rFonts w:hint="cs"/>
          <w:rtl/>
        </w:rPr>
        <w:t xml:space="preserve"> (2006)).</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במקרה דנן, בית הדין הרבני הגדול קבע כעניין של עובדה כי המשיב 3 דכאן  לא התכוון לשתף </w:t>
      </w:r>
      <w:r w:rsidRPr="009353CA">
        <w:rPr>
          <w:rtl/>
        </w:rPr>
        <w:t>–</w:t>
      </w:r>
      <w:r w:rsidRPr="009353CA">
        <w:rPr>
          <w:rFonts w:hint="cs"/>
          <w:rtl/>
        </w:rPr>
        <w:t xml:space="preserve"> וממילא לא שיתף </w:t>
      </w:r>
      <w:r w:rsidRPr="009353CA">
        <w:rPr>
          <w:rtl/>
        </w:rPr>
        <w:t>–</w:t>
      </w:r>
      <w:r w:rsidRPr="009353CA">
        <w:rPr>
          <w:rFonts w:hint="cs"/>
          <w:rtl/>
        </w:rPr>
        <w:t xml:space="preserve"> את אשתו, המבקשת, בנכס המקרקעין מושא המחלוקת, שאותו הוא ירש מהוריו. אודה ולא אכחד: ממצא עובדתי זה נקבע על בסיס ראיות שלא היו קונקלוסיביות ואשר הצביעו, לכאורה, על היחסים האינטימיים שהמבקשת קיימה עם אדם אחר בעודה נשואה לבעלה. כפי שציינתי בפסק דיני בהליך הקודם, הניתוח העובדתי שעשה בית הדין הרבני הגדול על בסיס ראיות אלו הותיר אצלי סימני שאלה (ראו</w:t>
      </w:r>
      <w:r>
        <w:rPr>
          <w:rFonts w:hint="cs"/>
          <w:rtl/>
        </w:rPr>
        <w:t>:</w:t>
      </w:r>
      <w:r w:rsidRPr="009353CA">
        <w:rPr>
          <w:rFonts w:hint="cs"/>
          <w:rtl/>
        </w:rPr>
        <w:t xml:space="preserve"> פסקאות 3 ו-13 לפסק דיני הנ"ל). ברם, סימני שאלה אינם מקימים עילה להתערבותנו בממצאיו העובדתיים של בית דין דתי; וכך הגיענו לסוף-פסוק: עתירתה של המבקשת נגד פסק דינו של בית הדין הרבני הגדול נדונה לכישלון בין אם דעתנו נוחה עם פסק דינו ובין אם לאו; שכן מה שקובע </w:t>
      </w:r>
      <w:proofErr w:type="spellStart"/>
      <w:r w:rsidRPr="009353CA">
        <w:rPr>
          <w:rFonts w:hint="cs"/>
          <w:rtl/>
        </w:rPr>
        <w:t>בכגון</w:t>
      </w:r>
      <w:proofErr w:type="spellEnd"/>
      <w:r w:rsidRPr="009353CA">
        <w:rPr>
          <w:rFonts w:hint="cs"/>
          <w:rtl/>
        </w:rPr>
        <w:t xml:space="preserve"> דא הוא דעתו של בית הדין הרבני הגדול, ולא דעתנו שלנו, ואין אנו מורשים לקבוע עובדות במקומו.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זה היה פסק דיני בהליך הקודם והנני דבק בו גם כעת. פסק דין זה איננו מבוסס על ראיות ועל ממצאים בדבר מעשה הבגידה (בשפה עממית) אשר מיוחס למבקשת, אלא, כאמור, על </w:t>
      </w:r>
      <w:r w:rsidRPr="009353CA">
        <w:rPr>
          <w:rFonts w:ascii="Century" w:hAnsi="Century" w:cs="Miriam" w:hint="cs"/>
          <w:b/>
          <w:spacing w:val="0"/>
          <w:sz w:val="22"/>
          <w:szCs w:val="24"/>
          <w:rtl/>
        </w:rPr>
        <w:t>מכלול הראיות</w:t>
      </w:r>
      <w:r w:rsidRPr="009353CA">
        <w:rPr>
          <w:rFonts w:hint="cs"/>
          <w:rtl/>
        </w:rPr>
        <w:t xml:space="preserve"> אשר נדונו בבתי הדין הרבניים </w:t>
      </w:r>
      <w:r w:rsidRPr="009353CA">
        <w:rPr>
          <w:rtl/>
        </w:rPr>
        <w:t>–</w:t>
      </w:r>
      <w:r w:rsidRPr="009353CA">
        <w:rPr>
          <w:rFonts w:hint="cs"/>
          <w:rtl/>
        </w:rPr>
        <w:t xml:space="preserve"> האזורי והגדול </w:t>
      </w:r>
      <w:r w:rsidRPr="009353CA">
        <w:rPr>
          <w:rtl/>
        </w:rPr>
        <w:t>–</w:t>
      </w:r>
      <w:r w:rsidRPr="009353CA">
        <w:rPr>
          <w:rFonts w:hint="cs"/>
          <w:rtl/>
        </w:rPr>
        <w:t xml:space="preserve"> ועל הכלל הגדול אשר אוסר עלינו להתערב בממצאי עובדה שנקבעו על ידי בית דין דתי. בניגוד לדימוי שניסו לשוות לו המבקשת, ועמה מספר מבקשים להצטרף להליך דנן כידידי בית-משפט </w:t>
      </w:r>
      <w:r w:rsidRPr="009353CA">
        <w:rPr>
          <w:rtl/>
        </w:rPr>
        <w:t>–</w:t>
      </w:r>
      <w:r w:rsidRPr="009353CA">
        <w:rPr>
          <w:rFonts w:hint="cs"/>
          <w:rtl/>
        </w:rPr>
        <w:t xml:space="preserve"> פסק הדין שניתן על ידי השופט </w:t>
      </w:r>
      <w:r w:rsidRPr="009353CA">
        <w:rPr>
          <w:rFonts w:ascii="Century" w:hAnsi="Century" w:cs="Miriam" w:hint="cs"/>
          <w:b/>
          <w:spacing w:val="0"/>
          <w:sz w:val="22"/>
          <w:szCs w:val="24"/>
          <w:rtl/>
        </w:rPr>
        <w:t>מינץ</w:t>
      </w:r>
      <w:r w:rsidRPr="009353CA">
        <w:rPr>
          <w:rFonts w:hint="cs"/>
          <w:rtl/>
        </w:rPr>
        <w:t xml:space="preserve"> ואנוכי בהליך הקודם נטוע בדיני ראיות, ולא בדיני עריות.</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כאן המקום לשוב ולהדגיש כי בדיקת קיומו של שיתוף ספציפי בנכסו הפרטי של אחד מבני הזוג נסובה על השאלה הבאה: האם בעלת הנכס התנהלה במשך חיי הנישואין שלה עם בן זוגה באופן שמראה את הסכמתה להקניית שותפות שוות זכויות בנכס לבן הזוג? שאלה זו בדבר קיומה של הסכמה משתמעת, או הסכמה מכללא, מתעוררת בכל מקרה בו עולה עניינו של שיתוף ספציפי לדיון בהיעדרו של הסכם ממון בין בני הזוג. מקום שבני הזוג הסדירו ביניהם את נושא הזכויות בנכסיו הפרטיים של כל אחד מהם בהסכם ממון מפורש, השאלה איננה מתעוררת. בכל מקרה כזה, שיתופו או אי-שיתופו של בן הזוג ברכושה הפרטי של בת זוגו ייקבע בהתאם לאמור בהסכם הממון</w:t>
      </w:r>
      <w:r>
        <w:rPr>
          <w:rFonts w:hint="cs"/>
          <w:rtl/>
        </w:rPr>
        <w:t>,</w:t>
      </w:r>
      <w:r w:rsidRPr="009353CA">
        <w:rPr>
          <w:rFonts w:hint="cs"/>
          <w:rtl/>
        </w:rPr>
        <w:t xml:space="preserve"> ובו בלבד.</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היותו של שיתוף ספציפי תחליף להסכם מפורש מכוון את בדיקת קיומו אל נסיבות חייהם של בני הזוג, אשר כוללות, בין היתר, את טיב היחסים ששררו ביניהם לאורך השנים, את התנהלותם במישור הממוני-רכושי, ואת ההצהרות אשר ניתנו, אם ניתנו, על ידי בעלת הרכוש בנוגע לשיתופו או לאי-שיתופו העתידי של בן זוגה בזכויות באותו רכוש. מדובר אפוא במבחן רב-משתנים (</w:t>
      </w:r>
      <w:r w:rsidRPr="009353CA">
        <w:rPr>
          <w:rFonts w:asciiTheme="majorBidi" w:hAnsiTheme="majorBidi" w:cstheme="majorBidi"/>
        </w:rPr>
        <w:t>multifactor test</w:t>
      </w:r>
      <w:r w:rsidRPr="009353CA">
        <w:rPr>
          <w:rFonts w:ascii="Century" w:hAnsi="Century" w:hint="cs"/>
          <w:sz w:val="22"/>
          <w:rtl/>
        </w:rPr>
        <w:t xml:space="preserve">) אשר נסוב, בעיקרו, על עובדות המקרה הפרטיקולרי. עובדות אלו, ורק הן, יכולות לאשר או לשלול את קיומה של הקניית זכויות </w:t>
      </w:r>
      <w:r w:rsidRPr="009353CA">
        <w:rPr>
          <w:rFonts w:hint="cs"/>
          <w:rtl/>
        </w:rPr>
        <w:t xml:space="preserve">שותפות לבן הזוג בנכסיה הפרטיים של בת זוגו.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נאמנות מינית וחלוקת רכושם של בני הזוג</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האם בגידת בן הזוג </w:t>
      </w:r>
      <w:r w:rsidRPr="009353CA">
        <w:rPr>
          <w:rtl/>
        </w:rPr>
        <w:t>–</w:t>
      </w:r>
      <w:r w:rsidRPr="009353CA">
        <w:rPr>
          <w:rFonts w:hint="cs"/>
          <w:rtl/>
        </w:rPr>
        <w:t xml:space="preserve"> שתיאורה הארוך יותר והמדויק יותר הוא אי-נאמנות מינית </w:t>
      </w:r>
      <w:r w:rsidRPr="009353CA">
        <w:rPr>
          <w:rtl/>
        </w:rPr>
        <w:t>–</w:t>
      </w:r>
      <w:r w:rsidRPr="009353CA">
        <w:rPr>
          <w:rFonts w:hint="cs"/>
          <w:rtl/>
        </w:rPr>
        <w:t xml:space="preserve"> מהווה חלק מה-</w:t>
      </w:r>
      <w:r w:rsidRPr="009353CA">
        <w:rPr>
          <w:rFonts w:asciiTheme="majorBidi" w:hAnsiTheme="majorBidi" w:cstheme="majorBidi"/>
        </w:rPr>
        <w:t>multifactor</w:t>
      </w:r>
      <w:r w:rsidRPr="009353CA">
        <w:rPr>
          <w:rFonts w:ascii="Century" w:hAnsi="Century" w:hint="cs"/>
          <w:sz w:val="22"/>
          <w:rtl/>
        </w:rPr>
        <w:t xml:space="preserve">, מבחן </w:t>
      </w:r>
      <w:r w:rsidRPr="009353CA">
        <w:rPr>
          <w:rFonts w:hint="cs"/>
          <w:rtl/>
        </w:rPr>
        <w:t xml:space="preserve">רב-משתנים, שכאמור נועד לאשר או לשלול </w:t>
      </w:r>
      <w:r w:rsidRPr="009353CA">
        <w:rPr>
          <w:rFonts w:ascii="Century" w:hAnsi="Century" w:hint="cs"/>
          <w:sz w:val="22"/>
          <w:rtl/>
        </w:rPr>
        <w:t xml:space="preserve">את קיומה של הקניית זכויות </w:t>
      </w:r>
      <w:r w:rsidRPr="009353CA">
        <w:rPr>
          <w:rFonts w:hint="cs"/>
          <w:rtl/>
        </w:rPr>
        <w:t xml:space="preserve">שותפות לבן הזוג בנכסה הפרטי של בת זוגו? ייתכן שבשאלה זו אפשר היה שלא להכריע בהליך הקודם, אולם היא נדונה בו בעקבות דבריו של חברי, השופט </w:t>
      </w:r>
      <w:r w:rsidRPr="009353CA">
        <w:rPr>
          <w:rFonts w:ascii="Century" w:hAnsi="Century" w:cs="Miriam" w:hint="cs"/>
          <w:b/>
          <w:spacing w:val="0"/>
          <w:sz w:val="22"/>
          <w:szCs w:val="24"/>
          <w:rtl/>
        </w:rPr>
        <w:t>י' עמית</w:t>
      </w:r>
      <w:r w:rsidRPr="009353CA">
        <w:rPr>
          <w:rFonts w:hint="cs"/>
          <w:rtl/>
        </w:rPr>
        <w:t xml:space="preserve">, שעל חלקם, במלוא הכבוד, חלקתי ועודני חולק. בטרם אשוב למחלוקת זו ואעיר לגביה את אשר אראה לנחוץ, אשרטט את ההסכמה הרחבה בין כל שופטי המותב אשר הכריע את הדין בהליך הקודם.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בגידה איננה משפיעה כהוא זה על קניינו של בן הזוג הבוגד </w:t>
      </w:r>
    </w:p>
    <w:p w:rsidR="00917458" w:rsidRPr="009353CA" w:rsidRDefault="00917458" w:rsidP="00917458">
      <w:pPr>
        <w:pStyle w:val="Ruller41"/>
      </w:pPr>
    </w:p>
    <w:p w:rsidR="00917458" w:rsidRPr="009353CA" w:rsidRDefault="00917458" w:rsidP="00917458">
      <w:pPr>
        <w:pStyle w:val="Ruller4"/>
      </w:pPr>
      <w:r w:rsidRPr="009353CA">
        <w:rPr>
          <w:rFonts w:hint="cs"/>
          <w:rtl/>
        </w:rPr>
        <w:t>לית מאן דפליג, כי לא קיים שום קשר משפטי בין בגידה ל</w:t>
      </w:r>
      <w:r>
        <w:rPr>
          <w:rFonts w:hint="cs"/>
          <w:rtl/>
        </w:rPr>
        <w:t xml:space="preserve">זכויות </w:t>
      </w:r>
      <w:r w:rsidRPr="009353CA">
        <w:rPr>
          <w:rFonts w:hint="cs"/>
          <w:rtl/>
        </w:rPr>
        <w:t xml:space="preserve">קניין: בת הזוג שאינה נאמנה מינית לבן זוגה, ושמקיימת קשר מיני עם אדם אחר במהלך הנישואין, איננה מאבדת בשל כך שום חלק מרכושה ומזכויותיה, כל אימת שמדובר בזכויות בנות קיימא שכבר נרכשו או הבשילו. כפי שציינתי בפסק דיני בהליך הקודם, ראיה על בגידה כלל איננה רלבנטית ועל כן גם איננה קבילה לעניין איזון המשאבים ולחלוקתם השוויונית של הנכסים אשר נצברו על ידי בני הזוג במהלך נישואיהם (ראו: פסקה 10 לפסק דיני הנ"ל; </w:t>
      </w:r>
      <w:r w:rsidRPr="009353CA">
        <w:rPr>
          <w:rFonts w:hint="eastAsia"/>
          <w:rtl/>
        </w:rPr>
        <w:t>בג</w:t>
      </w:r>
      <w:r w:rsidRPr="009353CA">
        <w:rPr>
          <w:rFonts w:hint="cs"/>
          <w:rtl/>
        </w:rPr>
        <w:t>"</w:t>
      </w:r>
      <w:r w:rsidRPr="009353CA">
        <w:rPr>
          <w:rFonts w:hint="eastAsia"/>
          <w:rtl/>
        </w:rPr>
        <w:t>ץ</w:t>
      </w:r>
      <w:r w:rsidRPr="009353CA">
        <w:rPr>
          <w:rtl/>
        </w:rPr>
        <w:t xml:space="preserve"> 8928/06 </w:t>
      </w:r>
      <w:r w:rsidRPr="009353CA">
        <w:rPr>
          <w:rFonts w:ascii="Century" w:hAnsi="Century" w:cs="Miriam" w:hint="eastAsia"/>
          <w:b/>
          <w:spacing w:val="0"/>
          <w:sz w:val="22"/>
          <w:szCs w:val="24"/>
          <w:rtl/>
        </w:rPr>
        <w:t>פלונית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הדין</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הרבני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הגדול</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לערעורים</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בירושלים</w:t>
      </w:r>
      <w:r w:rsidRPr="009353CA">
        <w:rPr>
          <w:rtl/>
        </w:rPr>
        <w:t xml:space="preserve">, </w:t>
      </w:r>
      <w:r w:rsidRPr="009353CA">
        <w:rPr>
          <w:rFonts w:hint="cs"/>
          <w:rtl/>
        </w:rPr>
        <w:t xml:space="preserve">פ"ד </w:t>
      </w:r>
      <w:proofErr w:type="spellStart"/>
      <w:r w:rsidRPr="009353CA">
        <w:rPr>
          <w:rFonts w:hint="eastAsia"/>
          <w:rtl/>
        </w:rPr>
        <w:t>סג</w:t>
      </w:r>
      <w:proofErr w:type="spellEnd"/>
      <w:r w:rsidRPr="009353CA">
        <w:rPr>
          <w:rtl/>
        </w:rPr>
        <w:t>(1) 271</w:t>
      </w:r>
      <w:r w:rsidRPr="009353CA">
        <w:rPr>
          <w:rFonts w:hint="cs"/>
          <w:rtl/>
        </w:rPr>
        <w:t xml:space="preserve"> (2008)).   </w:t>
      </w:r>
    </w:p>
    <w:p w:rsidR="00917458" w:rsidRPr="009353CA" w:rsidRDefault="00917458" w:rsidP="00917458">
      <w:pPr>
        <w:pStyle w:val="Ruller4"/>
        <w:numPr>
          <w:ilvl w:val="0"/>
          <w:numId w:val="0"/>
        </w:numPr>
      </w:pPr>
      <w:r w:rsidRPr="009353CA">
        <w:rPr>
          <w:rFonts w:hint="cs"/>
          <w:rtl/>
        </w:rPr>
        <w:t xml:space="preserve"> </w:t>
      </w:r>
    </w:p>
    <w:p w:rsidR="00917458" w:rsidRPr="009353CA" w:rsidRDefault="00917458" w:rsidP="00917458">
      <w:pPr>
        <w:pStyle w:val="Ruller4"/>
        <w:rPr>
          <w:rtl/>
        </w:rPr>
      </w:pPr>
      <w:r w:rsidRPr="009353CA">
        <w:rPr>
          <w:rFonts w:hint="cs"/>
          <w:rtl/>
        </w:rPr>
        <w:t xml:space="preserve">כמו כן אין חולק על כך שבן הזוג הבוגד לא יאבד שום חלק מהנכסים שקיבל במתנה מבת זוגו </w:t>
      </w:r>
      <w:r w:rsidRPr="009353CA">
        <w:rPr>
          <w:rtl/>
        </w:rPr>
        <w:t>–</w:t>
      </w:r>
      <w:r w:rsidRPr="009353CA">
        <w:rPr>
          <w:rFonts w:hint="cs"/>
          <w:rtl/>
        </w:rPr>
        <w:t xml:space="preserve"> זאת, כאשר מדובר במתנה רגילה ונטולת תנאים מגבילים</w:t>
      </w:r>
      <w:r>
        <w:rPr>
          <w:rFonts w:hint="cs"/>
          <w:rtl/>
        </w:rPr>
        <w:t xml:space="preserve"> (ראו: </w:t>
      </w:r>
      <w:r w:rsidRPr="009353CA">
        <w:rPr>
          <w:rFonts w:hint="cs"/>
          <w:rtl/>
        </w:rPr>
        <w:t>חוק המתנה, התשכ"ח-1968</w:t>
      </w:r>
      <w:r>
        <w:rPr>
          <w:rFonts w:hint="cs"/>
          <w:rtl/>
        </w:rPr>
        <w:t xml:space="preserve"> (להלן: </w:t>
      </w:r>
      <w:r w:rsidRPr="00106F85">
        <w:rPr>
          <w:rFonts w:ascii="Century" w:hAnsi="Century" w:cs="Miriam" w:hint="eastAsia"/>
          <w:b/>
          <w:spacing w:val="0"/>
          <w:sz w:val="22"/>
          <w:szCs w:val="24"/>
          <w:rtl/>
        </w:rPr>
        <w:t>חוק</w:t>
      </w:r>
      <w:r w:rsidRPr="00106F85">
        <w:rPr>
          <w:rFonts w:ascii="Century" w:hAnsi="Century" w:cs="Miriam"/>
          <w:b/>
          <w:spacing w:val="0"/>
          <w:sz w:val="22"/>
          <w:szCs w:val="24"/>
          <w:rtl/>
        </w:rPr>
        <w:t xml:space="preserve"> </w:t>
      </w:r>
      <w:r w:rsidRPr="00106F85">
        <w:rPr>
          <w:rFonts w:ascii="Century" w:hAnsi="Century" w:cs="Miriam" w:hint="eastAsia"/>
          <w:b/>
          <w:spacing w:val="0"/>
          <w:sz w:val="22"/>
          <w:szCs w:val="24"/>
          <w:rtl/>
        </w:rPr>
        <w:t>המתנה</w:t>
      </w:r>
      <w:r>
        <w:rPr>
          <w:rFonts w:hint="cs"/>
          <w:rtl/>
        </w:rPr>
        <w:t>))</w:t>
      </w:r>
      <w:r w:rsidRPr="009353CA">
        <w:rPr>
          <w:rFonts w:hint="cs"/>
          <w:rtl/>
        </w:rPr>
        <w:t xml:space="preserve">. לפיכך, בהתגבשות השיתוף הספציפי </w:t>
      </w:r>
      <w:r w:rsidRPr="009353CA">
        <w:rPr>
          <w:rFonts w:hint="cs"/>
          <w:rtl/>
        </w:rPr>
        <w:lastRenderedPageBreak/>
        <w:t xml:space="preserve">בנכס שקודם לכן השתייך רק לאחד מבני הזוג </w:t>
      </w:r>
      <w:r w:rsidRPr="009353CA">
        <w:rPr>
          <w:rtl/>
        </w:rPr>
        <w:t>–</w:t>
      </w:r>
      <w:r w:rsidRPr="009353CA">
        <w:rPr>
          <w:rFonts w:hint="cs"/>
          <w:rtl/>
        </w:rPr>
        <w:t xml:space="preserve"> והוא איננו בר איזון </w:t>
      </w:r>
      <w:r w:rsidRPr="009353CA">
        <w:rPr>
          <w:rtl/>
        </w:rPr>
        <w:t>–</w:t>
      </w:r>
      <w:r w:rsidRPr="009353CA">
        <w:rPr>
          <w:rFonts w:hint="cs"/>
          <w:rtl/>
        </w:rPr>
        <w:t xml:space="preserve"> בגידתו של מקבל זכויות השיתוף בבת הזוג שכבר הקנתה לו זכויות אלה, בין שאירעה לפני </w:t>
      </w:r>
      <w:proofErr w:type="spellStart"/>
      <w:r w:rsidRPr="009353CA">
        <w:rPr>
          <w:rFonts w:hint="cs"/>
          <w:rtl/>
        </w:rPr>
        <w:t>ההקנייה</w:t>
      </w:r>
      <w:proofErr w:type="spellEnd"/>
      <w:r w:rsidRPr="009353CA">
        <w:rPr>
          <w:rFonts w:hint="cs"/>
          <w:rtl/>
        </w:rPr>
        <w:t xml:space="preserve"> ובין שהתרחשה אחריה, לא תבטל, ברגיל, את </w:t>
      </w:r>
      <w:proofErr w:type="spellStart"/>
      <w:r w:rsidRPr="009353CA">
        <w:rPr>
          <w:rFonts w:hint="cs"/>
          <w:rtl/>
        </w:rPr>
        <w:t>ההקנייה</w:t>
      </w:r>
      <w:proofErr w:type="spellEnd"/>
      <w:r w:rsidRPr="009353CA">
        <w:rPr>
          <w:rFonts w:hint="cs"/>
          <w:rtl/>
        </w:rPr>
        <w:t xml:space="preserve"> ואת תוצאתה הקניינית. בן הזוג הבוגד ישמור על מחצית הזכויות בנכס מכוח השיתוף הספציפי. קניין הוא קניין; וגם על כך, כאמור, התקיימה הסכמה מלאה בין השופט </w:t>
      </w:r>
      <w:r w:rsidRPr="009353CA">
        <w:rPr>
          <w:rFonts w:ascii="Century" w:hAnsi="Century" w:cs="Miriam" w:hint="cs"/>
          <w:b/>
          <w:spacing w:val="0"/>
          <w:sz w:val="22"/>
          <w:szCs w:val="24"/>
          <w:rtl/>
        </w:rPr>
        <w:t>מינץ</w:t>
      </w:r>
      <w:r w:rsidRPr="009353CA">
        <w:rPr>
          <w:rFonts w:hint="cs"/>
          <w:rtl/>
        </w:rPr>
        <w:t xml:space="preserve"> וביני, כשופטי הרוב, לבין השופט </w:t>
      </w:r>
      <w:r w:rsidRPr="009353CA">
        <w:rPr>
          <w:rFonts w:ascii="Century" w:hAnsi="Century" w:cs="Miriam" w:hint="cs"/>
          <w:b/>
          <w:spacing w:val="0"/>
          <w:sz w:val="22"/>
          <w:szCs w:val="24"/>
          <w:rtl/>
        </w:rPr>
        <w:t>עמית</w:t>
      </w:r>
      <w:r w:rsidRPr="009353CA">
        <w:rPr>
          <w:rFonts w:hint="cs"/>
          <w:rtl/>
        </w:rPr>
        <w:t xml:space="preserve">, כשופט המיעוט בהליך הקודם. </w:t>
      </w:r>
    </w:p>
    <w:p w:rsidR="00917458" w:rsidRPr="009353CA" w:rsidRDefault="00917458" w:rsidP="00917458">
      <w:pPr>
        <w:pStyle w:val="Ruller41"/>
        <w:rPr>
          <w:rtl/>
        </w:rPr>
      </w:pPr>
    </w:p>
    <w:p w:rsidR="00917458" w:rsidRPr="009353CA" w:rsidRDefault="00917458" w:rsidP="00917458">
      <w:pPr>
        <w:pStyle w:val="Ruller41"/>
        <w:rPr>
          <w:rtl/>
        </w:rPr>
      </w:pPr>
      <w:r w:rsidRPr="009353CA">
        <w:rPr>
          <w:rFonts w:ascii="Century" w:hAnsi="Century" w:cs="Miriam" w:hint="cs"/>
          <w:b/>
          <w:spacing w:val="0"/>
          <w:szCs w:val="24"/>
          <w:rtl/>
        </w:rPr>
        <w:t>בגידה עשויה להשפיע על רצונה של בעלת הרכוש האישי לחלוק אותו עם בן זוגה שבגד בה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בעניין זה, חברי, השופט </w:t>
      </w:r>
      <w:r w:rsidRPr="009353CA">
        <w:rPr>
          <w:rFonts w:ascii="Century" w:hAnsi="Century" w:cs="Miriam" w:hint="cs"/>
          <w:b/>
          <w:spacing w:val="0"/>
          <w:sz w:val="22"/>
          <w:szCs w:val="24"/>
          <w:rtl/>
        </w:rPr>
        <w:t>עמית</w:t>
      </w:r>
      <w:r w:rsidRPr="009353CA">
        <w:rPr>
          <w:rFonts w:hint="cs"/>
          <w:rtl/>
        </w:rPr>
        <w:t>, ואנוכי אינ</w:t>
      </w:r>
      <w:r>
        <w:rPr>
          <w:rFonts w:hint="cs"/>
          <w:rtl/>
        </w:rPr>
        <w:t>נו</w:t>
      </w:r>
      <w:r w:rsidRPr="009353CA">
        <w:rPr>
          <w:rFonts w:hint="cs"/>
          <w:rtl/>
        </w:rPr>
        <w:t xml:space="preserve"> מסכימים זה עם זה. חברי סבור כי בגידה תוכל לשלול את השיתוף הספציפי בנכסו האישי של בן הזוג הנבגד </w:t>
      </w:r>
      <w:r w:rsidRPr="009353CA">
        <w:rPr>
          <w:rtl/>
        </w:rPr>
        <w:t>–</w:t>
      </w:r>
      <w:r w:rsidRPr="009353CA">
        <w:rPr>
          <w:rFonts w:hint="cs"/>
          <w:rtl/>
        </w:rPr>
        <w:t xml:space="preserve"> בהתקיים נישואין ארוכים ושאר התנאים שבכוחם ליצור שיתוף כאמור </w:t>
      </w:r>
      <w:r w:rsidRPr="009353CA">
        <w:rPr>
          <w:rtl/>
        </w:rPr>
        <w:t>–</w:t>
      </w:r>
      <w:r w:rsidRPr="009353CA">
        <w:rPr>
          <w:rFonts w:hint="cs"/>
          <w:rtl/>
        </w:rPr>
        <w:t xml:space="preserve"> אך ורק במקרי קצה (ראו</w:t>
      </w:r>
      <w:r>
        <w:rPr>
          <w:rFonts w:hint="cs"/>
          <w:rtl/>
        </w:rPr>
        <w:t>:</w:t>
      </w:r>
      <w:r w:rsidRPr="009353CA">
        <w:rPr>
          <w:rFonts w:hint="cs"/>
          <w:rtl/>
        </w:rPr>
        <w:t xml:space="preserve"> פסקה 14 לחוות דעתו בפסק הדין בהליך הקודם). לשיטת חברי, מקרי קצה הם מקרים של בגידה מתמשכת ובוטה, כדוגמת המקרה ההיפותטי הבא, שעיקריו הוצגו במהלך הדיון בהליך הנוכחי על ידי הנשיאה </w:t>
      </w:r>
      <w:r w:rsidRPr="009353CA">
        <w:rPr>
          <w:rFonts w:ascii="Century" w:hAnsi="Century" w:cs="Miriam" w:hint="cs"/>
          <w:b/>
          <w:spacing w:val="0"/>
          <w:sz w:val="22"/>
          <w:szCs w:val="24"/>
          <w:rtl/>
        </w:rPr>
        <w:t>חיות</w:t>
      </w:r>
      <w:r w:rsidRPr="009353CA">
        <w:rPr>
          <w:rFonts w:hint="cs"/>
          <w:rtl/>
        </w:rPr>
        <w:t xml:space="preserve">: </w:t>
      </w:r>
    </w:p>
    <w:p w:rsidR="00917458" w:rsidRPr="009353CA" w:rsidRDefault="00917458" w:rsidP="00917458">
      <w:pPr>
        <w:pStyle w:val="Ruller41"/>
        <w:rPr>
          <w:rtl/>
        </w:rPr>
      </w:pPr>
    </w:p>
    <w:p w:rsidR="00917458" w:rsidRPr="009353CA" w:rsidRDefault="00917458" w:rsidP="00917458">
      <w:pPr>
        <w:pStyle w:val="Ruller5"/>
        <w:rPr>
          <w:rtl/>
        </w:rPr>
      </w:pPr>
      <w:r w:rsidRPr="009353CA">
        <w:rPr>
          <w:rFonts w:hint="cs"/>
          <w:rtl/>
        </w:rPr>
        <w:t>לאה וראובן נישאו זו לזה לפני 25 שנה. ללאה יחידת מקרקעין משלה, שאותה היא קיבלה בירושה מהוריה. בין בני הזוג התקיימו כל התנאים אשר נדרשים להתגבשות השיתוף הספציפי באותה יחידת מקרקעין, לרבות נכונותה העקרונית של לאה לחלוק את זכויותיה במקרקעין עם ראובן שווה בשווה. ברם, לימים מתברר שראובן קיים קשר אינטימי רציף וארוך-שנים עם אישה אחרת, וכי לשניים יש ילד משותף.</w:t>
      </w:r>
    </w:p>
    <w:p w:rsidR="00917458" w:rsidRPr="009353CA" w:rsidRDefault="00917458" w:rsidP="00917458">
      <w:pPr>
        <w:pStyle w:val="Ruller41"/>
        <w:rPr>
          <w:rtl/>
        </w:rPr>
      </w:pPr>
    </w:p>
    <w:p w:rsidR="00917458" w:rsidRPr="009353CA" w:rsidRDefault="00917458" w:rsidP="00917458">
      <w:pPr>
        <w:pStyle w:val="Ruller41"/>
        <w:rPr>
          <w:rtl/>
        </w:rPr>
      </w:pPr>
      <w:r w:rsidRPr="009353CA">
        <w:rPr>
          <w:rFonts w:hint="cs"/>
          <w:rtl/>
        </w:rPr>
        <w:t xml:space="preserve"> </w:t>
      </w:r>
      <w:r w:rsidRPr="009353CA">
        <w:rPr>
          <w:rtl/>
        </w:rPr>
        <w:tab/>
      </w:r>
      <w:r w:rsidRPr="009353CA">
        <w:rPr>
          <w:rFonts w:hint="cs"/>
          <w:rtl/>
        </w:rPr>
        <w:t>ברי הוא כי ב</w:t>
      </w:r>
      <w:r>
        <w:rPr>
          <w:rFonts w:hint="cs"/>
          <w:rtl/>
        </w:rPr>
        <w:t>דוגמא זו</w:t>
      </w:r>
      <w:r w:rsidRPr="009353CA">
        <w:rPr>
          <w:rFonts w:hint="cs"/>
          <w:rtl/>
        </w:rPr>
        <w:t xml:space="preserve">, כמו גם במקרה הקיצוני שהוצג בפסק דינה של הנשיאה </w:t>
      </w:r>
      <w:r w:rsidRPr="009353CA">
        <w:rPr>
          <w:rFonts w:ascii="Century" w:hAnsi="Century" w:cs="Miriam" w:hint="cs"/>
          <w:b/>
          <w:spacing w:val="0"/>
          <w:szCs w:val="24"/>
          <w:rtl/>
        </w:rPr>
        <w:t>חיות</w:t>
      </w:r>
      <w:r>
        <w:rPr>
          <w:rFonts w:hint="cs"/>
          <w:rtl/>
        </w:rPr>
        <w:t xml:space="preserve"> (ראו שם, </w:t>
      </w:r>
      <w:r w:rsidRPr="009C7B56">
        <w:rPr>
          <w:rFonts w:hint="cs"/>
          <w:rtl/>
        </w:rPr>
        <w:t xml:space="preserve">פסקה </w:t>
      </w:r>
      <w:r>
        <w:rPr>
          <w:rFonts w:hint="cs"/>
          <w:rtl/>
        </w:rPr>
        <w:t xml:space="preserve">50), </w:t>
      </w:r>
      <w:r w:rsidRPr="009353CA">
        <w:rPr>
          <w:rFonts w:hint="cs"/>
          <w:rtl/>
        </w:rPr>
        <w:t>לא נוכל לייחס ללאה הסכמה שלמה ומוגמרת לשתף את ראובן בזכויותיה ביחידת המקרקעין; ואף אם נמצא הסכמה כזאת, נתיר ללאה לבטלה אחרי-המעשה מחמת הפגם ברצון אשר נבע מההטעיה או מהתרמית הקשה מצדו של ראובן</w:t>
      </w:r>
      <w:r>
        <w:rPr>
          <w:rFonts w:hint="cs"/>
          <w:rtl/>
        </w:rPr>
        <w:t xml:space="preserve"> (ראו: פרק ב' ל</w:t>
      </w:r>
      <w:r w:rsidRPr="009353CA">
        <w:rPr>
          <w:rFonts w:hint="cs"/>
          <w:rtl/>
        </w:rPr>
        <w:t xml:space="preserve">חוק החוזים (חלק כללי), התשל"ג-1973 (להלן: </w:t>
      </w:r>
      <w:r w:rsidRPr="009353CA">
        <w:rPr>
          <w:rFonts w:ascii="Century" w:hAnsi="Century" w:cs="Miriam" w:hint="cs"/>
          <w:b/>
          <w:spacing w:val="0"/>
          <w:szCs w:val="24"/>
          <w:rtl/>
        </w:rPr>
        <w:t>חוק החוזים</w:t>
      </w:r>
      <w:r w:rsidRPr="009353CA">
        <w:rPr>
          <w:rFonts w:hint="cs"/>
          <w:rtl/>
        </w:rPr>
        <w:t>)</w:t>
      </w:r>
      <w:r>
        <w:rPr>
          <w:rFonts w:hint="cs"/>
          <w:rtl/>
        </w:rPr>
        <w:t>)</w:t>
      </w:r>
      <w:r w:rsidRPr="009353CA">
        <w:rPr>
          <w:rFonts w:hint="cs"/>
          <w:rtl/>
        </w:rPr>
        <w:t xml:space="preserve">. </w:t>
      </w:r>
    </w:p>
    <w:p w:rsidR="00917458" w:rsidRPr="009353CA" w:rsidRDefault="00917458" w:rsidP="00917458">
      <w:pPr>
        <w:pStyle w:val="Ruller41"/>
        <w:rPr>
          <w:rtl/>
        </w:rPr>
      </w:pPr>
    </w:p>
    <w:p w:rsidR="00917458" w:rsidRPr="009353CA" w:rsidRDefault="00917458" w:rsidP="00917458">
      <w:pPr>
        <w:pStyle w:val="Ruller41"/>
        <w:rPr>
          <w:rtl/>
        </w:rPr>
      </w:pPr>
      <w:r w:rsidRPr="009353CA">
        <w:rPr>
          <w:rtl/>
        </w:rPr>
        <w:tab/>
      </w:r>
      <w:r w:rsidRPr="009353CA">
        <w:rPr>
          <w:rFonts w:hint="cs"/>
          <w:rtl/>
        </w:rPr>
        <w:t xml:space="preserve">כל זה ברור ומובן, אך מדוע </w:t>
      </w:r>
      <w:r w:rsidRPr="009353CA">
        <w:rPr>
          <w:rFonts w:ascii="Century" w:hAnsi="Century" w:cs="Miriam" w:hint="cs"/>
          <w:b/>
          <w:spacing w:val="0"/>
          <w:szCs w:val="24"/>
          <w:rtl/>
        </w:rPr>
        <w:t>לעולם</w:t>
      </w:r>
      <w:r w:rsidRPr="009353CA">
        <w:rPr>
          <w:rFonts w:hint="cs"/>
          <w:rtl/>
        </w:rPr>
        <w:t xml:space="preserve"> לא ניתן לשלול את דבר קיומו של שיתוף ספציפי בנכסיו האישיים של אחד מבני הזוג </w:t>
      </w:r>
      <w:r w:rsidRPr="009353CA">
        <w:rPr>
          <w:rFonts w:ascii="Century" w:hAnsi="Century" w:cs="Miriam" w:hint="cs"/>
          <w:b/>
          <w:spacing w:val="0"/>
          <w:szCs w:val="24"/>
          <w:rtl/>
        </w:rPr>
        <w:t>גם</w:t>
      </w:r>
      <w:r w:rsidRPr="009353CA">
        <w:rPr>
          <w:rFonts w:hint="cs"/>
          <w:rtl/>
        </w:rPr>
        <w:t xml:space="preserve"> </w:t>
      </w:r>
      <w:r w:rsidRPr="009353CA">
        <w:rPr>
          <w:rFonts w:ascii="Century" w:hAnsi="Century" w:cs="Miriam" w:hint="cs"/>
          <w:b/>
          <w:spacing w:val="0"/>
          <w:szCs w:val="24"/>
          <w:rtl/>
        </w:rPr>
        <w:t>לנוכח בגידה בלתי מתמשכת, ואף חד-פעמית, מצד בן או בת הזוג האחר</w:t>
      </w:r>
      <w:r w:rsidRPr="009353CA">
        <w:rPr>
          <w:rFonts w:hint="cs"/>
          <w:rtl/>
        </w:rPr>
        <w:t>?</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lastRenderedPageBreak/>
        <w:t xml:space="preserve">הנני חולק על הצבתה של "בגידה מתמשכת" או בוטה כבסיס בלעדי לשלילת הסכמתה של בת הזוג הנבגדת להקניית שותפות שוות-זכויות בנכסיה האישיים לבן הזוג הבוגד. דוקטרינת השיתוף הספציפי מושתתת, כאמור, על הסכמה מכללא: הסכם בלתי כתוב ובלתי מפורש אשר משתמע מהתנהלותם של בני הזוג כזוג, ולפיו בחלוף תקופה ארוכה של חיים משותפים בהרמוניה זוגית, הופכים נכסיו האישיים של כל אחד מבני הזוג לנכסים משותפים, בבחינת "שלי </w:t>
      </w:r>
      <w:r w:rsidRPr="009353CA">
        <w:rPr>
          <w:rtl/>
        </w:rPr>
        <w:t>–</w:t>
      </w:r>
      <w:r w:rsidRPr="009353CA">
        <w:rPr>
          <w:rFonts w:hint="cs"/>
          <w:rtl/>
        </w:rPr>
        <w:t xml:space="preserve"> שלך, ושלך </w:t>
      </w:r>
      <w:r w:rsidRPr="009353CA">
        <w:rPr>
          <w:rtl/>
        </w:rPr>
        <w:t>–</w:t>
      </w:r>
      <w:r w:rsidRPr="009353CA">
        <w:rPr>
          <w:rFonts w:hint="cs"/>
          <w:rtl/>
        </w:rPr>
        <w:t xml:space="preserve"> שלי" (ראו</w:t>
      </w:r>
      <w:r>
        <w:rPr>
          <w:rFonts w:hint="cs"/>
          <w:rtl/>
        </w:rPr>
        <w:t>:</w:t>
      </w:r>
      <w:r w:rsidRPr="009353CA">
        <w:rPr>
          <w:rFonts w:hint="cs"/>
          <w:rtl/>
        </w:rPr>
        <w:t xml:space="preserve"> פסקה 4 לחוות דעתי בהליך הקודם). עולמם של הסכמים נשלט על ידי העיקרון של </w:t>
      </w:r>
      <w:r w:rsidRPr="009353CA">
        <w:rPr>
          <w:rFonts w:ascii="Century" w:hAnsi="Century" w:cs="Miriam" w:hint="cs"/>
          <w:b/>
          <w:spacing w:val="0"/>
          <w:sz w:val="22"/>
          <w:szCs w:val="24"/>
          <w:rtl/>
        </w:rPr>
        <w:t>חופש החוזה</w:t>
      </w:r>
      <w:r w:rsidRPr="009353CA">
        <w:rPr>
          <w:rFonts w:hint="cs"/>
          <w:rtl/>
        </w:rPr>
        <w:t xml:space="preserve"> אשר נקבע בסעיף 24 לחוק החוזים ואשר קובע כי "</w:t>
      </w:r>
      <w:r w:rsidRPr="009353CA">
        <w:rPr>
          <w:rFonts w:hint="eastAsia"/>
          <w:rtl/>
        </w:rPr>
        <w:t>תכנו</w:t>
      </w:r>
      <w:r w:rsidRPr="009353CA">
        <w:rPr>
          <w:rtl/>
        </w:rPr>
        <w:t xml:space="preserve"> </w:t>
      </w:r>
      <w:r w:rsidRPr="009353CA">
        <w:rPr>
          <w:rFonts w:hint="eastAsia"/>
          <w:rtl/>
        </w:rPr>
        <w:t>של</w:t>
      </w:r>
      <w:r w:rsidRPr="009353CA">
        <w:rPr>
          <w:rtl/>
        </w:rPr>
        <w:t xml:space="preserve"> </w:t>
      </w:r>
      <w:r w:rsidRPr="009353CA">
        <w:rPr>
          <w:rFonts w:hint="eastAsia"/>
          <w:rtl/>
        </w:rPr>
        <w:t>חוזה</w:t>
      </w:r>
      <w:r w:rsidRPr="009353CA">
        <w:rPr>
          <w:rtl/>
        </w:rPr>
        <w:t xml:space="preserve"> </w:t>
      </w:r>
      <w:r w:rsidRPr="009353CA">
        <w:rPr>
          <w:rFonts w:hint="eastAsia"/>
          <w:rtl/>
        </w:rPr>
        <w:t>יכול</w:t>
      </w:r>
      <w:r w:rsidRPr="009353CA">
        <w:rPr>
          <w:rtl/>
        </w:rPr>
        <w:t xml:space="preserve"> </w:t>
      </w:r>
      <w:r w:rsidRPr="009353CA">
        <w:rPr>
          <w:rFonts w:hint="eastAsia"/>
          <w:rtl/>
        </w:rPr>
        <w:t>שיהיה</w:t>
      </w:r>
      <w:r w:rsidRPr="009353CA">
        <w:rPr>
          <w:rtl/>
        </w:rPr>
        <w:t xml:space="preserve"> </w:t>
      </w:r>
      <w:r w:rsidRPr="009353CA">
        <w:rPr>
          <w:rFonts w:hint="eastAsia"/>
          <w:rtl/>
        </w:rPr>
        <w:t>ככל</w:t>
      </w:r>
      <w:r w:rsidRPr="009353CA">
        <w:rPr>
          <w:rtl/>
        </w:rPr>
        <w:t xml:space="preserve"> </w:t>
      </w:r>
      <w:r w:rsidRPr="009353CA">
        <w:rPr>
          <w:rFonts w:hint="eastAsia"/>
          <w:rtl/>
        </w:rPr>
        <w:t>אשר</w:t>
      </w:r>
      <w:r w:rsidRPr="009353CA">
        <w:rPr>
          <w:rtl/>
        </w:rPr>
        <w:t xml:space="preserve"> </w:t>
      </w:r>
      <w:r w:rsidRPr="009353CA">
        <w:rPr>
          <w:rFonts w:hint="eastAsia"/>
          <w:rtl/>
        </w:rPr>
        <w:t>הסכימו</w:t>
      </w:r>
      <w:r w:rsidRPr="009353CA">
        <w:rPr>
          <w:rtl/>
        </w:rPr>
        <w:t xml:space="preserve"> </w:t>
      </w:r>
      <w:r w:rsidRPr="009353CA">
        <w:rPr>
          <w:rFonts w:hint="eastAsia"/>
          <w:rtl/>
        </w:rPr>
        <w:t>הצדדים</w:t>
      </w:r>
      <w:r w:rsidRPr="009353CA">
        <w:rPr>
          <w:rFonts w:hint="cs"/>
          <w:rtl/>
        </w:rPr>
        <w:t xml:space="preserve">". </w:t>
      </w:r>
      <w:r w:rsidRPr="009353CA">
        <w:rPr>
          <w:rFonts w:ascii="Century" w:hAnsi="Century" w:cs="Miriam" w:hint="cs"/>
          <w:b/>
          <w:spacing w:val="0"/>
          <w:sz w:val="22"/>
          <w:szCs w:val="24"/>
          <w:rtl/>
        </w:rPr>
        <w:t>המילים "ככל אשר הסכימו הצדדים", אין פירושן "ככל שקבע בית המשפט לפי תחושת הצדק שלו".</w:t>
      </w:r>
      <w:r w:rsidRPr="009353CA">
        <w:rPr>
          <w:rFonts w:hint="cs"/>
          <w:rtl/>
        </w:rPr>
        <w:t xml:space="preserve"> ברי הוא, כי חופש החוזה, משמעו חירותו של אדם לעצב לעצמו חוזים ללא הכתבות מגבוה (ראו: </w:t>
      </w:r>
      <w:r w:rsidRPr="009353CA">
        <w:rPr>
          <w:rFonts w:hint="eastAsia"/>
          <w:rtl/>
        </w:rPr>
        <w:t>ע</w:t>
      </w:r>
      <w:r w:rsidRPr="009353CA">
        <w:rPr>
          <w:rtl/>
        </w:rPr>
        <w:t>"</w:t>
      </w:r>
      <w:r w:rsidRPr="009353CA">
        <w:rPr>
          <w:rFonts w:hint="eastAsia"/>
          <w:rtl/>
        </w:rPr>
        <w:t>א</w:t>
      </w:r>
      <w:r w:rsidRPr="009353CA">
        <w:rPr>
          <w:rtl/>
        </w:rPr>
        <w:t xml:space="preserve"> 7649/18 </w:t>
      </w:r>
      <w:r w:rsidRPr="009353CA">
        <w:rPr>
          <w:rFonts w:ascii="Century" w:hAnsi="Century" w:cs="Miriam" w:hint="eastAsia"/>
          <w:b/>
          <w:spacing w:val="0"/>
          <w:sz w:val="22"/>
          <w:szCs w:val="24"/>
          <w:rtl/>
        </w:rPr>
        <w:t>ביבי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כבישים</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עפר</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ופיתוח</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בע</w:t>
      </w:r>
      <w:r w:rsidRPr="009353CA">
        <w:rPr>
          <w:rFonts w:ascii="Century" w:hAnsi="Century" w:cs="Miriam"/>
          <w:b/>
          <w:spacing w:val="0"/>
          <w:sz w:val="22"/>
          <w:szCs w:val="24"/>
          <w:rtl/>
        </w:rPr>
        <w:t>"</w:t>
      </w:r>
      <w:r w:rsidRPr="009353CA">
        <w:rPr>
          <w:rFonts w:ascii="Century" w:hAnsi="Century" w:cs="Miriam" w:hint="eastAsia"/>
          <w:b/>
          <w:spacing w:val="0"/>
          <w:sz w:val="22"/>
          <w:szCs w:val="24"/>
          <w:rtl/>
        </w:rPr>
        <w:t>מ</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רכבת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ישראל</w:t>
      </w:r>
      <w:r w:rsidRPr="009353CA">
        <w:rPr>
          <w:rFonts w:hint="cs"/>
          <w:rtl/>
        </w:rPr>
        <w:t>, פסקאות 14-11</w:t>
      </w:r>
      <w:r w:rsidRPr="009353CA">
        <w:rPr>
          <w:rtl/>
        </w:rPr>
        <w:t xml:space="preserve"> (20.11.19); </w:t>
      </w:r>
      <w:r w:rsidRPr="009353CA">
        <w:rPr>
          <w:rFonts w:hint="eastAsia"/>
          <w:rtl/>
        </w:rPr>
        <w:t>וכן</w:t>
      </w:r>
      <w:r w:rsidRPr="009353CA">
        <w:rPr>
          <w:rtl/>
        </w:rPr>
        <w:t xml:space="preserve"> </w:t>
      </w:r>
      <w:r w:rsidRPr="009353CA">
        <w:rPr>
          <w:rFonts w:hint="eastAsia"/>
          <w:rtl/>
        </w:rPr>
        <w:t>דנ</w:t>
      </w:r>
      <w:r w:rsidRPr="009353CA">
        <w:rPr>
          <w:rtl/>
        </w:rPr>
        <w:t>"</w:t>
      </w:r>
      <w:r w:rsidRPr="009353CA">
        <w:rPr>
          <w:rFonts w:hint="eastAsia"/>
          <w:rtl/>
        </w:rPr>
        <w:t>א</w:t>
      </w:r>
      <w:r w:rsidRPr="009353CA">
        <w:rPr>
          <w:rtl/>
        </w:rPr>
        <w:t xml:space="preserve"> 8100/19 </w:t>
      </w:r>
      <w:r w:rsidRPr="009353CA">
        <w:rPr>
          <w:rFonts w:ascii="Century" w:hAnsi="Century" w:cs="Miriam" w:hint="eastAsia"/>
          <w:b/>
          <w:spacing w:val="0"/>
          <w:sz w:val="22"/>
          <w:szCs w:val="24"/>
          <w:rtl/>
        </w:rPr>
        <w:t>ביבי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כבישים</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עפר</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ופיתוח</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בע</w:t>
      </w:r>
      <w:r w:rsidRPr="009353CA">
        <w:rPr>
          <w:rFonts w:ascii="Century" w:hAnsi="Century" w:cs="Miriam"/>
          <w:b/>
          <w:spacing w:val="0"/>
          <w:sz w:val="22"/>
          <w:szCs w:val="24"/>
          <w:rtl/>
        </w:rPr>
        <w:t>"</w:t>
      </w:r>
      <w:r w:rsidRPr="009353CA">
        <w:rPr>
          <w:rFonts w:ascii="Century" w:hAnsi="Century" w:cs="Miriam" w:hint="eastAsia"/>
          <w:b/>
          <w:spacing w:val="0"/>
          <w:sz w:val="22"/>
          <w:szCs w:val="24"/>
          <w:rtl/>
        </w:rPr>
        <w:t>מ</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רכבת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ישראל</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בע</w:t>
      </w:r>
      <w:r w:rsidRPr="009353CA">
        <w:rPr>
          <w:rFonts w:ascii="Century" w:hAnsi="Century" w:cs="Miriam"/>
          <w:b/>
          <w:spacing w:val="0"/>
          <w:sz w:val="22"/>
          <w:szCs w:val="24"/>
          <w:rtl/>
        </w:rPr>
        <w:t>"</w:t>
      </w:r>
      <w:r w:rsidRPr="009353CA">
        <w:rPr>
          <w:rFonts w:ascii="Century" w:hAnsi="Century" w:cs="Miriam" w:hint="eastAsia"/>
          <w:b/>
          <w:spacing w:val="0"/>
          <w:sz w:val="22"/>
          <w:szCs w:val="24"/>
          <w:rtl/>
        </w:rPr>
        <w:t>מ</w:t>
      </w:r>
      <w:r w:rsidRPr="009353CA">
        <w:rPr>
          <w:rFonts w:ascii="Century" w:hAnsi="Century" w:hint="cs"/>
          <w:sz w:val="22"/>
          <w:rtl/>
        </w:rPr>
        <w:t>, פסקה 17</w:t>
      </w:r>
      <w:r w:rsidRPr="009353CA">
        <w:rPr>
          <w:rtl/>
        </w:rPr>
        <w:t xml:space="preserve"> (19.4.2020)</w:t>
      </w:r>
      <w:r w:rsidRPr="009353CA">
        <w:rPr>
          <w:rFonts w:hint="cs"/>
          <w:rtl/>
        </w:rPr>
        <w:t xml:space="preserve">).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עמדתו של חברי, השופט </w:t>
      </w:r>
      <w:r w:rsidRPr="009353CA">
        <w:rPr>
          <w:rFonts w:ascii="Century" w:hAnsi="Century" w:cs="Miriam" w:hint="cs"/>
          <w:b/>
          <w:spacing w:val="0"/>
          <w:sz w:val="22"/>
          <w:szCs w:val="24"/>
          <w:rtl/>
        </w:rPr>
        <w:t>עמית</w:t>
      </w:r>
      <w:r w:rsidRPr="009353CA">
        <w:rPr>
          <w:rFonts w:hint="cs"/>
          <w:rtl/>
        </w:rPr>
        <w:t xml:space="preserve">, לפיה רק "בגידה מתמשכת" או בוטה עשויה לשלול את הסכמתו של בן הזוג הנבגד להקניית שותפות שוות-זכויות בנכסיו האישיים לבת זוגו הבוגדת, אינה עולה בקנה אחד עם עיקרון זה.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העיקרון של חופש החוזה מפקיד בידיו של בן הזוג בעל הנכס האישי חירות מלאה ומוחלטת שלא לשתף את בת זוגו בשום חלק מאותו נכס. כפועל יוצא מכך, בן הזוג בעל הנכס האישי זכאי להקנות לבת זוגו זכויות שותפות בנכסו רק בהתקיים תנאים </w:t>
      </w:r>
      <w:proofErr w:type="spellStart"/>
      <w:r w:rsidRPr="009353CA">
        <w:rPr>
          <w:rFonts w:hint="cs"/>
          <w:rtl/>
        </w:rPr>
        <w:t>מסויימים</w:t>
      </w:r>
      <w:proofErr w:type="spellEnd"/>
      <w:r w:rsidRPr="009353CA">
        <w:rPr>
          <w:rFonts w:hint="cs"/>
          <w:rtl/>
        </w:rPr>
        <w:t xml:space="preserve"> אשר תואמים את רצונו שלו או, אם הוא חפץ בכך, ללא כל תנאי. חירותו החוזית של בעל הנכס האישי מחייבת את בית המשפט לבדוק, </w:t>
      </w:r>
      <w:r w:rsidRPr="009353CA">
        <w:rPr>
          <w:rFonts w:ascii="Century" w:hAnsi="Century" w:cs="Miriam" w:hint="cs"/>
          <w:b/>
          <w:spacing w:val="0"/>
          <w:sz w:val="22"/>
          <w:szCs w:val="24"/>
          <w:rtl/>
        </w:rPr>
        <w:t>כעניין של עובדה</w:t>
      </w:r>
      <w:r w:rsidRPr="009353CA">
        <w:rPr>
          <w:rFonts w:hint="cs"/>
          <w:rtl/>
        </w:rPr>
        <w:t xml:space="preserve">, את הסכמתו של אותו בעל נכס לחלוק את נכסו הפרטי עם בת זוגו, ככל שהסכמה כזאת קיימת. כמו כן שומה על בית המשפט לבדוק אם מדובר בהסכמה ללא תנאים או שמא בהסכמה המותנית בתנאים. במקרה האחרון, יהא על בית המשפט לבדוק </w:t>
      </w:r>
      <w:r w:rsidRPr="009353CA">
        <w:rPr>
          <w:rtl/>
        </w:rPr>
        <w:t>–</w:t>
      </w:r>
      <w:r w:rsidRPr="009353CA">
        <w:rPr>
          <w:rFonts w:hint="cs"/>
          <w:rtl/>
        </w:rPr>
        <w:t xml:space="preserve"> </w:t>
      </w:r>
      <w:r w:rsidRPr="009353CA">
        <w:rPr>
          <w:rFonts w:ascii="Century" w:hAnsi="Century" w:cs="Miriam" w:hint="cs"/>
          <w:b/>
          <w:spacing w:val="0"/>
          <w:sz w:val="22"/>
          <w:szCs w:val="24"/>
          <w:rtl/>
        </w:rPr>
        <w:t>שוב, כעניין של עובדה</w:t>
      </w:r>
      <w:r w:rsidRPr="009353CA">
        <w:rPr>
          <w:rFonts w:hint="cs"/>
          <w:rtl/>
        </w:rPr>
        <w:t xml:space="preserve"> </w:t>
      </w:r>
      <w:r w:rsidRPr="009353CA">
        <w:rPr>
          <w:rtl/>
        </w:rPr>
        <w:t>–</w:t>
      </w:r>
      <w:r w:rsidRPr="009353CA">
        <w:rPr>
          <w:rFonts w:hint="cs"/>
          <w:rtl/>
        </w:rPr>
        <w:t xml:space="preserve"> את תוכן התנאים שבהתקיימותם הסכים בן הזוג בעל הנכס האישי לחלוק את נכסו עם בת זוגו שווה בשווה או באופן אחר.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בדיקה כאמור </w:t>
      </w:r>
      <w:r>
        <w:rPr>
          <w:rFonts w:hint="cs"/>
          <w:rtl/>
        </w:rPr>
        <w:t>יכולה</w:t>
      </w:r>
      <w:r w:rsidRPr="009353CA">
        <w:rPr>
          <w:rFonts w:hint="cs"/>
          <w:rtl/>
        </w:rPr>
        <w:t xml:space="preserve"> להתייחס גם לתרחיש של בגידה מצדו של בן הזוג אשר עתיד לקבל שותפות שוות זכויות בנכסה האישי של בת זוגו. ביחס לתרחיש כאמור, יהא על בית המשפט לבדוק </w:t>
      </w:r>
      <w:r w:rsidRPr="009353CA">
        <w:rPr>
          <w:rtl/>
        </w:rPr>
        <w:t>–</w:t>
      </w:r>
      <w:r w:rsidRPr="009353CA">
        <w:rPr>
          <w:rFonts w:hint="cs"/>
          <w:rtl/>
        </w:rPr>
        <w:t xml:space="preserve"> </w:t>
      </w:r>
      <w:r w:rsidRPr="009353CA">
        <w:rPr>
          <w:rFonts w:ascii="Century" w:hAnsi="Century" w:cs="Miriam" w:hint="cs"/>
          <w:b/>
          <w:spacing w:val="0"/>
          <w:sz w:val="22"/>
          <w:szCs w:val="24"/>
          <w:rtl/>
        </w:rPr>
        <w:t>שוב, כעניין של עובדה</w:t>
      </w:r>
      <w:r w:rsidRPr="009353CA">
        <w:rPr>
          <w:rFonts w:hint="cs"/>
          <w:rtl/>
        </w:rPr>
        <w:t xml:space="preserve"> </w:t>
      </w:r>
      <w:r w:rsidRPr="009353CA">
        <w:rPr>
          <w:rtl/>
        </w:rPr>
        <w:t>–</w:t>
      </w:r>
      <w:r w:rsidRPr="009353CA">
        <w:rPr>
          <w:rFonts w:hint="cs"/>
          <w:rtl/>
        </w:rPr>
        <w:t xml:space="preserve"> האם הסכמתה המפורשת או המשתמעת של בת הזוג בעלת הנכס האישי לחלוק את נכסה עם בן זוגה הותנתה, במפורש או מכללא, </w:t>
      </w:r>
      <w:r w:rsidRPr="009353CA">
        <w:rPr>
          <w:rFonts w:hint="cs"/>
          <w:rtl/>
        </w:rPr>
        <w:lastRenderedPageBreak/>
        <w:t xml:space="preserve">בקיומה של נאמנות מינית לאורך חיי הנישואין. במסגרתו של חופש החוזה, ובהינתן החירות המוחלטת שבידי בעלת הנכס לעשות בנכסה כרצונה, העניין הזה הוא בלי ספק רלבנטי לבדיקת קיומה של הקנייה רצונית של זכויות השותפות בנכס על ידי בעליו לבן הזוג. ודוק: באין הקנייה רצונית כאמור, בן הזוג הבוגד לא מקבל לידיו </w:t>
      </w:r>
      <w:r w:rsidRPr="009353CA">
        <w:rPr>
          <w:rtl/>
        </w:rPr>
        <w:t>–</w:t>
      </w:r>
      <w:r w:rsidRPr="009353CA">
        <w:rPr>
          <w:rFonts w:hint="cs"/>
          <w:rtl/>
        </w:rPr>
        <w:t xml:space="preserve"> </w:t>
      </w:r>
      <w:r w:rsidRPr="009353CA">
        <w:rPr>
          <w:rFonts w:ascii="Century" w:hAnsi="Century" w:cs="Miriam" w:hint="cs"/>
          <w:b/>
          <w:spacing w:val="0"/>
          <w:sz w:val="22"/>
          <w:szCs w:val="24"/>
          <w:rtl/>
        </w:rPr>
        <w:t>מלכתחילה</w:t>
      </w:r>
      <w:r w:rsidRPr="009353CA">
        <w:rPr>
          <w:rFonts w:hint="cs"/>
          <w:rtl/>
        </w:rPr>
        <w:t xml:space="preserve"> </w:t>
      </w:r>
      <w:r w:rsidRPr="009353CA">
        <w:rPr>
          <w:rtl/>
        </w:rPr>
        <w:t>–</w:t>
      </w:r>
      <w:r w:rsidRPr="009353CA">
        <w:rPr>
          <w:rFonts w:hint="cs"/>
          <w:rtl/>
        </w:rPr>
        <w:t xml:space="preserve"> שום זכויות בנכס האישי של בת זוגו; וכפי שהסברתי בפסק דיני בהליך הקודם, אין לראותו מטעם זה כמי שכביכול "נענש" בשל הבגידה. לטעמי, "עונש" הוא שלילת זכות אשר כבר נרכשה או הבשילה. אי-הקניית זכות שיתוף איננה בגדר עונש </w:t>
      </w:r>
      <w:r w:rsidRPr="009353CA">
        <w:rPr>
          <w:rtl/>
        </w:rPr>
        <w:t>–</w:t>
      </w:r>
      <w:r w:rsidRPr="009353CA">
        <w:rPr>
          <w:rFonts w:hint="cs"/>
          <w:rtl/>
        </w:rPr>
        <w:t xml:space="preserve"> זאת, מאחר שלבן הזוג לא נתונה שום זכות אפריורית, קל וחומר זכות מוקנית, ברכושה האישי של בת זוגו, ולהיפך (ראו: </w:t>
      </w:r>
      <w:r w:rsidRPr="009353CA">
        <w:rPr>
          <w:rFonts w:hint="eastAsia"/>
          <w:rtl/>
        </w:rPr>
        <w:t>עניין</w:t>
      </w:r>
      <w:r w:rsidRPr="009353CA">
        <w:rPr>
          <w:rtl/>
        </w:rPr>
        <w:t xml:space="preserve"> </w:t>
      </w:r>
      <w:r w:rsidRPr="009353CA">
        <w:rPr>
          <w:rFonts w:ascii="Century" w:hAnsi="Century" w:cs="Miriam" w:hint="eastAsia"/>
          <w:b/>
          <w:spacing w:val="0"/>
          <w:sz w:val="22"/>
          <w:szCs w:val="24"/>
          <w:rtl/>
        </w:rPr>
        <w:t>אבו</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רומי</w:t>
      </w:r>
      <w:r w:rsidRPr="009353CA">
        <w:rPr>
          <w:rFonts w:hint="cs"/>
          <w:rtl/>
        </w:rPr>
        <w:t xml:space="preserve">, פסקאות 12-11; </w:t>
      </w:r>
      <w:r w:rsidRPr="009353CA">
        <w:rPr>
          <w:rFonts w:hint="eastAsia"/>
          <w:rtl/>
        </w:rPr>
        <w:t>בע</w:t>
      </w:r>
      <w:r w:rsidRPr="009353CA">
        <w:rPr>
          <w:rtl/>
        </w:rPr>
        <w:t>"</w:t>
      </w:r>
      <w:r w:rsidRPr="009353CA">
        <w:rPr>
          <w:rFonts w:hint="eastAsia"/>
          <w:rtl/>
        </w:rPr>
        <w:t>מ</w:t>
      </w:r>
      <w:r w:rsidRPr="009353CA">
        <w:rPr>
          <w:rtl/>
        </w:rPr>
        <w:t xml:space="preserve"> 1398/11 </w:t>
      </w:r>
      <w:r w:rsidRPr="009353CA">
        <w:rPr>
          <w:rFonts w:ascii="Century" w:hAnsi="Century" w:cs="Miriam" w:hint="eastAsia"/>
          <w:b/>
          <w:spacing w:val="0"/>
          <w:sz w:val="22"/>
          <w:szCs w:val="24"/>
          <w:rtl/>
        </w:rPr>
        <w:t>אלמונית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אלמוני</w:t>
      </w:r>
      <w:r w:rsidRPr="009353CA">
        <w:rPr>
          <w:rFonts w:ascii="Century" w:hAnsi="Century" w:cs="Miriam"/>
          <w:b/>
          <w:spacing w:val="0"/>
          <w:sz w:val="22"/>
          <w:szCs w:val="24"/>
          <w:rtl/>
        </w:rPr>
        <w:t xml:space="preserve"> </w:t>
      </w:r>
      <w:r w:rsidRPr="009353CA">
        <w:rPr>
          <w:rtl/>
        </w:rPr>
        <w:t>(26.12.2012)</w:t>
      </w:r>
      <w:r w:rsidRPr="009353CA">
        <w:rPr>
          <w:rFonts w:hint="cs"/>
          <w:rtl/>
        </w:rPr>
        <w:t xml:space="preserve"> (להלן: </w:t>
      </w:r>
      <w:r w:rsidRPr="00106F85">
        <w:rPr>
          <w:rFonts w:ascii="Century" w:hAnsi="Century" w:cs="Miriam" w:hint="eastAsia"/>
          <w:b/>
          <w:spacing w:val="0"/>
          <w:sz w:val="22"/>
          <w:szCs w:val="24"/>
          <w:rtl/>
        </w:rPr>
        <w:t>בע</w:t>
      </w:r>
      <w:r w:rsidRPr="00106F85">
        <w:rPr>
          <w:rFonts w:ascii="Century" w:hAnsi="Century" w:cs="Miriam"/>
          <w:b/>
          <w:spacing w:val="0"/>
          <w:sz w:val="22"/>
          <w:szCs w:val="24"/>
          <w:rtl/>
        </w:rPr>
        <w:t>"</w:t>
      </w:r>
      <w:r w:rsidRPr="00106F85">
        <w:rPr>
          <w:rFonts w:ascii="Century" w:hAnsi="Century" w:cs="Miriam" w:hint="eastAsia"/>
          <w:b/>
          <w:spacing w:val="0"/>
          <w:sz w:val="22"/>
          <w:szCs w:val="24"/>
          <w:rtl/>
        </w:rPr>
        <w:t>מ</w:t>
      </w:r>
      <w:r w:rsidRPr="00106F85">
        <w:rPr>
          <w:rFonts w:ascii="Century" w:hAnsi="Century" w:cs="Miriam"/>
          <w:b/>
          <w:spacing w:val="0"/>
          <w:sz w:val="22"/>
          <w:szCs w:val="24"/>
          <w:rtl/>
        </w:rPr>
        <w:t xml:space="preserve"> </w:t>
      </w:r>
      <w:r w:rsidRPr="009353CA">
        <w:rPr>
          <w:rFonts w:ascii="Century" w:hAnsi="Century" w:cs="Miriam" w:hint="cs"/>
          <w:b/>
          <w:spacing w:val="0"/>
          <w:sz w:val="22"/>
          <w:szCs w:val="24"/>
          <w:rtl/>
        </w:rPr>
        <w:t>1398/11</w:t>
      </w:r>
      <w:r w:rsidRPr="009353CA">
        <w:rPr>
          <w:rFonts w:hint="cs"/>
          <w:rtl/>
        </w:rPr>
        <w:t>)</w:t>
      </w:r>
      <w:r w:rsidRPr="009353CA">
        <w:rPr>
          <w:rtl/>
        </w:rPr>
        <w:t xml:space="preserve">; </w:t>
      </w:r>
      <w:r w:rsidRPr="009353CA">
        <w:rPr>
          <w:rFonts w:hint="eastAsia"/>
          <w:rtl/>
        </w:rPr>
        <w:t>וכן</w:t>
      </w:r>
      <w:r w:rsidRPr="009353CA">
        <w:rPr>
          <w:rtl/>
        </w:rPr>
        <w:t xml:space="preserve"> </w:t>
      </w:r>
      <w:r w:rsidRPr="009353CA">
        <w:rPr>
          <w:rFonts w:hint="eastAsia"/>
          <w:rtl/>
        </w:rPr>
        <w:t>בע</w:t>
      </w:r>
      <w:r w:rsidRPr="009353CA">
        <w:rPr>
          <w:rtl/>
        </w:rPr>
        <w:t>"</w:t>
      </w:r>
      <w:r w:rsidRPr="009353CA">
        <w:rPr>
          <w:rFonts w:hint="eastAsia"/>
          <w:rtl/>
        </w:rPr>
        <w:t>מ</w:t>
      </w:r>
      <w:r w:rsidRPr="009353CA">
        <w:rPr>
          <w:rtl/>
        </w:rPr>
        <w:t xml:space="preserve"> 1477/13 </w:t>
      </w:r>
      <w:r w:rsidRPr="009353CA">
        <w:rPr>
          <w:rFonts w:ascii="Century" w:hAnsi="Century" w:cs="Miriam" w:hint="eastAsia"/>
          <w:b/>
          <w:spacing w:val="0"/>
          <w:sz w:val="22"/>
          <w:szCs w:val="24"/>
          <w:rtl/>
        </w:rPr>
        <w:t>פלונית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פלוני</w:t>
      </w:r>
      <w:r w:rsidRPr="009353CA">
        <w:rPr>
          <w:rFonts w:ascii="FrankRuehl" w:hAnsi="FrankRuehl" w:hint="cs"/>
          <w:b/>
          <w:spacing w:val="0"/>
          <w:sz w:val="28"/>
          <w:rtl/>
        </w:rPr>
        <w:t>, פסקה 4</w:t>
      </w:r>
      <w:r w:rsidRPr="009353CA">
        <w:rPr>
          <w:rtl/>
        </w:rPr>
        <w:t xml:space="preserve"> (6.8.2013)</w:t>
      </w:r>
      <w:r w:rsidRPr="009353CA">
        <w:rPr>
          <w:rFonts w:hint="cs"/>
          <w:rtl/>
        </w:rPr>
        <w:t xml:space="preserve">). דבר זה לעולם תלוי ברצונו הטוב של בן הזוג בעל הנכס האישי ובאופן שבו הוא יבקש לממש את חופש החוזה שבידיו ואת חירותו כבעל הזכויות בנכס. </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חברי, השופט </w:t>
      </w:r>
      <w:r w:rsidRPr="009353CA">
        <w:rPr>
          <w:rFonts w:ascii="Century" w:hAnsi="Century" w:cs="Miriam" w:hint="cs"/>
          <w:b/>
          <w:spacing w:val="0"/>
          <w:sz w:val="22"/>
          <w:szCs w:val="24"/>
          <w:rtl/>
        </w:rPr>
        <w:t>עמית</w:t>
      </w:r>
      <w:r w:rsidRPr="009353CA">
        <w:rPr>
          <w:rFonts w:hint="cs"/>
          <w:rtl/>
        </w:rPr>
        <w:t xml:space="preserve">, ביקש לקבוע, מטעמים נורמטיביים, כלל אחד ואחיד עבור כלל בני הזוג בישראל. לשיטתו, רק בגידה מתמשכת (או בוטה) תשמש אינדיקציה להעדר הסכמתו של בן הזוג הנבגד לחלוק את רכושו האישי עם בת הזוג הבוגדת. </w:t>
      </w:r>
    </w:p>
    <w:p w:rsidR="00917458" w:rsidRPr="009353CA" w:rsidRDefault="00917458" w:rsidP="00917458">
      <w:pPr>
        <w:pStyle w:val="Ruller4"/>
        <w:numPr>
          <w:ilvl w:val="0"/>
          <w:numId w:val="0"/>
        </w:numPr>
        <w:rPr>
          <w:rtl/>
        </w:rPr>
      </w:pPr>
    </w:p>
    <w:p w:rsidR="00917458" w:rsidRPr="009353CA" w:rsidRDefault="00917458" w:rsidP="00917458">
      <w:pPr>
        <w:pStyle w:val="Ruller4"/>
        <w:numPr>
          <w:ilvl w:val="0"/>
          <w:numId w:val="0"/>
        </w:numPr>
        <w:rPr>
          <w:rtl/>
        </w:rPr>
      </w:pPr>
      <w:r w:rsidRPr="009353CA">
        <w:rPr>
          <w:rtl/>
        </w:rPr>
        <w:tab/>
      </w:r>
      <w:r w:rsidRPr="009353CA">
        <w:rPr>
          <w:rFonts w:hint="cs"/>
          <w:rtl/>
        </w:rPr>
        <w:t xml:space="preserve">מניין לנו זאת? בעולמו של חופש החוזה ובעולמם של דינים כשלנו, אשר מכבדים את הקניין הפרטי, בעלת רכוש רשאית לקבוע כל תנאי שיעלה על רוחה להקניית רכושה הפרטי לאדם אחר, גם כשאותו אדם אחר הוא בן זוגה. במסגרת זו, רשאית בעלת הרכוש לקבוע כי כל מעשה בגידה, לרבות בגידה חד-פעמית, ישלול או יפקיע את הסכמתה לשתף את בן זוגה בקניינה האישי. קביעה כאמור תמנע את הקנייתן של זכויות ברכוש לבן הזוג הבוגד, כל אימת שהבגידה קודמת להשתכללות </w:t>
      </w:r>
      <w:proofErr w:type="spellStart"/>
      <w:r w:rsidRPr="009353CA">
        <w:rPr>
          <w:rFonts w:hint="cs"/>
          <w:rtl/>
        </w:rPr>
        <w:t>ההקנייה</w:t>
      </w:r>
      <w:proofErr w:type="spellEnd"/>
      <w:r w:rsidRPr="009353CA">
        <w:rPr>
          <w:rFonts w:hint="cs"/>
          <w:rtl/>
        </w:rPr>
        <w:t xml:space="preserve">. יתרה מכך: בגידה אשר מתרחשת אחרי שהקניית השותפות שוות-הזכויות לבן הזוג הבוגד כבר הושלמה עשויה לעתים לבטל את </w:t>
      </w:r>
      <w:proofErr w:type="spellStart"/>
      <w:r w:rsidRPr="009353CA">
        <w:rPr>
          <w:rFonts w:hint="cs"/>
          <w:rtl/>
        </w:rPr>
        <w:t>ההקנייה</w:t>
      </w:r>
      <w:proofErr w:type="spellEnd"/>
      <w:r w:rsidRPr="009353CA">
        <w:rPr>
          <w:rFonts w:hint="cs"/>
          <w:rtl/>
        </w:rPr>
        <w:t xml:space="preserve"> אף בדיעבד. כך יקרה אם נמצא, כעניין של עובדה, שבעלת הרכוש העניקה לבן זוגה מחצית או חלק אחר מרכושה הפרטי </w:t>
      </w:r>
      <w:r w:rsidRPr="009353CA">
        <w:rPr>
          <w:rFonts w:ascii="Century" w:hAnsi="Century" w:cs="Miriam" w:hint="cs"/>
          <w:b/>
          <w:spacing w:val="0"/>
          <w:sz w:val="22"/>
          <w:szCs w:val="24"/>
          <w:rtl/>
        </w:rPr>
        <w:t>כמתנה על תנאי</w:t>
      </w:r>
      <w:r w:rsidRPr="009353CA">
        <w:rPr>
          <w:rFonts w:hint="cs"/>
          <w:rtl/>
        </w:rPr>
        <w:t xml:space="preserve">, במובן של סעיף 4 לחוק המתנה, כאשר התנאי דורש מבן הזוג נאמנות מינית מוחלטת לאורך הנישואין. במאמר מוסגר, אודה כי דעתי האישית איננה נוחה מאפשרות זו, אך ההחלטה </w:t>
      </w:r>
      <w:proofErr w:type="spellStart"/>
      <w:r w:rsidRPr="009353CA">
        <w:rPr>
          <w:rFonts w:hint="cs"/>
          <w:rtl/>
        </w:rPr>
        <w:t>בכגון</w:t>
      </w:r>
      <w:proofErr w:type="spellEnd"/>
      <w:r w:rsidRPr="009353CA">
        <w:rPr>
          <w:rFonts w:hint="cs"/>
          <w:rtl/>
        </w:rPr>
        <w:t xml:space="preserve"> דא מצויה בידי בעלת הנכס, ולא בידי </w:t>
      </w:r>
      <w:r w:rsidRPr="009353CA">
        <w:rPr>
          <w:rtl/>
        </w:rPr>
        <w:t>–</w:t>
      </w:r>
      <w:r w:rsidRPr="009353CA">
        <w:rPr>
          <w:rFonts w:hint="cs"/>
          <w:rtl/>
        </w:rPr>
        <w:t xml:space="preserve"> כך קובע העיקרון של חופש החוזה. אין תמה אפוא, כי הענקה מותנית כאמור הוכרה, בנסיבותיה המיוחדות, כתקפה ומחייבת על ידי המשנה לנשיא </w:t>
      </w:r>
      <w:r w:rsidRPr="009353CA">
        <w:rPr>
          <w:rFonts w:ascii="Century" w:hAnsi="Century" w:cs="Miriam" w:hint="cs"/>
          <w:b/>
          <w:spacing w:val="0"/>
          <w:sz w:val="22"/>
          <w:szCs w:val="24"/>
          <w:rtl/>
        </w:rPr>
        <w:t>א' ברק</w:t>
      </w:r>
      <w:r w:rsidRPr="009353CA">
        <w:rPr>
          <w:rFonts w:hint="cs"/>
          <w:rtl/>
        </w:rPr>
        <w:t xml:space="preserve"> (כתוארו אז) בפרשת </w:t>
      </w:r>
      <w:r w:rsidRPr="009353CA">
        <w:rPr>
          <w:rFonts w:ascii="Century" w:hAnsi="Century" w:cs="Miriam" w:hint="cs"/>
          <w:b/>
          <w:spacing w:val="0"/>
          <w:sz w:val="22"/>
          <w:szCs w:val="24"/>
          <w:rtl/>
        </w:rPr>
        <w:t>בבלי</w:t>
      </w:r>
      <w:r w:rsidRPr="009353CA">
        <w:rPr>
          <w:rFonts w:hint="cs"/>
          <w:rtl/>
        </w:rPr>
        <w:t xml:space="preserve"> (</w:t>
      </w:r>
      <w:r w:rsidRPr="009353CA">
        <w:rPr>
          <w:rFonts w:hint="eastAsia"/>
          <w:rtl/>
        </w:rPr>
        <w:t>בג</w:t>
      </w:r>
      <w:r w:rsidRPr="009353CA">
        <w:rPr>
          <w:rtl/>
        </w:rPr>
        <w:t>"</w:t>
      </w:r>
      <w:r w:rsidRPr="009353CA">
        <w:rPr>
          <w:rFonts w:hint="eastAsia"/>
          <w:rtl/>
        </w:rPr>
        <w:t>ץ</w:t>
      </w:r>
      <w:r w:rsidRPr="009353CA">
        <w:rPr>
          <w:rtl/>
        </w:rPr>
        <w:t xml:space="preserve"> 1000/92 </w:t>
      </w:r>
      <w:r w:rsidRPr="009353CA">
        <w:rPr>
          <w:rFonts w:ascii="Century" w:hAnsi="Century" w:cs="Miriam" w:hint="eastAsia"/>
          <w:b/>
          <w:spacing w:val="0"/>
          <w:sz w:val="22"/>
          <w:szCs w:val="24"/>
          <w:rtl/>
        </w:rPr>
        <w:t>בבלי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הדין</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הרבני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הגדול</w:t>
      </w:r>
      <w:r w:rsidRPr="009353CA">
        <w:rPr>
          <w:rtl/>
        </w:rPr>
        <w:t xml:space="preserve">, </w:t>
      </w:r>
      <w:r w:rsidRPr="009353CA">
        <w:rPr>
          <w:rFonts w:hint="eastAsia"/>
          <w:rtl/>
        </w:rPr>
        <w:t>פ</w:t>
      </w:r>
      <w:r w:rsidRPr="009353CA">
        <w:rPr>
          <w:rtl/>
        </w:rPr>
        <w:t>"</w:t>
      </w:r>
      <w:r w:rsidRPr="009353CA">
        <w:rPr>
          <w:rFonts w:hint="eastAsia"/>
          <w:rtl/>
        </w:rPr>
        <w:t>ד</w:t>
      </w:r>
      <w:r w:rsidRPr="009353CA">
        <w:rPr>
          <w:rtl/>
        </w:rPr>
        <w:t xml:space="preserve"> </w:t>
      </w:r>
      <w:r w:rsidRPr="009353CA">
        <w:rPr>
          <w:rFonts w:hint="eastAsia"/>
          <w:rtl/>
        </w:rPr>
        <w:t>מח</w:t>
      </w:r>
      <w:r w:rsidRPr="009353CA">
        <w:rPr>
          <w:rtl/>
        </w:rPr>
        <w:t>(2) 221</w:t>
      </w:r>
      <w:r w:rsidRPr="009353CA">
        <w:rPr>
          <w:rFonts w:hint="cs"/>
          <w:rtl/>
        </w:rPr>
        <w:t>, 251-250</w:t>
      </w:r>
      <w:r w:rsidRPr="009353CA">
        <w:rPr>
          <w:rtl/>
        </w:rPr>
        <w:t xml:space="preserve"> (1994)</w:t>
      </w:r>
      <w:r w:rsidRPr="009353CA">
        <w:rPr>
          <w:rFonts w:hint="cs"/>
          <w:rtl/>
        </w:rPr>
        <w:t xml:space="preserve">). הכרה זו תואמת את המודל החוזי-הסכמי שעליו נבנתה דוקטרינת השיתוף הספציפי (ראו: עניין </w:t>
      </w:r>
      <w:r w:rsidRPr="009353CA">
        <w:rPr>
          <w:rFonts w:ascii="Century" w:hAnsi="Century" w:cs="Miriam" w:hint="cs"/>
          <w:b/>
          <w:spacing w:val="0"/>
          <w:sz w:val="22"/>
          <w:szCs w:val="24"/>
          <w:rtl/>
        </w:rPr>
        <w:t>אבו רומי</w:t>
      </w:r>
      <w:r w:rsidRPr="009353CA">
        <w:rPr>
          <w:rFonts w:hint="cs"/>
          <w:rtl/>
        </w:rPr>
        <w:t>;</w:t>
      </w:r>
      <w:r w:rsidRPr="009353CA">
        <w:rPr>
          <w:rtl/>
        </w:rPr>
        <w:t xml:space="preserve"> </w:t>
      </w:r>
      <w:r w:rsidRPr="009353CA">
        <w:rPr>
          <w:rFonts w:hint="eastAsia"/>
          <w:rtl/>
        </w:rPr>
        <w:t>וכן</w:t>
      </w:r>
      <w:r w:rsidRPr="009353CA">
        <w:rPr>
          <w:rtl/>
        </w:rPr>
        <w:t xml:space="preserve"> </w:t>
      </w:r>
      <w:r w:rsidRPr="009353CA">
        <w:rPr>
          <w:rFonts w:hint="eastAsia"/>
          <w:rtl/>
        </w:rPr>
        <w:t>שחר</w:t>
      </w:r>
      <w:r w:rsidRPr="009353CA">
        <w:rPr>
          <w:rtl/>
        </w:rPr>
        <w:t xml:space="preserve"> </w:t>
      </w:r>
      <w:r w:rsidRPr="009353CA">
        <w:rPr>
          <w:rFonts w:hint="eastAsia"/>
          <w:rtl/>
        </w:rPr>
        <w:t>ליפשיץ</w:t>
      </w:r>
      <w:r w:rsidRPr="009353CA">
        <w:rPr>
          <w:rtl/>
        </w:rPr>
        <w:t xml:space="preserve"> "</w:t>
      </w:r>
      <w:r w:rsidRPr="009353CA">
        <w:rPr>
          <w:rFonts w:hint="eastAsia"/>
          <w:rtl/>
        </w:rPr>
        <w:t>יחסי</w:t>
      </w:r>
      <w:r w:rsidRPr="009353CA">
        <w:rPr>
          <w:rtl/>
        </w:rPr>
        <w:t xml:space="preserve"> </w:t>
      </w:r>
      <w:r w:rsidRPr="009353CA">
        <w:rPr>
          <w:rFonts w:hint="eastAsia"/>
          <w:rtl/>
        </w:rPr>
        <w:t>משפחה</w:t>
      </w:r>
      <w:r w:rsidRPr="009353CA">
        <w:rPr>
          <w:rtl/>
        </w:rPr>
        <w:t xml:space="preserve"> </w:t>
      </w:r>
      <w:r w:rsidRPr="009353CA">
        <w:rPr>
          <w:rFonts w:hint="eastAsia"/>
          <w:rtl/>
        </w:rPr>
        <w:t>וממון</w:t>
      </w:r>
      <w:r w:rsidRPr="009353CA">
        <w:rPr>
          <w:rtl/>
        </w:rPr>
        <w:t xml:space="preserve">: </w:t>
      </w:r>
      <w:r w:rsidRPr="009353CA">
        <w:rPr>
          <w:rFonts w:hint="eastAsia"/>
          <w:rtl/>
        </w:rPr>
        <w:t>אתגרים</w:t>
      </w:r>
      <w:r w:rsidRPr="009353CA">
        <w:rPr>
          <w:rtl/>
        </w:rPr>
        <w:t xml:space="preserve"> </w:t>
      </w:r>
      <w:r w:rsidRPr="009353CA">
        <w:rPr>
          <w:rFonts w:hint="eastAsia"/>
          <w:rtl/>
        </w:rPr>
        <w:t>ומשימות</w:t>
      </w:r>
      <w:r w:rsidRPr="009353CA">
        <w:rPr>
          <w:rtl/>
        </w:rPr>
        <w:t xml:space="preserve"> </w:t>
      </w:r>
      <w:r w:rsidRPr="009353CA">
        <w:rPr>
          <w:rFonts w:hint="eastAsia"/>
          <w:rtl/>
        </w:rPr>
        <w:t>בעקבות</w:t>
      </w:r>
      <w:r w:rsidRPr="009353CA">
        <w:rPr>
          <w:rtl/>
        </w:rPr>
        <w:t xml:space="preserve"> </w:t>
      </w:r>
      <w:r w:rsidRPr="009353CA">
        <w:rPr>
          <w:rFonts w:hint="eastAsia"/>
          <w:rtl/>
        </w:rPr>
        <w:t>תיקון</w:t>
      </w:r>
      <w:r w:rsidRPr="009353CA">
        <w:rPr>
          <w:rtl/>
        </w:rPr>
        <w:t xml:space="preserve"> </w:t>
      </w:r>
      <w:r w:rsidRPr="009353CA">
        <w:rPr>
          <w:rFonts w:hint="eastAsia"/>
          <w:rtl/>
        </w:rPr>
        <w:t>מס</w:t>
      </w:r>
      <w:r w:rsidRPr="009353CA">
        <w:rPr>
          <w:rtl/>
        </w:rPr>
        <w:t xml:space="preserve">' 4 </w:t>
      </w:r>
      <w:r w:rsidRPr="009353CA">
        <w:rPr>
          <w:rFonts w:hint="eastAsia"/>
          <w:rtl/>
        </w:rPr>
        <w:t>לחוק</w:t>
      </w:r>
      <w:r w:rsidRPr="009353CA">
        <w:rPr>
          <w:rtl/>
        </w:rPr>
        <w:t xml:space="preserve"> </w:t>
      </w:r>
      <w:r w:rsidRPr="009353CA">
        <w:rPr>
          <w:rFonts w:hint="eastAsia"/>
          <w:rtl/>
        </w:rPr>
        <w:lastRenderedPageBreak/>
        <w:t>יחסי</w:t>
      </w:r>
      <w:r w:rsidRPr="009353CA">
        <w:rPr>
          <w:rtl/>
        </w:rPr>
        <w:t xml:space="preserve"> </w:t>
      </w:r>
      <w:r w:rsidRPr="009353CA">
        <w:rPr>
          <w:rFonts w:hint="eastAsia"/>
          <w:rtl/>
        </w:rPr>
        <w:t>ממון</w:t>
      </w:r>
      <w:r w:rsidRPr="009353CA">
        <w:rPr>
          <w:rtl/>
        </w:rPr>
        <w:t xml:space="preserve">" </w:t>
      </w:r>
      <w:r w:rsidRPr="009353CA">
        <w:rPr>
          <w:rFonts w:ascii="Century" w:hAnsi="Century" w:cs="Miriam" w:hint="eastAsia"/>
          <w:b/>
          <w:spacing w:val="0"/>
          <w:sz w:val="22"/>
          <w:szCs w:val="24"/>
          <w:rtl/>
        </w:rPr>
        <w:t>חוקים</w:t>
      </w:r>
      <w:r w:rsidRPr="009353CA">
        <w:rPr>
          <w:rtl/>
        </w:rPr>
        <w:t xml:space="preserve"> </w:t>
      </w:r>
      <w:r w:rsidRPr="009353CA">
        <w:rPr>
          <w:rFonts w:hint="eastAsia"/>
          <w:rtl/>
        </w:rPr>
        <w:t>א</w:t>
      </w:r>
      <w:r w:rsidRPr="009353CA">
        <w:rPr>
          <w:rtl/>
        </w:rPr>
        <w:t xml:space="preserve"> 227, </w:t>
      </w:r>
      <w:r>
        <w:rPr>
          <w:rFonts w:hint="cs"/>
          <w:rtl/>
        </w:rPr>
        <w:t>257-255</w:t>
      </w:r>
      <w:r w:rsidRPr="009353CA">
        <w:rPr>
          <w:rtl/>
        </w:rPr>
        <w:t xml:space="preserve"> (2009)</w:t>
      </w:r>
      <w:r w:rsidRPr="009353CA">
        <w:rPr>
          <w:rFonts w:hint="cs"/>
          <w:rtl/>
        </w:rPr>
        <w:t>). מודל זה מבוסס על הסכמתו של מי שמקנה זכויות ברכושו שלו</w:t>
      </w:r>
      <w:r>
        <w:rPr>
          <w:rFonts w:hint="cs"/>
          <w:rtl/>
        </w:rPr>
        <w:t xml:space="preserve"> </w:t>
      </w:r>
      <w:r>
        <w:rPr>
          <w:rtl/>
        </w:rPr>
        <w:t>–</w:t>
      </w:r>
      <w:r>
        <w:rPr>
          <w:rFonts w:hint="cs"/>
          <w:rtl/>
        </w:rPr>
        <w:t xml:space="preserve"> אשר</w:t>
      </w:r>
      <w:r w:rsidRPr="000C4645">
        <w:rPr>
          <w:rFonts w:hint="cs"/>
          <w:rtl/>
        </w:rPr>
        <w:t xml:space="preserve"> </w:t>
      </w:r>
      <w:r w:rsidRPr="009353CA">
        <w:rPr>
          <w:rFonts w:hint="cs"/>
          <w:rtl/>
        </w:rPr>
        <w:t xml:space="preserve">איננו בר איזון </w:t>
      </w:r>
      <w:r>
        <w:rPr>
          <w:rtl/>
        </w:rPr>
        <w:t>–</w:t>
      </w:r>
      <w:r>
        <w:rPr>
          <w:rFonts w:hint="cs"/>
          <w:rtl/>
        </w:rPr>
        <w:t xml:space="preserve"> </w:t>
      </w:r>
      <w:r w:rsidRPr="009353CA">
        <w:rPr>
          <w:rFonts w:hint="cs"/>
          <w:rtl/>
        </w:rPr>
        <w:t xml:space="preserve">לאדם אחר; והסכמה כאמור יכולה להיות מותנית בכל תנאי אשר ייקבע על ידי בעל הרכוש בדל"ת אמות חירותו.   </w:t>
      </w:r>
    </w:p>
    <w:p w:rsidR="00917458" w:rsidRPr="009353CA" w:rsidRDefault="00917458" w:rsidP="00917458">
      <w:pPr>
        <w:pStyle w:val="Ruller41"/>
        <w:rPr>
          <w:rtl/>
        </w:rPr>
      </w:pPr>
    </w:p>
    <w:p w:rsidR="00917458" w:rsidRPr="009353CA" w:rsidRDefault="00917458" w:rsidP="00917458">
      <w:pPr>
        <w:pStyle w:val="Ruller4"/>
      </w:pPr>
      <w:r w:rsidRPr="009353CA">
        <w:rPr>
          <w:rFonts w:hint="cs"/>
          <w:rtl/>
        </w:rPr>
        <w:t xml:space="preserve">כפי שהסברתי בפסק דיני בהליך הקודם, לדידי, גישתו של השופט </w:t>
      </w:r>
      <w:r w:rsidRPr="009353CA">
        <w:rPr>
          <w:rFonts w:ascii="Century" w:hAnsi="Century" w:cs="Miriam" w:hint="cs"/>
          <w:b/>
          <w:spacing w:val="0"/>
          <w:sz w:val="22"/>
          <w:szCs w:val="24"/>
          <w:rtl/>
        </w:rPr>
        <w:t>עמית</w:t>
      </w:r>
      <w:r w:rsidRPr="009353CA">
        <w:rPr>
          <w:rFonts w:hint="cs"/>
          <w:rtl/>
        </w:rPr>
        <w:t xml:space="preserve"> מגלה חוסר ניטרליות כלפי דפוסים שונים של חיי נישואין וזוגיות. בעניין זה אמרתי את הדברים הבאים: </w:t>
      </w:r>
    </w:p>
    <w:p w:rsidR="00917458" w:rsidRPr="009353CA" w:rsidRDefault="00917458" w:rsidP="00917458">
      <w:pPr>
        <w:pStyle w:val="Ruller4"/>
        <w:numPr>
          <w:ilvl w:val="0"/>
          <w:numId w:val="0"/>
        </w:numPr>
        <w:rPr>
          <w:rFonts w:ascii="Century" w:hAnsi="Century"/>
          <w:sz w:val="22"/>
          <w:rtl/>
        </w:rPr>
      </w:pPr>
    </w:p>
    <w:p w:rsidR="00917458" w:rsidRPr="009353CA" w:rsidRDefault="00917458" w:rsidP="00917458">
      <w:pPr>
        <w:pStyle w:val="Ruller5"/>
        <w:rPr>
          <w:rFonts w:ascii="Century" w:hAnsi="Century"/>
          <w:rtl/>
        </w:rPr>
      </w:pPr>
      <w:r w:rsidRPr="009353CA">
        <w:rPr>
          <w:rFonts w:hint="cs"/>
          <w:rtl/>
        </w:rPr>
        <w:t>"</w:t>
      </w:r>
      <w:r w:rsidRPr="009353CA">
        <w:rPr>
          <w:rFonts w:hint="eastAsia"/>
          <w:rtl/>
        </w:rPr>
        <w:t>כל</w:t>
      </w:r>
      <w:r w:rsidRPr="009353CA">
        <w:rPr>
          <w:rtl/>
        </w:rPr>
        <w:t xml:space="preserve"> </w:t>
      </w:r>
      <w:r w:rsidRPr="009353CA">
        <w:rPr>
          <w:rFonts w:hint="eastAsia"/>
          <w:rtl/>
        </w:rPr>
        <w:t>מערכת</w:t>
      </w:r>
      <w:r w:rsidRPr="009353CA">
        <w:rPr>
          <w:rtl/>
        </w:rPr>
        <w:t xml:space="preserve"> </w:t>
      </w:r>
      <w:r w:rsidRPr="009353CA">
        <w:rPr>
          <w:rFonts w:hint="eastAsia"/>
          <w:rtl/>
        </w:rPr>
        <w:t>זוגית</w:t>
      </w:r>
      <w:r w:rsidRPr="009353CA">
        <w:rPr>
          <w:rtl/>
        </w:rPr>
        <w:t xml:space="preserve"> </w:t>
      </w:r>
      <w:r w:rsidRPr="009353CA">
        <w:rPr>
          <w:rFonts w:hint="eastAsia"/>
          <w:rtl/>
        </w:rPr>
        <w:t>מתקיימת</w:t>
      </w:r>
      <w:r w:rsidRPr="009353CA">
        <w:rPr>
          <w:rtl/>
        </w:rPr>
        <w:t xml:space="preserve"> </w:t>
      </w:r>
      <w:r w:rsidRPr="009353CA">
        <w:rPr>
          <w:rFonts w:hint="eastAsia"/>
          <w:rtl/>
        </w:rPr>
        <w:t>על</w:t>
      </w:r>
      <w:r w:rsidRPr="009353CA">
        <w:rPr>
          <w:rtl/>
        </w:rPr>
        <w:t>-</w:t>
      </w:r>
      <w:r w:rsidRPr="009353CA">
        <w:rPr>
          <w:rFonts w:hint="eastAsia"/>
          <w:rtl/>
        </w:rPr>
        <w:t>פי</w:t>
      </w:r>
      <w:r w:rsidRPr="009353CA">
        <w:rPr>
          <w:rtl/>
        </w:rPr>
        <w:t xml:space="preserve"> </w:t>
      </w:r>
      <w:r w:rsidRPr="009353CA">
        <w:rPr>
          <w:rFonts w:hint="eastAsia"/>
          <w:rtl/>
        </w:rPr>
        <w:t>הנוהגים</w:t>
      </w:r>
      <w:r w:rsidRPr="009353CA">
        <w:rPr>
          <w:rtl/>
        </w:rPr>
        <w:t xml:space="preserve"> </w:t>
      </w:r>
      <w:r w:rsidRPr="009353CA">
        <w:rPr>
          <w:rFonts w:hint="eastAsia"/>
          <w:rtl/>
        </w:rPr>
        <w:t>וההסכמות</w:t>
      </w:r>
      <w:r w:rsidRPr="009353CA">
        <w:rPr>
          <w:rtl/>
        </w:rPr>
        <w:t xml:space="preserve"> </w:t>
      </w:r>
      <w:r w:rsidRPr="009353CA">
        <w:rPr>
          <w:rFonts w:hint="eastAsia"/>
          <w:rtl/>
        </w:rPr>
        <w:t>שבני</w:t>
      </w:r>
      <w:r w:rsidRPr="009353CA">
        <w:rPr>
          <w:rtl/>
        </w:rPr>
        <w:t xml:space="preserve"> </w:t>
      </w:r>
      <w:r w:rsidRPr="009353CA">
        <w:rPr>
          <w:rFonts w:hint="eastAsia"/>
          <w:rtl/>
        </w:rPr>
        <w:t>הזוג</w:t>
      </w:r>
      <w:r w:rsidRPr="009353CA">
        <w:rPr>
          <w:rtl/>
        </w:rPr>
        <w:t xml:space="preserve"> </w:t>
      </w:r>
      <w:r w:rsidRPr="009353CA">
        <w:rPr>
          <w:rFonts w:hint="eastAsia"/>
          <w:rtl/>
        </w:rPr>
        <w:t>מגבשים</w:t>
      </w:r>
      <w:r w:rsidRPr="009353CA">
        <w:rPr>
          <w:rtl/>
        </w:rPr>
        <w:t xml:space="preserve"> </w:t>
      </w:r>
      <w:r w:rsidRPr="009353CA">
        <w:rPr>
          <w:rFonts w:hint="eastAsia"/>
          <w:rtl/>
        </w:rPr>
        <w:t>בינם</w:t>
      </w:r>
      <w:r w:rsidRPr="009353CA">
        <w:rPr>
          <w:rtl/>
        </w:rPr>
        <w:t xml:space="preserve"> </w:t>
      </w:r>
      <w:r w:rsidRPr="009353CA">
        <w:rPr>
          <w:rFonts w:hint="eastAsia"/>
          <w:rtl/>
        </w:rPr>
        <w:t>לבין</w:t>
      </w:r>
      <w:r w:rsidRPr="009353CA">
        <w:rPr>
          <w:rtl/>
        </w:rPr>
        <w:t xml:space="preserve"> </w:t>
      </w:r>
      <w:r w:rsidRPr="009353CA">
        <w:rPr>
          <w:rFonts w:hint="eastAsia"/>
          <w:rtl/>
        </w:rPr>
        <w:t>עצמם</w:t>
      </w:r>
      <w:r w:rsidRPr="009353CA">
        <w:rPr>
          <w:rtl/>
        </w:rPr>
        <w:t xml:space="preserve"> </w:t>
      </w:r>
      <w:r w:rsidRPr="009353CA">
        <w:rPr>
          <w:rFonts w:hint="eastAsia"/>
          <w:rtl/>
        </w:rPr>
        <w:t>על</w:t>
      </w:r>
      <w:r w:rsidRPr="009353CA">
        <w:rPr>
          <w:rtl/>
        </w:rPr>
        <w:t xml:space="preserve"> </w:t>
      </w:r>
      <w:r w:rsidRPr="009353CA">
        <w:rPr>
          <w:rFonts w:hint="eastAsia"/>
          <w:rtl/>
        </w:rPr>
        <w:t>בסיס</w:t>
      </w:r>
      <w:r w:rsidRPr="009353CA">
        <w:rPr>
          <w:rtl/>
        </w:rPr>
        <w:t xml:space="preserve"> </w:t>
      </w:r>
      <w:r w:rsidRPr="009353CA">
        <w:rPr>
          <w:rFonts w:hint="eastAsia"/>
          <w:rtl/>
        </w:rPr>
        <w:t>אמונות</w:t>
      </w:r>
      <w:r w:rsidRPr="009353CA">
        <w:rPr>
          <w:rtl/>
        </w:rPr>
        <w:t xml:space="preserve"> </w:t>
      </w:r>
      <w:r w:rsidRPr="009353CA">
        <w:rPr>
          <w:rFonts w:hint="eastAsia"/>
          <w:rtl/>
        </w:rPr>
        <w:t>באורח</w:t>
      </w:r>
      <w:r w:rsidRPr="009353CA">
        <w:rPr>
          <w:rtl/>
        </w:rPr>
        <w:t xml:space="preserve"> </w:t>
      </w:r>
      <w:r w:rsidRPr="009353CA">
        <w:rPr>
          <w:rFonts w:hint="eastAsia"/>
          <w:rtl/>
        </w:rPr>
        <w:t>החיים</w:t>
      </w:r>
      <w:r w:rsidRPr="009353CA">
        <w:rPr>
          <w:rtl/>
        </w:rPr>
        <w:t xml:space="preserve"> </w:t>
      </w:r>
      <w:r w:rsidRPr="009353CA">
        <w:rPr>
          <w:rFonts w:hint="eastAsia"/>
          <w:rtl/>
        </w:rPr>
        <w:t>הרצוי</w:t>
      </w:r>
      <w:r w:rsidRPr="009353CA">
        <w:rPr>
          <w:rtl/>
        </w:rPr>
        <w:t xml:space="preserve"> </w:t>
      </w:r>
      <w:r w:rsidRPr="009353CA">
        <w:rPr>
          <w:rFonts w:hint="eastAsia"/>
          <w:rtl/>
        </w:rPr>
        <w:t>להם</w:t>
      </w:r>
      <w:r w:rsidRPr="009353CA">
        <w:rPr>
          <w:rtl/>
        </w:rPr>
        <w:t xml:space="preserve">. </w:t>
      </w:r>
      <w:r w:rsidRPr="009353CA">
        <w:rPr>
          <w:rFonts w:hint="eastAsia"/>
          <w:rtl/>
        </w:rPr>
        <w:t>הסכמות</w:t>
      </w:r>
      <w:r w:rsidRPr="009353CA">
        <w:rPr>
          <w:rtl/>
        </w:rPr>
        <w:t xml:space="preserve"> </w:t>
      </w:r>
      <w:r w:rsidRPr="009353CA">
        <w:rPr>
          <w:rFonts w:hint="eastAsia"/>
          <w:rtl/>
        </w:rPr>
        <w:t>בין</w:t>
      </w:r>
      <w:r w:rsidRPr="009353CA">
        <w:rPr>
          <w:rtl/>
        </w:rPr>
        <w:t xml:space="preserve"> </w:t>
      </w:r>
      <w:r w:rsidRPr="009353CA">
        <w:rPr>
          <w:rFonts w:hint="eastAsia"/>
          <w:rtl/>
        </w:rPr>
        <w:t>בני</w:t>
      </w:r>
      <w:r w:rsidRPr="009353CA">
        <w:rPr>
          <w:rtl/>
        </w:rPr>
        <w:t xml:space="preserve"> </w:t>
      </w:r>
      <w:r w:rsidRPr="009353CA">
        <w:rPr>
          <w:rFonts w:hint="eastAsia"/>
          <w:rtl/>
        </w:rPr>
        <w:t>זוג</w:t>
      </w:r>
      <w:r w:rsidRPr="009353CA">
        <w:rPr>
          <w:rtl/>
        </w:rPr>
        <w:t xml:space="preserve"> </w:t>
      </w:r>
      <w:r w:rsidRPr="009353CA">
        <w:rPr>
          <w:rFonts w:hint="eastAsia"/>
          <w:rtl/>
        </w:rPr>
        <w:t>בנוגע</w:t>
      </w:r>
      <w:r w:rsidRPr="009353CA">
        <w:rPr>
          <w:rtl/>
        </w:rPr>
        <w:t xml:space="preserve"> </w:t>
      </w:r>
      <w:r w:rsidRPr="009353CA">
        <w:rPr>
          <w:rFonts w:hint="eastAsia"/>
          <w:rtl/>
        </w:rPr>
        <w:t>לרכושו</w:t>
      </w:r>
      <w:r w:rsidRPr="009353CA">
        <w:rPr>
          <w:rtl/>
        </w:rPr>
        <w:t xml:space="preserve"> </w:t>
      </w:r>
      <w:r w:rsidRPr="009353CA">
        <w:rPr>
          <w:rFonts w:hint="eastAsia"/>
          <w:rtl/>
        </w:rPr>
        <w:t>האישי</w:t>
      </w:r>
      <w:r w:rsidRPr="009353CA">
        <w:rPr>
          <w:rtl/>
        </w:rPr>
        <w:t xml:space="preserve"> </w:t>
      </w:r>
      <w:r w:rsidRPr="009353CA">
        <w:rPr>
          <w:rFonts w:hint="eastAsia"/>
          <w:rtl/>
        </w:rPr>
        <w:t>של</w:t>
      </w:r>
      <w:r w:rsidRPr="009353CA">
        <w:rPr>
          <w:rtl/>
        </w:rPr>
        <w:t xml:space="preserve"> </w:t>
      </w:r>
      <w:r w:rsidRPr="009353CA">
        <w:rPr>
          <w:rFonts w:hint="eastAsia"/>
          <w:rtl/>
        </w:rPr>
        <w:t>כל</w:t>
      </w:r>
      <w:r w:rsidRPr="009353CA">
        <w:rPr>
          <w:rtl/>
        </w:rPr>
        <w:t xml:space="preserve"> </w:t>
      </w:r>
      <w:r w:rsidRPr="009353CA">
        <w:rPr>
          <w:rFonts w:hint="eastAsia"/>
          <w:rtl/>
        </w:rPr>
        <w:t>אחד</w:t>
      </w:r>
      <w:r w:rsidRPr="009353CA">
        <w:rPr>
          <w:rtl/>
        </w:rPr>
        <w:t xml:space="preserve"> </w:t>
      </w:r>
      <w:r w:rsidRPr="009353CA">
        <w:rPr>
          <w:rFonts w:hint="eastAsia"/>
          <w:rtl/>
        </w:rPr>
        <w:t>מהם</w:t>
      </w:r>
      <w:r w:rsidRPr="009353CA">
        <w:rPr>
          <w:rtl/>
        </w:rPr>
        <w:t xml:space="preserve"> </w:t>
      </w:r>
      <w:r w:rsidRPr="009353CA">
        <w:rPr>
          <w:rFonts w:hint="eastAsia"/>
          <w:rtl/>
        </w:rPr>
        <w:t>ומידת</w:t>
      </w:r>
      <w:r w:rsidRPr="009353CA">
        <w:rPr>
          <w:rtl/>
        </w:rPr>
        <w:t xml:space="preserve"> </w:t>
      </w:r>
      <w:r w:rsidRPr="009353CA">
        <w:rPr>
          <w:rFonts w:hint="eastAsia"/>
          <w:rtl/>
        </w:rPr>
        <w:t>שיתופו</w:t>
      </w:r>
      <w:r w:rsidRPr="009353CA">
        <w:rPr>
          <w:rtl/>
        </w:rPr>
        <w:t xml:space="preserve"> </w:t>
      </w:r>
      <w:r w:rsidRPr="009353CA">
        <w:rPr>
          <w:rFonts w:hint="eastAsia"/>
          <w:rtl/>
        </w:rPr>
        <w:t>של</w:t>
      </w:r>
      <w:r w:rsidRPr="009353CA">
        <w:rPr>
          <w:rtl/>
        </w:rPr>
        <w:t xml:space="preserve"> </w:t>
      </w:r>
      <w:r w:rsidRPr="009353CA">
        <w:rPr>
          <w:rFonts w:hint="eastAsia"/>
          <w:rtl/>
        </w:rPr>
        <w:t>בן</w:t>
      </w:r>
      <w:r w:rsidRPr="009353CA">
        <w:rPr>
          <w:rtl/>
        </w:rPr>
        <w:t xml:space="preserve"> </w:t>
      </w:r>
      <w:r w:rsidRPr="009353CA">
        <w:rPr>
          <w:rFonts w:hint="eastAsia"/>
          <w:rtl/>
        </w:rPr>
        <w:t>הזוג</w:t>
      </w:r>
      <w:r w:rsidRPr="009353CA">
        <w:rPr>
          <w:rtl/>
        </w:rPr>
        <w:t xml:space="preserve"> </w:t>
      </w:r>
      <w:r w:rsidRPr="009353CA">
        <w:rPr>
          <w:rFonts w:hint="eastAsia"/>
          <w:rtl/>
        </w:rPr>
        <w:t>האחר</w:t>
      </w:r>
      <w:r w:rsidRPr="009353CA">
        <w:rPr>
          <w:rtl/>
        </w:rPr>
        <w:t xml:space="preserve"> </w:t>
      </w:r>
      <w:r w:rsidRPr="009353CA">
        <w:rPr>
          <w:rFonts w:hint="eastAsia"/>
          <w:rtl/>
        </w:rPr>
        <w:t>באותו</w:t>
      </w:r>
      <w:r w:rsidRPr="009353CA">
        <w:rPr>
          <w:rtl/>
        </w:rPr>
        <w:t xml:space="preserve"> </w:t>
      </w:r>
      <w:r w:rsidRPr="009353CA">
        <w:rPr>
          <w:rFonts w:hint="eastAsia"/>
          <w:rtl/>
        </w:rPr>
        <w:t>רכוש</w:t>
      </w:r>
      <w:r w:rsidRPr="009353CA">
        <w:rPr>
          <w:rtl/>
        </w:rPr>
        <w:t xml:space="preserve"> </w:t>
      </w:r>
      <w:r w:rsidRPr="009353CA">
        <w:rPr>
          <w:rFonts w:hint="eastAsia"/>
          <w:rtl/>
        </w:rPr>
        <w:t>אינן</w:t>
      </w:r>
      <w:r w:rsidRPr="009353CA">
        <w:rPr>
          <w:rtl/>
        </w:rPr>
        <w:t xml:space="preserve"> </w:t>
      </w:r>
      <w:r w:rsidRPr="009353CA">
        <w:rPr>
          <w:rFonts w:hint="eastAsia"/>
          <w:rtl/>
        </w:rPr>
        <w:t>עשויות</w:t>
      </w:r>
      <w:r w:rsidRPr="009353CA">
        <w:rPr>
          <w:rtl/>
        </w:rPr>
        <w:t xml:space="preserve"> </w:t>
      </w:r>
      <w:r w:rsidRPr="009353CA">
        <w:rPr>
          <w:rFonts w:hint="eastAsia"/>
          <w:rtl/>
        </w:rPr>
        <w:t>אפוא</w:t>
      </w:r>
      <w:r w:rsidRPr="009353CA">
        <w:rPr>
          <w:rtl/>
        </w:rPr>
        <w:t xml:space="preserve"> </w:t>
      </w:r>
      <w:r w:rsidRPr="009353CA">
        <w:rPr>
          <w:rFonts w:hint="eastAsia"/>
          <w:rtl/>
        </w:rPr>
        <w:t>מקשה</w:t>
      </w:r>
      <w:r w:rsidRPr="009353CA">
        <w:rPr>
          <w:rtl/>
        </w:rPr>
        <w:t xml:space="preserve"> </w:t>
      </w:r>
      <w:r w:rsidRPr="009353CA">
        <w:rPr>
          <w:rFonts w:hint="eastAsia"/>
          <w:rtl/>
        </w:rPr>
        <w:t>אחת</w:t>
      </w:r>
      <w:r w:rsidRPr="009353CA">
        <w:rPr>
          <w:rtl/>
        </w:rPr>
        <w:t xml:space="preserve">. </w:t>
      </w:r>
      <w:r w:rsidRPr="009353CA">
        <w:rPr>
          <w:rFonts w:hint="eastAsia"/>
          <w:rtl/>
        </w:rPr>
        <w:t>הסכמות</w:t>
      </w:r>
      <w:r w:rsidRPr="009353CA">
        <w:rPr>
          <w:rtl/>
        </w:rPr>
        <w:t xml:space="preserve"> </w:t>
      </w:r>
      <w:r w:rsidRPr="009353CA">
        <w:rPr>
          <w:rFonts w:hint="eastAsia"/>
          <w:rtl/>
        </w:rPr>
        <w:t>בענייני</w:t>
      </w:r>
      <w:r w:rsidRPr="009353CA">
        <w:rPr>
          <w:rtl/>
        </w:rPr>
        <w:t xml:space="preserve"> </w:t>
      </w:r>
      <w:r w:rsidRPr="009353CA">
        <w:rPr>
          <w:rFonts w:hint="eastAsia"/>
          <w:rtl/>
        </w:rPr>
        <w:t>רכוש</w:t>
      </w:r>
      <w:r w:rsidRPr="009353CA">
        <w:rPr>
          <w:rtl/>
        </w:rPr>
        <w:t xml:space="preserve"> </w:t>
      </w:r>
      <w:r w:rsidRPr="009353CA">
        <w:rPr>
          <w:rFonts w:hint="eastAsia"/>
          <w:rtl/>
        </w:rPr>
        <w:t>אשר</w:t>
      </w:r>
      <w:r w:rsidRPr="009353CA">
        <w:rPr>
          <w:rtl/>
        </w:rPr>
        <w:t xml:space="preserve"> </w:t>
      </w:r>
      <w:r w:rsidRPr="009353CA">
        <w:rPr>
          <w:rFonts w:hint="eastAsia"/>
          <w:rtl/>
        </w:rPr>
        <w:t>מתגבשות</w:t>
      </w:r>
      <w:r w:rsidRPr="009353CA">
        <w:rPr>
          <w:rtl/>
        </w:rPr>
        <w:t xml:space="preserve"> </w:t>
      </w:r>
      <w:r w:rsidRPr="009353CA">
        <w:rPr>
          <w:rFonts w:hint="eastAsia"/>
          <w:rtl/>
        </w:rPr>
        <w:t>במערכת</w:t>
      </w:r>
      <w:r w:rsidRPr="009353CA">
        <w:rPr>
          <w:rtl/>
        </w:rPr>
        <w:t xml:space="preserve"> </w:t>
      </w:r>
      <w:r w:rsidRPr="009353CA">
        <w:rPr>
          <w:rFonts w:hint="eastAsia"/>
          <w:rtl/>
        </w:rPr>
        <w:t>יחסים</w:t>
      </w:r>
      <w:r w:rsidRPr="009353CA">
        <w:rPr>
          <w:rtl/>
        </w:rPr>
        <w:t xml:space="preserve"> </w:t>
      </w:r>
      <w:r w:rsidRPr="009353CA">
        <w:rPr>
          <w:rFonts w:hint="eastAsia"/>
          <w:rtl/>
        </w:rPr>
        <w:t>זוגית</w:t>
      </w:r>
      <w:r w:rsidRPr="009353CA">
        <w:rPr>
          <w:rtl/>
        </w:rPr>
        <w:t xml:space="preserve"> </w:t>
      </w:r>
      <w:r w:rsidRPr="009353CA">
        <w:rPr>
          <w:rFonts w:hint="eastAsia"/>
          <w:rtl/>
        </w:rPr>
        <w:t>אחת</w:t>
      </w:r>
      <w:r w:rsidRPr="009353CA">
        <w:rPr>
          <w:rtl/>
        </w:rPr>
        <w:t xml:space="preserve"> </w:t>
      </w:r>
      <w:r w:rsidRPr="009353CA">
        <w:rPr>
          <w:rFonts w:hint="eastAsia"/>
          <w:rtl/>
        </w:rPr>
        <w:t>אינן</w:t>
      </w:r>
      <w:r w:rsidRPr="009353CA">
        <w:rPr>
          <w:rtl/>
        </w:rPr>
        <w:t xml:space="preserve"> </w:t>
      </w:r>
      <w:r w:rsidRPr="009353CA">
        <w:rPr>
          <w:rFonts w:hint="eastAsia"/>
          <w:rtl/>
        </w:rPr>
        <w:t>דומות</w:t>
      </w:r>
      <w:r w:rsidRPr="009353CA">
        <w:rPr>
          <w:rtl/>
        </w:rPr>
        <w:t xml:space="preserve"> – </w:t>
      </w:r>
      <w:r w:rsidRPr="009353CA">
        <w:rPr>
          <w:rFonts w:hint="eastAsia"/>
          <w:rtl/>
        </w:rPr>
        <w:t>וממילא</w:t>
      </w:r>
      <w:r w:rsidRPr="009353CA">
        <w:rPr>
          <w:rtl/>
        </w:rPr>
        <w:t xml:space="preserve"> </w:t>
      </w:r>
      <w:r w:rsidRPr="009353CA">
        <w:rPr>
          <w:rFonts w:hint="eastAsia"/>
          <w:rtl/>
        </w:rPr>
        <w:t>לא</w:t>
      </w:r>
      <w:r w:rsidRPr="009353CA">
        <w:rPr>
          <w:rtl/>
        </w:rPr>
        <w:t xml:space="preserve"> </w:t>
      </w:r>
      <w:r w:rsidRPr="009353CA">
        <w:rPr>
          <w:rFonts w:hint="eastAsia"/>
          <w:rtl/>
        </w:rPr>
        <w:t>צריכות</w:t>
      </w:r>
      <w:r w:rsidRPr="009353CA">
        <w:rPr>
          <w:rtl/>
        </w:rPr>
        <w:t xml:space="preserve"> </w:t>
      </w:r>
      <w:r w:rsidRPr="009353CA">
        <w:rPr>
          <w:rFonts w:hint="eastAsia"/>
          <w:rtl/>
        </w:rPr>
        <w:t>להיות</w:t>
      </w:r>
      <w:r w:rsidRPr="009353CA">
        <w:rPr>
          <w:rtl/>
        </w:rPr>
        <w:t xml:space="preserve"> </w:t>
      </w:r>
      <w:r w:rsidRPr="009353CA">
        <w:rPr>
          <w:rFonts w:hint="eastAsia"/>
          <w:rtl/>
        </w:rPr>
        <w:t>דומות</w:t>
      </w:r>
      <w:r w:rsidRPr="009353CA">
        <w:rPr>
          <w:rtl/>
        </w:rPr>
        <w:t xml:space="preserve"> – </w:t>
      </w:r>
      <w:r w:rsidRPr="009353CA">
        <w:rPr>
          <w:rFonts w:hint="eastAsia"/>
          <w:rtl/>
        </w:rPr>
        <w:t>להסכמות</w:t>
      </w:r>
      <w:r w:rsidRPr="009353CA">
        <w:rPr>
          <w:rtl/>
        </w:rPr>
        <w:t xml:space="preserve"> </w:t>
      </w:r>
      <w:r w:rsidRPr="009353CA">
        <w:rPr>
          <w:rFonts w:hint="eastAsia"/>
          <w:rtl/>
        </w:rPr>
        <w:t>אשר</w:t>
      </w:r>
      <w:r w:rsidRPr="009353CA">
        <w:rPr>
          <w:rtl/>
        </w:rPr>
        <w:t xml:space="preserve"> </w:t>
      </w:r>
      <w:r w:rsidRPr="009353CA">
        <w:rPr>
          <w:rFonts w:hint="eastAsia"/>
          <w:rtl/>
        </w:rPr>
        <w:t>מתגבשות</w:t>
      </w:r>
      <w:r w:rsidRPr="009353CA">
        <w:rPr>
          <w:rtl/>
        </w:rPr>
        <w:t xml:space="preserve"> </w:t>
      </w:r>
      <w:r w:rsidRPr="009353CA">
        <w:rPr>
          <w:rFonts w:hint="eastAsia"/>
          <w:rtl/>
        </w:rPr>
        <w:t>במערכת</w:t>
      </w:r>
      <w:r w:rsidRPr="009353CA">
        <w:rPr>
          <w:rtl/>
        </w:rPr>
        <w:t xml:space="preserve"> </w:t>
      </w:r>
      <w:r w:rsidRPr="009353CA">
        <w:rPr>
          <w:rFonts w:hint="eastAsia"/>
          <w:rtl/>
        </w:rPr>
        <w:t>זוגית</w:t>
      </w:r>
      <w:r w:rsidRPr="009353CA">
        <w:rPr>
          <w:rtl/>
        </w:rPr>
        <w:t xml:space="preserve"> </w:t>
      </w:r>
      <w:r w:rsidRPr="009353CA">
        <w:rPr>
          <w:rFonts w:hint="eastAsia"/>
          <w:rtl/>
        </w:rPr>
        <w:t>אחרת</w:t>
      </w:r>
      <w:r w:rsidRPr="009353CA">
        <w:rPr>
          <w:rtl/>
        </w:rPr>
        <w:t xml:space="preserve">. </w:t>
      </w:r>
      <w:r w:rsidRPr="009353CA">
        <w:rPr>
          <w:rFonts w:hint="eastAsia"/>
          <w:rtl/>
        </w:rPr>
        <w:t>בני</w:t>
      </w:r>
      <w:r w:rsidRPr="009353CA">
        <w:rPr>
          <w:rtl/>
        </w:rPr>
        <w:t xml:space="preserve"> </w:t>
      </w:r>
      <w:r w:rsidRPr="009353CA">
        <w:rPr>
          <w:rFonts w:hint="eastAsia"/>
          <w:rtl/>
        </w:rPr>
        <w:t>זוג</w:t>
      </w:r>
      <w:r w:rsidRPr="009353CA">
        <w:rPr>
          <w:rtl/>
        </w:rPr>
        <w:t xml:space="preserve"> </w:t>
      </w:r>
      <w:r w:rsidRPr="009353CA">
        <w:rPr>
          <w:rFonts w:hint="eastAsia"/>
          <w:rtl/>
        </w:rPr>
        <w:t>רשאים</w:t>
      </w:r>
      <w:r w:rsidRPr="009353CA">
        <w:rPr>
          <w:rtl/>
        </w:rPr>
        <w:t xml:space="preserve"> </w:t>
      </w:r>
      <w:r w:rsidRPr="009353CA">
        <w:rPr>
          <w:rFonts w:hint="eastAsia"/>
          <w:rtl/>
        </w:rPr>
        <w:t>לחיות</w:t>
      </w:r>
      <w:r w:rsidRPr="009353CA">
        <w:rPr>
          <w:rtl/>
        </w:rPr>
        <w:t xml:space="preserve"> </w:t>
      </w:r>
      <w:r w:rsidRPr="009353CA">
        <w:rPr>
          <w:rFonts w:hint="eastAsia"/>
          <w:rtl/>
        </w:rPr>
        <w:t>את</w:t>
      </w:r>
      <w:r w:rsidRPr="009353CA">
        <w:rPr>
          <w:rtl/>
        </w:rPr>
        <w:t xml:space="preserve"> </w:t>
      </w:r>
      <w:r w:rsidRPr="009353CA">
        <w:rPr>
          <w:rFonts w:hint="eastAsia"/>
          <w:rtl/>
        </w:rPr>
        <w:t>חייהם</w:t>
      </w:r>
      <w:r w:rsidRPr="009353CA">
        <w:rPr>
          <w:rtl/>
        </w:rPr>
        <w:t xml:space="preserve"> </w:t>
      </w:r>
      <w:r w:rsidRPr="009353CA">
        <w:rPr>
          <w:rFonts w:hint="eastAsia"/>
          <w:rtl/>
        </w:rPr>
        <w:t>כזוג</w:t>
      </w:r>
      <w:r w:rsidRPr="009353CA">
        <w:rPr>
          <w:rtl/>
        </w:rPr>
        <w:t xml:space="preserve"> </w:t>
      </w:r>
      <w:r w:rsidRPr="009353CA">
        <w:rPr>
          <w:rFonts w:hint="eastAsia"/>
          <w:rtl/>
        </w:rPr>
        <w:t>במתכונת</w:t>
      </w:r>
      <w:r w:rsidRPr="009353CA">
        <w:rPr>
          <w:rtl/>
        </w:rPr>
        <w:t xml:space="preserve"> </w:t>
      </w:r>
      <w:r w:rsidRPr="009353CA">
        <w:rPr>
          <w:rFonts w:hint="eastAsia"/>
          <w:rtl/>
        </w:rPr>
        <w:t>דתית</w:t>
      </w:r>
      <w:r w:rsidRPr="009353CA">
        <w:rPr>
          <w:rtl/>
        </w:rPr>
        <w:t xml:space="preserve">, </w:t>
      </w:r>
      <w:r w:rsidRPr="009353CA">
        <w:rPr>
          <w:rFonts w:hint="eastAsia"/>
          <w:rtl/>
        </w:rPr>
        <w:t>חילונית</w:t>
      </w:r>
      <w:r w:rsidRPr="009353CA">
        <w:rPr>
          <w:rtl/>
        </w:rPr>
        <w:t xml:space="preserve">, </w:t>
      </w:r>
      <w:r w:rsidRPr="009353CA">
        <w:rPr>
          <w:rFonts w:hint="eastAsia"/>
          <w:rtl/>
        </w:rPr>
        <w:t>פטריארכלית</w:t>
      </w:r>
      <w:r w:rsidRPr="009353CA">
        <w:rPr>
          <w:rtl/>
        </w:rPr>
        <w:t xml:space="preserve">, </w:t>
      </w:r>
      <w:r w:rsidRPr="009353CA">
        <w:rPr>
          <w:rFonts w:hint="eastAsia"/>
          <w:rtl/>
        </w:rPr>
        <w:t>פמיניסטית</w:t>
      </w:r>
      <w:r w:rsidRPr="009353CA">
        <w:rPr>
          <w:rtl/>
        </w:rPr>
        <w:t xml:space="preserve"> </w:t>
      </w:r>
      <w:r w:rsidRPr="009353CA">
        <w:rPr>
          <w:rFonts w:hint="eastAsia"/>
          <w:rtl/>
        </w:rPr>
        <w:t>או</w:t>
      </w:r>
      <w:r w:rsidRPr="009353CA">
        <w:rPr>
          <w:rtl/>
        </w:rPr>
        <w:t xml:space="preserve"> </w:t>
      </w:r>
      <w:r w:rsidRPr="009353CA">
        <w:rPr>
          <w:rFonts w:hint="eastAsia"/>
          <w:rtl/>
        </w:rPr>
        <w:t>במתכונת</w:t>
      </w:r>
      <w:r w:rsidRPr="009353CA">
        <w:rPr>
          <w:rtl/>
        </w:rPr>
        <w:t xml:space="preserve"> </w:t>
      </w:r>
      <w:r w:rsidRPr="009353CA">
        <w:rPr>
          <w:rFonts w:hint="eastAsia"/>
          <w:rtl/>
        </w:rPr>
        <w:t>אחרת</w:t>
      </w:r>
      <w:r w:rsidRPr="009353CA">
        <w:rPr>
          <w:rtl/>
        </w:rPr>
        <w:t xml:space="preserve"> </w:t>
      </w:r>
      <w:proofErr w:type="spellStart"/>
      <w:r w:rsidRPr="009353CA">
        <w:rPr>
          <w:rFonts w:hint="eastAsia"/>
          <w:rtl/>
        </w:rPr>
        <w:t>שמתכללת</w:t>
      </w:r>
      <w:proofErr w:type="spellEnd"/>
      <w:r w:rsidRPr="009353CA">
        <w:rPr>
          <w:rtl/>
        </w:rPr>
        <w:t xml:space="preserve"> </w:t>
      </w:r>
      <w:r w:rsidRPr="009353CA">
        <w:rPr>
          <w:rFonts w:hint="eastAsia"/>
          <w:rtl/>
        </w:rPr>
        <w:t>בתוכה</w:t>
      </w:r>
      <w:r w:rsidRPr="009353CA">
        <w:rPr>
          <w:rtl/>
        </w:rPr>
        <w:t xml:space="preserve"> </w:t>
      </w:r>
      <w:r w:rsidRPr="009353CA">
        <w:rPr>
          <w:rFonts w:hint="eastAsia"/>
          <w:rtl/>
        </w:rPr>
        <w:t>ערכים</w:t>
      </w:r>
      <w:r w:rsidRPr="009353CA">
        <w:rPr>
          <w:rtl/>
        </w:rPr>
        <w:t xml:space="preserve"> </w:t>
      </w:r>
      <w:r w:rsidRPr="009353CA">
        <w:rPr>
          <w:rFonts w:hint="eastAsia"/>
          <w:rtl/>
        </w:rPr>
        <w:t>והשקפות</w:t>
      </w:r>
      <w:r w:rsidRPr="009353CA">
        <w:rPr>
          <w:rtl/>
        </w:rPr>
        <w:t xml:space="preserve"> </w:t>
      </w:r>
      <w:r w:rsidRPr="009353CA">
        <w:rPr>
          <w:rFonts w:hint="eastAsia"/>
          <w:rtl/>
        </w:rPr>
        <w:t>עולם</w:t>
      </w:r>
      <w:r w:rsidRPr="009353CA">
        <w:rPr>
          <w:rtl/>
        </w:rPr>
        <w:t xml:space="preserve"> </w:t>
      </w:r>
      <w:r w:rsidRPr="009353CA">
        <w:rPr>
          <w:rFonts w:hint="eastAsia"/>
          <w:rtl/>
        </w:rPr>
        <w:t>מזה</w:t>
      </w:r>
      <w:r w:rsidRPr="009353CA">
        <w:rPr>
          <w:rtl/>
        </w:rPr>
        <w:t xml:space="preserve"> </w:t>
      </w:r>
      <w:r w:rsidRPr="009353CA">
        <w:rPr>
          <w:rFonts w:hint="eastAsia"/>
          <w:rtl/>
        </w:rPr>
        <w:t>ומזה</w:t>
      </w:r>
      <w:r w:rsidRPr="009353CA">
        <w:rPr>
          <w:rtl/>
        </w:rPr>
        <w:t xml:space="preserve">. </w:t>
      </w:r>
      <w:r w:rsidRPr="009353CA">
        <w:rPr>
          <w:rFonts w:hint="eastAsia"/>
          <w:rtl/>
        </w:rPr>
        <w:t>כמו</w:t>
      </w:r>
      <w:r w:rsidRPr="009353CA">
        <w:rPr>
          <w:rtl/>
        </w:rPr>
        <w:t>-</w:t>
      </w:r>
      <w:r w:rsidRPr="009353CA">
        <w:rPr>
          <w:rFonts w:hint="eastAsia"/>
          <w:rtl/>
        </w:rPr>
        <w:t>כן</w:t>
      </w:r>
      <w:r w:rsidRPr="009353CA">
        <w:rPr>
          <w:rtl/>
        </w:rPr>
        <w:t xml:space="preserve"> </w:t>
      </w:r>
      <w:r w:rsidRPr="009353CA">
        <w:rPr>
          <w:rFonts w:hint="eastAsia"/>
          <w:rtl/>
        </w:rPr>
        <w:t>רשאים</w:t>
      </w:r>
      <w:r w:rsidRPr="009353CA">
        <w:rPr>
          <w:rtl/>
        </w:rPr>
        <w:t xml:space="preserve"> </w:t>
      </w:r>
      <w:r w:rsidRPr="009353CA">
        <w:rPr>
          <w:rFonts w:hint="eastAsia"/>
          <w:rtl/>
        </w:rPr>
        <w:t>הם</w:t>
      </w:r>
      <w:r w:rsidRPr="009353CA">
        <w:rPr>
          <w:rtl/>
        </w:rPr>
        <w:t xml:space="preserve"> </w:t>
      </w:r>
      <w:r w:rsidRPr="009353CA">
        <w:rPr>
          <w:rFonts w:hint="eastAsia"/>
          <w:rtl/>
        </w:rPr>
        <w:t>לאמץ</w:t>
      </w:r>
      <w:r w:rsidRPr="009353CA">
        <w:rPr>
          <w:rtl/>
        </w:rPr>
        <w:t xml:space="preserve"> </w:t>
      </w:r>
      <w:r w:rsidRPr="009353CA">
        <w:rPr>
          <w:rFonts w:hint="eastAsia"/>
          <w:rtl/>
        </w:rPr>
        <w:t>לעצמם</w:t>
      </w:r>
      <w:r w:rsidRPr="009353CA">
        <w:rPr>
          <w:rtl/>
        </w:rPr>
        <w:t xml:space="preserve"> </w:t>
      </w:r>
      <w:r w:rsidRPr="009353CA">
        <w:rPr>
          <w:rFonts w:hint="eastAsia"/>
          <w:rtl/>
        </w:rPr>
        <w:t>דפוס</w:t>
      </w:r>
      <w:r w:rsidRPr="009353CA">
        <w:rPr>
          <w:rtl/>
        </w:rPr>
        <w:t xml:space="preserve"> </w:t>
      </w:r>
      <w:r w:rsidRPr="009353CA">
        <w:rPr>
          <w:rFonts w:hint="eastAsia"/>
          <w:rtl/>
        </w:rPr>
        <w:t>של</w:t>
      </w:r>
      <w:r w:rsidRPr="009353CA">
        <w:rPr>
          <w:rtl/>
        </w:rPr>
        <w:t xml:space="preserve"> </w:t>
      </w:r>
      <w:r w:rsidRPr="009353CA">
        <w:rPr>
          <w:rFonts w:hint="eastAsia"/>
          <w:rtl/>
        </w:rPr>
        <w:t>חיים</w:t>
      </w:r>
      <w:r w:rsidRPr="009353CA">
        <w:rPr>
          <w:rtl/>
        </w:rPr>
        <w:t xml:space="preserve"> </w:t>
      </w:r>
      <w:r w:rsidRPr="009353CA">
        <w:rPr>
          <w:rFonts w:hint="eastAsia"/>
          <w:rtl/>
        </w:rPr>
        <w:t>אינטימיים</w:t>
      </w:r>
      <w:r w:rsidRPr="009353CA">
        <w:rPr>
          <w:rtl/>
        </w:rPr>
        <w:t xml:space="preserve"> </w:t>
      </w:r>
      <w:r w:rsidRPr="009353CA">
        <w:rPr>
          <w:rFonts w:hint="eastAsia"/>
          <w:rtl/>
        </w:rPr>
        <w:t>לפי</w:t>
      </w:r>
      <w:r w:rsidRPr="009353CA">
        <w:rPr>
          <w:rtl/>
        </w:rPr>
        <w:t xml:space="preserve"> </w:t>
      </w:r>
      <w:r w:rsidRPr="009353CA">
        <w:rPr>
          <w:rFonts w:hint="eastAsia"/>
          <w:rtl/>
        </w:rPr>
        <w:t>בחירתם</w:t>
      </w:r>
      <w:r w:rsidRPr="009353CA">
        <w:rPr>
          <w:rtl/>
        </w:rPr>
        <w:t xml:space="preserve">, </w:t>
      </w:r>
      <w:r w:rsidRPr="009353CA">
        <w:rPr>
          <w:rFonts w:hint="eastAsia"/>
          <w:rtl/>
        </w:rPr>
        <w:t>אשר</w:t>
      </w:r>
      <w:r w:rsidRPr="009353CA">
        <w:rPr>
          <w:rtl/>
        </w:rPr>
        <w:t xml:space="preserve"> </w:t>
      </w:r>
      <w:r w:rsidRPr="009353CA">
        <w:rPr>
          <w:rFonts w:hint="eastAsia"/>
          <w:rtl/>
        </w:rPr>
        <w:t>יכלול</w:t>
      </w:r>
      <w:r w:rsidRPr="009353CA">
        <w:rPr>
          <w:rtl/>
        </w:rPr>
        <w:t xml:space="preserve"> </w:t>
      </w:r>
      <w:r w:rsidRPr="009353CA">
        <w:rPr>
          <w:rFonts w:hint="eastAsia"/>
          <w:rtl/>
        </w:rPr>
        <w:t>ושלא</w:t>
      </w:r>
      <w:r w:rsidRPr="009353CA">
        <w:rPr>
          <w:rtl/>
        </w:rPr>
        <w:t xml:space="preserve"> </w:t>
      </w:r>
      <w:r w:rsidRPr="009353CA">
        <w:rPr>
          <w:rFonts w:hint="eastAsia"/>
          <w:rtl/>
        </w:rPr>
        <w:t>יכלול</w:t>
      </w:r>
      <w:r w:rsidRPr="009353CA">
        <w:rPr>
          <w:rtl/>
        </w:rPr>
        <w:t xml:space="preserve"> </w:t>
      </w:r>
      <w:r w:rsidRPr="009353CA">
        <w:rPr>
          <w:rFonts w:hint="eastAsia"/>
          <w:rtl/>
        </w:rPr>
        <w:t>חופש</w:t>
      </w:r>
      <w:r w:rsidRPr="009353CA">
        <w:rPr>
          <w:rtl/>
        </w:rPr>
        <w:t xml:space="preserve"> </w:t>
      </w:r>
      <w:r w:rsidRPr="009353CA">
        <w:rPr>
          <w:rFonts w:hint="eastAsia"/>
          <w:rtl/>
        </w:rPr>
        <w:t>מיני</w:t>
      </w:r>
      <w:r w:rsidRPr="009353CA">
        <w:rPr>
          <w:rtl/>
        </w:rPr>
        <w:t xml:space="preserve">. </w:t>
      </w:r>
      <w:r w:rsidRPr="009353CA">
        <w:rPr>
          <w:rFonts w:hint="eastAsia"/>
          <w:rtl/>
        </w:rPr>
        <w:t>כל</w:t>
      </w:r>
      <w:r w:rsidRPr="009353CA">
        <w:rPr>
          <w:rtl/>
        </w:rPr>
        <w:t xml:space="preserve"> </w:t>
      </w:r>
      <w:r w:rsidRPr="009353CA">
        <w:rPr>
          <w:rFonts w:hint="eastAsia"/>
          <w:rtl/>
        </w:rPr>
        <w:t>אלה</w:t>
      </w:r>
      <w:r w:rsidRPr="009353CA">
        <w:rPr>
          <w:rtl/>
        </w:rPr>
        <w:t xml:space="preserve"> </w:t>
      </w:r>
      <w:r w:rsidRPr="009353CA">
        <w:rPr>
          <w:rFonts w:hint="eastAsia"/>
          <w:rtl/>
        </w:rPr>
        <w:t>הם</w:t>
      </w:r>
      <w:r w:rsidRPr="009353CA">
        <w:rPr>
          <w:rtl/>
        </w:rPr>
        <w:t xml:space="preserve"> </w:t>
      </w:r>
      <w:r w:rsidRPr="009353CA">
        <w:rPr>
          <w:rFonts w:hint="eastAsia"/>
          <w:rtl/>
        </w:rPr>
        <w:t>עניינם</w:t>
      </w:r>
      <w:r w:rsidRPr="009353CA">
        <w:rPr>
          <w:rtl/>
        </w:rPr>
        <w:t xml:space="preserve"> </w:t>
      </w:r>
      <w:r w:rsidRPr="009353CA">
        <w:rPr>
          <w:rFonts w:hint="eastAsia"/>
          <w:rtl/>
        </w:rPr>
        <w:t>הפרטי</w:t>
      </w:r>
      <w:r w:rsidRPr="009353CA">
        <w:rPr>
          <w:rtl/>
        </w:rPr>
        <w:t xml:space="preserve">, </w:t>
      </w:r>
      <w:r w:rsidRPr="009353CA">
        <w:rPr>
          <w:rFonts w:hint="eastAsia"/>
          <w:rtl/>
        </w:rPr>
        <w:t>ולא</w:t>
      </w:r>
      <w:r w:rsidRPr="009353CA">
        <w:rPr>
          <w:rtl/>
        </w:rPr>
        <w:t xml:space="preserve"> </w:t>
      </w:r>
      <w:r w:rsidRPr="009353CA">
        <w:rPr>
          <w:rFonts w:hint="eastAsia"/>
          <w:rtl/>
        </w:rPr>
        <w:t>ענייננו</w:t>
      </w:r>
      <w:r w:rsidRPr="009353CA">
        <w:rPr>
          <w:rtl/>
        </w:rPr>
        <w:t xml:space="preserve">. </w:t>
      </w:r>
      <w:r w:rsidRPr="009353CA">
        <w:rPr>
          <w:rFonts w:hint="eastAsia"/>
          <w:rtl/>
        </w:rPr>
        <w:t>אוטונומיה</w:t>
      </w:r>
      <w:r w:rsidRPr="009353CA">
        <w:rPr>
          <w:rtl/>
        </w:rPr>
        <w:t xml:space="preserve"> </w:t>
      </w:r>
      <w:r w:rsidRPr="009353CA">
        <w:rPr>
          <w:rFonts w:hint="eastAsia"/>
          <w:rtl/>
        </w:rPr>
        <w:t>של</w:t>
      </w:r>
      <w:r w:rsidRPr="009353CA">
        <w:rPr>
          <w:rtl/>
        </w:rPr>
        <w:t xml:space="preserve"> </w:t>
      </w:r>
      <w:r w:rsidRPr="009353CA">
        <w:rPr>
          <w:rFonts w:hint="eastAsia"/>
          <w:rtl/>
        </w:rPr>
        <w:t>המערכת</w:t>
      </w:r>
      <w:r w:rsidRPr="009353CA">
        <w:rPr>
          <w:rtl/>
        </w:rPr>
        <w:t xml:space="preserve"> </w:t>
      </w:r>
      <w:r w:rsidRPr="009353CA">
        <w:rPr>
          <w:rFonts w:hint="eastAsia"/>
          <w:rtl/>
        </w:rPr>
        <w:t>הזוגית</w:t>
      </w:r>
      <w:r w:rsidRPr="009353CA">
        <w:rPr>
          <w:rtl/>
        </w:rPr>
        <w:t xml:space="preserve"> </w:t>
      </w:r>
      <w:r w:rsidRPr="009353CA">
        <w:rPr>
          <w:rFonts w:hint="eastAsia"/>
          <w:rtl/>
        </w:rPr>
        <w:t>מחייבת</w:t>
      </w:r>
      <w:r w:rsidRPr="009353CA">
        <w:rPr>
          <w:rtl/>
        </w:rPr>
        <w:t xml:space="preserve"> </w:t>
      </w:r>
      <w:r w:rsidRPr="009353CA">
        <w:rPr>
          <w:rFonts w:hint="eastAsia"/>
          <w:rtl/>
        </w:rPr>
        <w:t>אותנו</w:t>
      </w:r>
      <w:r w:rsidRPr="009353CA">
        <w:rPr>
          <w:rtl/>
        </w:rPr>
        <w:t xml:space="preserve"> </w:t>
      </w:r>
      <w:r w:rsidRPr="009353CA">
        <w:rPr>
          <w:rFonts w:hint="eastAsia"/>
          <w:rtl/>
        </w:rPr>
        <w:t>לתת</w:t>
      </w:r>
      <w:r w:rsidRPr="009353CA">
        <w:rPr>
          <w:rtl/>
        </w:rPr>
        <w:t xml:space="preserve"> </w:t>
      </w:r>
      <w:r w:rsidRPr="009353CA">
        <w:rPr>
          <w:rFonts w:hint="eastAsia"/>
          <w:rtl/>
        </w:rPr>
        <w:t>יחס</w:t>
      </w:r>
      <w:r w:rsidRPr="009353CA">
        <w:rPr>
          <w:rtl/>
        </w:rPr>
        <w:t xml:space="preserve"> </w:t>
      </w:r>
      <w:r w:rsidRPr="009353CA">
        <w:rPr>
          <w:rFonts w:hint="eastAsia"/>
          <w:rtl/>
        </w:rPr>
        <w:t>ניטרלי</w:t>
      </w:r>
      <w:r w:rsidRPr="009353CA">
        <w:rPr>
          <w:rtl/>
        </w:rPr>
        <w:t xml:space="preserve"> </w:t>
      </w:r>
      <w:r w:rsidRPr="009353CA">
        <w:rPr>
          <w:rFonts w:hint="eastAsia"/>
          <w:rtl/>
        </w:rPr>
        <w:t>ושוויוני</w:t>
      </w:r>
      <w:r w:rsidRPr="009353CA">
        <w:rPr>
          <w:rtl/>
        </w:rPr>
        <w:t xml:space="preserve"> </w:t>
      </w:r>
      <w:r w:rsidRPr="009353CA">
        <w:rPr>
          <w:rFonts w:hint="eastAsia"/>
          <w:rtl/>
        </w:rPr>
        <w:t>לכל</w:t>
      </w:r>
      <w:r w:rsidRPr="009353CA">
        <w:rPr>
          <w:rtl/>
        </w:rPr>
        <w:t xml:space="preserve"> </w:t>
      </w:r>
      <w:r w:rsidRPr="009353CA">
        <w:rPr>
          <w:rFonts w:hint="eastAsia"/>
          <w:rtl/>
        </w:rPr>
        <w:t>דפוסי</w:t>
      </w:r>
      <w:r w:rsidRPr="009353CA">
        <w:rPr>
          <w:rtl/>
        </w:rPr>
        <w:t xml:space="preserve"> </w:t>
      </w:r>
      <w:r w:rsidRPr="009353CA">
        <w:rPr>
          <w:rFonts w:hint="eastAsia"/>
          <w:rtl/>
        </w:rPr>
        <w:t>החיים</w:t>
      </w:r>
      <w:r w:rsidRPr="009353CA">
        <w:rPr>
          <w:rtl/>
        </w:rPr>
        <w:t xml:space="preserve"> </w:t>
      </w:r>
      <w:r w:rsidRPr="009353CA">
        <w:rPr>
          <w:rFonts w:hint="eastAsia"/>
          <w:rtl/>
        </w:rPr>
        <w:t>הזוגיים</w:t>
      </w:r>
      <w:r w:rsidRPr="009353CA">
        <w:rPr>
          <w:rtl/>
        </w:rPr>
        <w:t xml:space="preserve"> </w:t>
      </w:r>
      <w:r w:rsidRPr="009353CA">
        <w:rPr>
          <w:rFonts w:hint="eastAsia"/>
          <w:rtl/>
        </w:rPr>
        <w:t>ולכל</w:t>
      </w:r>
      <w:r w:rsidRPr="009353CA">
        <w:rPr>
          <w:rtl/>
        </w:rPr>
        <w:t xml:space="preserve"> </w:t>
      </w:r>
      <w:r w:rsidRPr="009353CA">
        <w:rPr>
          <w:rFonts w:hint="eastAsia"/>
          <w:rtl/>
        </w:rPr>
        <w:t>הסדרי</w:t>
      </w:r>
      <w:r w:rsidRPr="009353CA">
        <w:rPr>
          <w:rtl/>
        </w:rPr>
        <w:t xml:space="preserve"> </w:t>
      </w:r>
      <w:r w:rsidRPr="009353CA">
        <w:rPr>
          <w:rFonts w:hint="eastAsia"/>
          <w:rtl/>
        </w:rPr>
        <w:t>רכוש</w:t>
      </w:r>
      <w:r w:rsidRPr="009353CA">
        <w:rPr>
          <w:rtl/>
        </w:rPr>
        <w:t xml:space="preserve">, </w:t>
      </w:r>
      <w:r w:rsidRPr="009353CA">
        <w:rPr>
          <w:rFonts w:hint="eastAsia"/>
          <w:rtl/>
        </w:rPr>
        <w:t>כל</w:t>
      </w:r>
      <w:r w:rsidRPr="009353CA">
        <w:rPr>
          <w:rtl/>
        </w:rPr>
        <w:t xml:space="preserve"> </w:t>
      </w:r>
      <w:r w:rsidRPr="009353CA">
        <w:rPr>
          <w:rFonts w:hint="eastAsia"/>
          <w:rtl/>
        </w:rPr>
        <w:t>אימת</w:t>
      </w:r>
      <w:r w:rsidRPr="009353CA">
        <w:rPr>
          <w:rtl/>
        </w:rPr>
        <w:t xml:space="preserve"> </w:t>
      </w:r>
      <w:r w:rsidRPr="009353CA">
        <w:rPr>
          <w:rFonts w:hint="eastAsia"/>
          <w:rtl/>
        </w:rPr>
        <w:t>שאין</w:t>
      </w:r>
      <w:r w:rsidRPr="009353CA">
        <w:rPr>
          <w:rtl/>
        </w:rPr>
        <w:t xml:space="preserve"> </w:t>
      </w:r>
      <w:r w:rsidRPr="009353CA">
        <w:rPr>
          <w:rFonts w:hint="eastAsia"/>
          <w:rtl/>
        </w:rPr>
        <w:t>מדובר</w:t>
      </w:r>
      <w:r w:rsidRPr="009353CA">
        <w:rPr>
          <w:rtl/>
        </w:rPr>
        <w:t xml:space="preserve"> </w:t>
      </w:r>
      <w:r w:rsidRPr="009353CA">
        <w:rPr>
          <w:rFonts w:hint="eastAsia"/>
          <w:rtl/>
        </w:rPr>
        <w:t>בניצול</w:t>
      </w:r>
      <w:r w:rsidRPr="009353CA">
        <w:rPr>
          <w:rtl/>
        </w:rPr>
        <w:t xml:space="preserve"> </w:t>
      </w:r>
      <w:r w:rsidRPr="009353CA">
        <w:rPr>
          <w:rFonts w:hint="eastAsia"/>
          <w:rtl/>
        </w:rPr>
        <w:t>לרעה</w:t>
      </w:r>
      <w:r w:rsidRPr="009353CA">
        <w:rPr>
          <w:rtl/>
        </w:rPr>
        <w:t xml:space="preserve"> </w:t>
      </w:r>
      <w:r w:rsidRPr="009353CA">
        <w:rPr>
          <w:rFonts w:hint="eastAsia"/>
          <w:rtl/>
        </w:rPr>
        <w:t>האסור</w:t>
      </w:r>
      <w:r w:rsidRPr="009353CA">
        <w:rPr>
          <w:rtl/>
        </w:rPr>
        <w:t xml:space="preserve"> </w:t>
      </w:r>
      <w:r w:rsidRPr="009353CA">
        <w:rPr>
          <w:rFonts w:hint="eastAsia"/>
          <w:rtl/>
        </w:rPr>
        <w:t>על</w:t>
      </w:r>
      <w:r w:rsidRPr="009353CA">
        <w:rPr>
          <w:rtl/>
        </w:rPr>
        <w:t>-</w:t>
      </w:r>
      <w:r w:rsidRPr="009353CA">
        <w:rPr>
          <w:rFonts w:hint="eastAsia"/>
          <w:rtl/>
        </w:rPr>
        <w:t>פי</w:t>
      </w:r>
      <w:r w:rsidRPr="009353CA">
        <w:rPr>
          <w:rtl/>
        </w:rPr>
        <w:t xml:space="preserve"> </w:t>
      </w:r>
      <w:r w:rsidRPr="009353CA">
        <w:rPr>
          <w:rFonts w:hint="eastAsia"/>
          <w:rtl/>
        </w:rPr>
        <w:t>הדין</w:t>
      </w:r>
      <w:r w:rsidRPr="009353CA">
        <w:rPr>
          <w:rtl/>
        </w:rPr>
        <w:t>.</w:t>
      </w:r>
      <w:r w:rsidRPr="009353CA">
        <w:rPr>
          <w:rFonts w:ascii="Century" w:hAnsi="Century" w:hint="cs"/>
          <w:rtl/>
        </w:rPr>
        <w:t xml:space="preserve"> [...] השאלה אם בעליו הרשום והבלעדי של נכס </w:t>
      </w:r>
      <w:proofErr w:type="spellStart"/>
      <w:r w:rsidRPr="009353CA">
        <w:rPr>
          <w:rFonts w:ascii="Century" w:hAnsi="Century" w:hint="cs"/>
          <w:rtl/>
        </w:rPr>
        <w:t>מסויים</w:t>
      </w:r>
      <w:proofErr w:type="spellEnd"/>
      <w:r w:rsidRPr="009353CA">
        <w:rPr>
          <w:rFonts w:ascii="Century" w:hAnsi="Century" w:hint="cs"/>
          <w:rtl/>
        </w:rPr>
        <w:t xml:space="preserve">, אשר הביא את אותו נכס אל תוך חיי הנישואין שלו, ויתר על הכלל בדבר שמירת הזכויות בנכסי העבר והפך את בן זוגו לשותף שווה זכויות בנכס, היא שאלה אינדיווידואלית שהתשובה עליה (בהעדר הקנייה מפורשת) מצויה באורח חייהם ובאמונותיהם של בני הזוג. מדובר אפוא בשאלה שלגביה לא ניתן </w:t>
      </w:r>
      <w:r w:rsidRPr="009353CA">
        <w:rPr>
          <w:rFonts w:ascii="Century" w:hAnsi="Century"/>
          <w:rtl/>
        </w:rPr>
        <w:t>–</w:t>
      </w:r>
      <w:r w:rsidRPr="009353CA">
        <w:rPr>
          <w:rFonts w:ascii="Century" w:hAnsi="Century" w:hint="cs"/>
          <w:rtl/>
        </w:rPr>
        <w:t xml:space="preserve"> וממילא לא רצוי </w:t>
      </w:r>
      <w:r w:rsidRPr="009353CA">
        <w:rPr>
          <w:rFonts w:ascii="Century" w:hAnsi="Century"/>
          <w:rtl/>
        </w:rPr>
        <w:t>–</w:t>
      </w:r>
      <w:r w:rsidRPr="009353CA">
        <w:rPr>
          <w:rFonts w:ascii="Century" w:hAnsi="Century" w:hint="cs"/>
          <w:rtl/>
        </w:rPr>
        <w:t xml:space="preserve"> לקבוע כללים גורפים האדישים לאמונות, לערכים ולנסיבות החיים האינטימיים של בני הזוג. כל זוג לפי אמונתו יחיה ולפי אמונתו יחלק </w:t>
      </w:r>
      <w:r w:rsidRPr="009353CA">
        <w:rPr>
          <w:rFonts w:ascii="Century" w:hAnsi="Century"/>
          <w:rtl/>
        </w:rPr>
        <w:t>–</w:t>
      </w:r>
      <w:r w:rsidRPr="009353CA">
        <w:rPr>
          <w:rFonts w:ascii="Century" w:hAnsi="Century" w:hint="cs"/>
          <w:rtl/>
        </w:rPr>
        <w:t xml:space="preserve"> או לא יחלק </w:t>
      </w:r>
      <w:r w:rsidRPr="009353CA">
        <w:rPr>
          <w:rFonts w:ascii="Century" w:hAnsi="Century"/>
          <w:rtl/>
        </w:rPr>
        <w:t>–</w:t>
      </w:r>
      <w:r w:rsidRPr="009353CA">
        <w:rPr>
          <w:rFonts w:ascii="Century" w:hAnsi="Century" w:hint="cs"/>
          <w:rtl/>
        </w:rPr>
        <w:t xml:space="preserve"> את הרכוש האישי של כל אחד מבני הזוג. אנו לא נחליף את אמונתו באמונותינו.</w:t>
      </w:r>
      <w:r w:rsidRPr="009353CA">
        <w:rPr>
          <w:rFonts w:hint="cs"/>
          <w:rtl/>
        </w:rPr>
        <w:t>"</w:t>
      </w:r>
      <w:r w:rsidRPr="009353CA">
        <w:rPr>
          <w:rFonts w:ascii="Century" w:hAnsi="Century" w:hint="cs"/>
          <w:rtl/>
        </w:rPr>
        <w:t xml:space="preserve"> (ראו</w:t>
      </w:r>
      <w:r>
        <w:rPr>
          <w:rFonts w:ascii="Century" w:hAnsi="Century" w:hint="cs"/>
          <w:rtl/>
        </w:rPr>
        <w:t>:</w:t>
      </w:r>
      <w:r w:rsidRPr="009353CA">
        <w:rPr>
          <w:rFonts w:ascii="Century" w:hAnsi="Century" w:hint="cs"/>
          <w:rtl/>
        </w:rPr>
        <w:t xml:space="preserve"> פסקאות 8-7 לפסק דיני בהליך הקודם).</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tl/>
        </w:rPr>
        <w:tab/>
      </w:r>
      <w:r w:rsidRPr="009353CA">
        <w:rPr>
          <w:rFonts w:hint="cs"/>
          <w:rtl/>
        </w:rPr>
        <w:t xml:space="preserve">מאחורי דברים אלה הנני ממשיך לעמוד גם כעת. </w:t>
      </w:r>
      <w:r w:rsidRPr="009353CA">
        <w:rPr>
          <w:rFonts w:ascii="Century" w:hAnsi="Century" w:cs="Miriam" w:hint="cs"/>
          <w:b/>
          <w:spacing w:val="0"/>
          <w:szCs w:val="24"/>
          <w:rtl/>
        </w:rPr>
        <w:t>יחסים אינטימיים בין בני זוג והאופן שבו כל אחד מהם מנהל את רכושו האישי הם עניינם הפרטי של בני הזוג ולא עניינה של המדינה.</w:t>
      </w:r>
      <w:r w:rsidRPr="009353CA">
        <w:rPr>
          <w:rFonts w:hint="cs"/>
          <w:rtl/>
        </w:rPr>
        <w:t xml:space="preserve"> בפועלם כזרועה הארוכה של המדינה, בתי המשפט חייבים אפוא להימנע מקביעת נורמות אשר מכילות בתוכן עמדה ערכית כזאת או אחרת ביחס לנאמנות מינית או לאופן שבו </w:t>
      </w:r>
      <w:r>
        <w:rPr>
          <w:rFonts w:hint="cs"/>
          <w:rtl/>
        </w:rPr>
        <w:t>בני זוג צריכים</w:t>
      </w:r>
      <w:r w:rsidRPr="009353CA">
        <w:rPr>
          <w:rFonts w:hint="cs"/>
          <w:rtl/>
        </w:rPr>
        <w:t xml:space="preserve"> לחלוק את רכוש</w:t>
      </w:r>
      <w:r>
        <w:rPr>
          <w:rFonts w:hint="cs"/>
          <w:rtl/>
        </w:rPr>
        <w:t>ם</w:t>
      </w:r>
      <w:r w:rsidRPr="009353CA">
        <w:rPr>
          <w:rFonts w:hint="cs"/>
          <w:rtl/>
        </w:rPr>
        <w:t xml:space="preserve"> הפרטי </w:t>
      </w:r>
      <w:r>
        <w:rPr>
          <w:rFonts w:hint="cs"/>
          <w:rtl/>
        </w:rPr>
        <w:t>זה עם זו</w:t>
      </w:r>
      <w:r w:rsidRPr="009353CA">
        <w:rPr>
          <w:rFonts w:hint="cs"/>
          <w:rtl/>
        </w:rPr>
        <w:t xml:space="preserve">. בעניינים אלו, תפקידם של בתי המשפט </w:t>
      </w:r>
      <w:r w:rsidRPr="009353CA">
        <w:rPr>
          <w:rtl/>
        </w:rPr>
        <w:t>–</w:t>
      </w:r>
      <w:r w:rsidRPr="009353CA">
        <w:rPr>
          <w:rFonts w:hint="cs"/>
          <w:rtl/>
        </w:rPr>
        <w:t xml:space="preserve"> כפי שאני רואה אותו </w:t>
      </w:r>
      <w:r w:rsidRPr="009353CA">
        <w:rPr>
          <w:rtl/>
        </w:rPr>
        <w:t>–</w:t>
      </w:r>
      <w:r w:rsidRPr="009353CA">
        <w:rPr>
          <w:rFonts w:hint="cs"/>
          <w:rtl/>
        </w:rPr>
        <w:t xml:space="preserve"> מצטמצם לבירור </w:t>
      </w:r>
      <w:r w:rsidRPr="009353CA">
        <w:rPr>
          <w:rFonts w:ascii="Century" w:hAnsi="Century" w:cs="Miriam" w:hint="cs"/>
          <w:b/>
          <w:spacing w:val="0"/>
          <w:szCs w:val="24"/>
          <w:rtl/>
        </w:rPr>
        <w:t>עובדתי</w:t>
      </w:r>
      <w:r w:rsidRPr="009353CA">
        <w:rPr>
          <w:rFonts w:hint="cs"/>
          <w:rtl/>
        </w:rPr>
        <w:t xml:space="preserve"> של ההסכמות שבני </w:t>
      </w:r>
      <w:r w:rsidRPr="009353CA">
        <w:rPr>
          <w:rFonts w:hint="cs"/>
          <w:rtl/>
        </w:rPr>
        <w:lastRenderedPageBreak/>
        <w:t>הזוג גיבשו ביניהם, במפורש או במשתמע, ולאכיפתן של הסכמות אלו כמות שהן, כל אימת שאינן מנוגדות לדין או לתקנת הציבור (ראו</w:t>
      </w:r>
      <w:r>
        <w:rPr>
          <w:rFonts w:hint="cs"/>
          <w:rtl/>
        </w:rPr>
        <w:t>:</w:t>
      </w:r>
      <w:r w:rsidRPr="009353CA">
        <w:rPr>
          <w:rFonts w:hint="cs"/>
          <w:rtl/>
        </w:rPr>
        <w:t xml:space="preserve"> סעיפים 30 ו-61(ב) לחוק החוזים).</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מעבר לנדרש, אוסיף ואציין כי בעיני רבים </w:t>
      </w:r>
      <w:r w:rsidRPr="009353CA">
        <w:rPr>
          <w:rFonts w:ascii="Century" w:hAnsi="Century" w:cs="Miriam" w:hint="cs"/>
          <w:b/>
          <w:spacing w:val="0"/>
          <w:sz w:val="22"/>
          <w:szCs w:val="24"/>
          <w:rtl/>
        </w:rPr>
        <w:t>בגידת בן הזוג בבת זוגו, או להיפך, איננה דבר של מה בכך גם כשמדובר במעשה חד-פעמי</w:t>
      </w:r>
      <w:r w:rsidRPr="009353CA">
        <w:rPr>
          <w:rFonts w:hint="cs"/>
          <w:rtl/>
        </w:rPr>
        <w:t xml:space="preserve">. מחקרים אמפיריים הראו כי בגידה גורמת לבני הזוג הנבגדים נזקים נפשיים אשר כוללים פיחות בהערכה העצמית, תחושת אשמה, חוסר ביטחון, כעס בלתי נשלט, ואפילו דיכאון קליני (ראו: </w:t>
      </w:r>
      <w:r w:rsidRPr="009353CA">
        <w:rPr>
          <w:rFonts w:asciiTheme="majorBidi" w:hAnsiTheme="majorBidi" w:cstheme="majorBidi"/>
        </w:rPr>
        <w:t xml:space="preserve">Todd K. Shackelford, </w:t>
      </w:r>
      <w:r w:rsidRPr="009353CA">
        <w:rPr>
          <w:rFonts w:asciiTheme="majorBidi" w:hAnsiTheme="majorBidi" w:cstheme="majorBidi"/>
          <w:i/>
          <w:iCs/>
        </w:rPr>
        <w:t>et al</w:t>
      </w:r>
      <w:r w:rsidRPr="009353CA">
        <w:rPr>
          <w:rFonts w:asciiTheme="majorBidi" w:hAnsiTheme="majorBidi" w:cstheme="majorBidi"/>
        </w:rPr>
        <w:t xml:space="preserve">., </w:t>
      </w:r>
      <w:r w:rsidRPr="009353CA">
        <w:rPr>
          <w:rFonts w:asciiTheme="majorBidi" w:hAnsiTheme="majorBidi" w:cstheme="majorBidi"/>
          <w:i/>
          <w:iCs/>
        </w:rPr>
        <w:t>Emotional Reactions to Infidelity</w:t>
      </w:r>
      <w:r w:rsidRPr="009353CA">
        <w:rPr>
          <w:rFonts w:asciiTheme="majorBidi" w:hAnsiTheme="majorBidi" w:cstheme="majorBidi"/>
        </w:rPr>
        <w:t xml:space="preserve">, 14(5) </w:t>
      </w:r>
      <w:r w:rsidRPr="009353CA">
        <w:rPr>
          <w:rFonts w:asciiTheme="majorBidi" w:hAnsiTheme="majorBidi" w:cstheme="majorBidi"/>
          <w:smallCaps/>
        </w:rPr>
        <w:t>Cognition &amp; Emotion</w:t>
      </w:r>
      <w:r w:rsidRPr="009353CA">
        <w:rPr>
          <w:rFonts w:asciiTheme="majorBidi" w:hAnsiTheme="majorBidi" w:cstheme="majorBidi"/>
        </w:rPr>
        <w:t xml:space="preserve"> 643 (2000); Mark A. </w:t>
      </w:r>
      <w:proofErr w:type="spellStart"/>
      <w:r w:rsidRPr="009353CA">
        <w:rPr>
          <w:rFonts w:asciiTheme="majorBidi" w:hAnsiTheme="majorBidi" w:cstheme="majorBidi"/>
        </w:rPr>
        <w:t>Whisman</w:t>
      </w:r>
      <w:proofErr w:type="spellEnd"/>
      <w:r w:rsidRPr="009353CA">
        <w:rPr>
          <w:rFonts w:asciiTheme="majorBidi" w:hAnsiTheme="majorBidi" w:cstheme="majorBidi"/>
        </w:rPr>
        <w:t xml:space="preserve">, </w:t>
      </w:r>
      <w:r w:rsidRPr="009353CA">
        <w:rPr>
          <w:rFonts w:asciiTheme="majorBidi" w:hAnsiTheme="majorBidi" w:cstheme="majorBidi"/>
          <w:i/>
          <w:iCs/>
        </w:rPr>
        <w:t>Discovery of a Partner Affair and Major Depressive Episode in a Probability Sample of Married or Cohabiting Adults</w:t>
      </w:r>
      <w:r w:rsidRPr="009353CA">
        <w:rPr>
          <w:rFonts w:asciiTheme="majorBidi" w:hAnsiTheme="majorBidi" w:cstheme="majorBidi"/>
        </w:rPr>
        <w:t xml:space="preserve">, 55 </w:t>
      </w:r>
      <w:r w:rsidRPr="009353CA">
        <w:rPr>
          <w:rFonts w:asciiTheme="majorBidi" w:hAnsiTheme="majorBidi" w:cstheme="majorBidi"/>
          <w:smallCaps/>
        </w:rPr>
        <w:t>Fam. Process</w:t>
      </w:r>
      <w:r w:rsidRPr="009353CA">
        <w:rPr>
          <w:rFonts w:asciiTheme="majorBidi" w:hAnsiTheme="majorBidi" w:cstheme="majorBidi"/>
        </w:rPr>
        <w:t xml:space="preserve"> 713 (2016); M. Rosie </w:t>
      </w:r>
      <w:proofErr w:type="spellStart"/>
      <w:r w:rsidRPr="009353CA">
        <w:rPr>
          <w:rFonts w:asciiTheme="majorBidi" w:hAnsiTheme="majorBidi" w:cstheme="majorBidi"/>
        </w:rPr>
        <w:t>Shrout</w:t>
      </w:r>
      <w:proofErr w:type="spellEnd"/>
      <w:r w:rsidRPr="009353CA">
        <w:rPr>
          <w:rFonts w:asciiTheme="majorBidi" w:hAnsiTheme="majorBidi" w:cstheme="majorBidi"/>
        </w:rPr>
        <w:t xml:space="preserve"> &amp; Daniel J. </w:t>
      </w:r>
      <w:proofErr w:type="spellStart"/>
      <w:r w:rsidRPr="009353CA">
        <w:rPr>
          <w:rFonts w:asciiTheme="majorBidi" w:hAnsiTheme="majorBidi" w:cstheme="majorBidi"/>
        </w:rPr>
        <w:t>Weigel</w:t>
      </w:r>
      <w:proofErr w:type="spellEnd"/>
      <w:r w:rsidRPr="009353CA">
        <w:rPr>
          <w:rFonts w:asciiTheme="majorBidi" w:hAnsiTheme="majorBidi" w:cstheme="majorBidi"/>
        </w:rPr>
        <w:t xml:space="preserve">, </w:t>
      </w:r>
      <w:r w:rsidRPr="009353CA">
        <w:rPr>
          <w:rFonts w:asciiTheme="majorBidi" w:hAnsiTheme="majorBidi" w:cstheme="majorBidi"/>
          <w:i/>
          <w:iCs/>
        </w:rPr>
        <w:t>Infidelity’s Aftermath: Appraisals, Mental Health, and Health-Compromising Behaviors Following a Partner’s Infidelity</w:t>
      </w:r>
      <w:r w:rsidRPr="009353CA">
        <w:rPr>
          <w:rFonts w:asciiTheme="majorBidi" w:hAnsiTheme="majorBidi" w:cstheme="majorBidi"/>
        </w:rPr>
        <w:t>,</w:t>
      </w:r>
      <w:r w:rsidRPr="009353CA">
        <w:rPr>
          <w:rFonts w:asciiTheme="majorBidi" w:hAnsiTheme="majorBidi" w:cstheme="majorBidi"/>
          <w:i/>
          <w:iCs/>
        </w:rPr>
        <w:t xml:space="preserve"> </w:t>
      </w:r>
      <w:r w:rsidRPr="009353CA">
        <w:rPr>
          <w:rFonts w:asciiTheme="majorBidi" w:hAnsiTheme="majorBidi" w:cstheme="majorBidi"/>
        </w:rPr>
        <w:t xml:space="preserve">35(8) </w:t>
      </w:r>
      <w:r w:rsidRPr="009353CA">
        <w:rPr>
          <w:rFonts w:asciiTheme="majorBidi" w:hAnsiTheme="majorBidi" w:cstheme="majorBidi"/>
          <w:smallCaps/>
        </w:rPr>
        <w:t>J. Social &amp; Personal Relationships</w:t>
      </w:r>
      <w:r w:rsidRPr="009353CA">
        <w:rPr>
          <w:rFonts w:asciiTheme="majorBidi" w:hAnsiTheme="majorBidi" w:cstheme="majorBidi"/>
        </w:rPr>
        <w:t xml:space="preserve"> 1067, 1068, 1070-1077 (2017)</w:t>
      </w:r>
      <w:r w:rsidRPr="009353CA">
        <w:rPr>
          <w:rFonts w:ascii="Century" w:hAnsi="Century" w:hint="cs"/>
          <w:sz w:val="22"/>
          <w:rtl/>
        </w:rPr>
        <w:t>).</w:t>
      </w:r>
      <w:r w:rsidRPr="009353CA">
        <w:rPr>
          <w:rFonts w:hint="cs"/>
          <w:rtl/>
        </w:rPr>
        <w:t xml:space="preserve"> מסיבה זו, אין זה מופרך בעיניי שבן הזוג הנבגד ירצה לחזור בו, בעקבות הבגידה, </w:t>
      </w:r>
      <w:proofErr w:type="spellStart"/>
      <w:r w:rsidRPr="009353CA">
        <w:rPr>
          <w:rFonts w:hint="cs"/>
          <w:rtl/>
        </w:rPr>
        <w:t>מתוכנית</w:t>
      </w:r>
      <w:r w:rsidRPr="009353CA">
        <w:rPr>
          <w:rFonts w:hint="eastAsia"/>
          <w:rtl/>
        </w:rPr>
        <w:t>ו</w:t>
      </w:r>
      <w:proofErr w:type="spellEnd"/>
      <w:r w:rsidRPr="009353CA">
        <w:rPr>
          <w:rFonts w:hint="cs"/>
          <w:rtl/>
        </w:rPr>
        <w:t xml:space="preserve"> לחלוק את נכסיו עם בת זוגו; וכך הוא, כמובן, גם לגבי אישה אשר מגלה כי בעלה ניהל או מנהל מערכת יחסים אינטימית עם אישה אחרת מאחורי גבה. יתרה מכך: אובדן הביטחון בזוגיות ובקשר הנישואין הקיים ושקילת האפשרות של פירוק הקשר מתמרצים אנשים לשמור על רכושם, מטעמים מובנים ומסיבות טובות.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באומרי את אשר אמרתי, הנני רחוק מלסבור כי חברי, השופט </w:t>
      </w:r>
      <w:r w:rsidRPr="009353CA">
        <w:rPr>
          <w:rFonts w:ascii="Century" w:hAnsi="Century" w:cs="Miriam" w:hint="cs"/>
          <w:b/>
          <w:spacing w:val="0"/>
          <w:sz w:val="22"/>
          <w:szCs w:val="24"/>
          <w:rtl/>
        </w:rPr>
        <w:t>עמית</w:t>
      </w:r>
      <w:r w:rsidRPr="009353CA">
        <w:rPr>
          <w:rFonts w:hint="cs"/>
          <w:rtl/>
        </w:rPr>
        <w:t xml:space="preserve">, לא היה מודע לשיקולים שמניתי לעיל. ההיפך הוא הנכון: חברי גיבש דעה הפוכה משלי בהיותו מודע היטב לכל השיקולים הללו </w:t>
      </w:r>
      <w:r w:rsidRPr="009353CA">
        <w:rPr>
          <w:rtl/>
        </w:rPr>
        <w:t>–</w:t>
      </w:r>
      <w:r w:rsidRPr="009353CA">
        <w:rPr>
          <w:rFonts w:hint="cs"/>
          <w:rtl/>
        </w:rPr>
        <w:t xml:space="preserve"> וזאת, בשל הקושי המעשי והבלתי פתיר אשר מתעורר בעניינו של שיתוף ספציפי במקרים של בגידה. הקושי שהטריד את חברי, בצדק רב, הוא זה: מעשה בגידה שאין לו כל קשר לענייני הרכוש של בני הזוג יכול להיות מנוצל לרעה על ידי בן הזוג הנבגד בקלות יחסית (ראו: </w:t>
      </w:r>
      <w:r w:rsidRPr="009353CA">
        <w:rPr>
          <w:rFonts w:hint="eastAsia"/>
          <w:rtl/>
        </w:rPr>
        <w:t>ע</w:t>
      </w:r>
      <w:r w:rsidRPr="009353CA">
        <w:rPr>
          <w:rtl/>
        </w:rPr>
        <w:t>"</w:t>
      </w:r>
      <w:r w:rsidRPr="009353CA">
        <w:rPr>
          <w:rFonts w:hint="eastAsia"/>
          <w:rtl/>
        </w:rPr>
        <w:t>א</w:t>
      </w:r>
      <w:r w:rsidRPr="009353CA">
        <w:rPr>
          <w:rtl/>
        </w:rPr>
        <w:t xml:space="preserve"> 264/77 </w:t>
      </w:r>
      <w:r w:rsidRPr="009353CA">
        <w:rPr>
          <w:rFonts w:ascii="Century" w:hAnsi="Century" w:cs="Miriam" w:hint="eastAsia"/>
          <w:b/>
          <w:spacing w:val="0"/>
          <w:sz w:val="22"/>
          <w:szCs w:val="24"/>
          <w:rtl/>
        </w:rPr>
        <w:t>דרור</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דרור</w:t>
      </w:r>
      <w:r w:rsidRPr="009353CA">
        <w:rPr>
          <w:rtl/>
        </w:rPr>
        <w:t xml:space="preserve">, </w:t>
      </w:r>
      <w:r w:rsidRPr="009353CA">
        <w:rPr>
          <w:rFonts w:hint="cs"/>
          <w:rtl/>
        </w:rPr>
        <w:t xml:space="preserve">פ"ד </w:t>
      </w:r>
      <w:r w:rsidRPr="009353CA">
        <w:rPr>
          <w:rFonts w:hint="eastAsia"/>
          <w:rtl/>
        </w:rPr>
        <w:t>לב</w:t>
      </w:r>
      <w:r w:rsidRPr="009353CA">
        <w:rPr>
          <w:rtl/>
        </w:rPr>
        <w:t>(1) 829</w:t>
      </w:r>
      <w:r w:rsidRPr="009353CA">
        <w:rPr>
          <w:rFonts w:hint="cs"/>
          <w:rtl/>
        </w:rPr>
        <w:t>, 832</w:t>
      </w:r>
      <w:r w:rsidRPr="009353CA">
        <w:rPr>
          <w:rtl/>
        </w:rPr>
        <w:t xml:space="preserve"> (1978)</w:t>
      </w:r>
      <w:r w:rsidRPr="009353CA">
        <w:rPr>
          <w:rFonts w:hint="cs"/>
          <w:rtl/>
        </w:rPr>
        <w:t xml:space="preserve">). בן הזוג הנבגד לעולם יוכל לטעון </w:t>
      </w:r>
      <w:r w:rsidRPr="009353CA">
        <w:rPr>
          <w:rtl/>
        </w:rPr>
        <w:t>–</w:t>
      </w:r>
      <w:r w:rsidRPr="009353CA">
        <w:rPr>
          <w:rFonts w:hint="cs"/>
          <w:rtl/>
        </w:rPr>
        <w:t xml:space="preserve"> ויטען כמעט תמיד </w:t>
      </w:r>
      <w:r w:rsidRPr="009353CA">
        <w:rPr>
          <w:rtl/>
        </w:rPr>
        <w:t>–</w:t>
      </w:r>
      <w:r w:rsidRPr="009353CA">
        <w:rPr>
          <w:rFonts w:hint="cs"/>
          <w:rtl/>
        </w:rPr>
        <w:t xml:space="preserve"> כי הוא לא היה מוכן לחלוק את נכסיו עם בת זוגו אילו ידע שתבגוד בו בנקודת זמן כלשהי במהלך הנישואין; ואם טענתו תתקבל, הקניית זכויות שותפות בנכסיו לבת זוגו תתבטל מניה וביה למרות שמדובר בהקניית זכויות כשרה למהדרין אשר כבר הושלמה, ואשר לאמיתו של דבר לא </w:t>
      </w:r>
      <w:proofErr w:type="spellStart"/>
      <w:r w:rsidRPr="009353CA">
        <w:rPr>
          <w:rFonts w:hint="cs"/>
          <w:rtl/>
        </w:rPr>
        <w:t>היתה</w:t>
      </w:r>
      <w:proofErr w:type="spellEnd"/>
      <w:r w:rsidRPr="009353CA">
        <w:rPr>
          <w:rFonts w:hint="cs"/>
          <w:rtl/>
        </w:rPr>
        <w:t xml:space="preserve"> מותנית בשום תנאי. בנסיבות כאלה, שופט או דיין שאינו קורא כליות ולב ייטה לשלול את קיומו של שיתוף ספציפי בנכסים; ובת הזוג, שהנטל להוכיח את דבר קיומו של השיתוף מוטל עליה (ראו</w:t>
      </w:r>
      <w:r w:rsidRPr="00106F85">
        <w:rPr>
          <w:rFonts w:ascii="Century" w:hAnsi="Century"/>
          <w:sz w:val="22"/>
          <w:rtl/>
        </w:rPr>
        <w:t>:</w:t>
      </w:r>
      <w:r w:rsidRPr="009353CA">
        <w:rPr>
          <w:rFonts w:ascii="Century" w:hAnsi="Century" w:cs="Miriam"/>
          <w:b/>
          <w:spacing w:val="0"/>
          <w:sz w:val="22"/>
          <w:szCs w:val="24"/>
        </w:rPr>
        <w:t xml:space="preserve"> </w:t>
      </w:r>
      <w:r w:rsidRPr="00106F85">
        <w:rPr>
          <w:rFonts w:ascii="Century" w:hAnsi="Century" w:cs="Miriam" w:hint="eastAsia"/>
          <w:b/>
          <w:spacing w:val="0"/>
          <w:sz w:val="22"/>
          <w:szCs w:val="24"/>
          <w:rtl/>
        </w:rPr>
        <w:t>בע</w:t>
      </w:r>
      <w:r w:rsidRPr="00106F85">
        <w:rPr>
          <w:rFonts w:ascii="Century" w:hAnsi="Century" w:cs="Miriam"/>
          <w:b/>
          <w:spacing w:val="0"/>
          <w:sz w:val="22"/>
          <w:szCs w:val="24"/>
          <w:rtl/>
        </w:rPr>
        <w:t>"</w:t>
      </w:r>
      <w:r w:rsidRPr="00106F85">
        <w:rPr>
          <w:rFonts w:ascii="Century" w:hAnsi="Century" w:cs="Miriam" w:hint="eastAsia"/>
          <w:b/>
          <w:spacing w:val="0"/>
          <w:sz w:val="22"/>
          <w:szCs w:val="24"/>
          <w:rtl/>
        </w:rPr>
        <w:t>מ</w:t>
      </w:r>
      <w:r w:rsidRPr="00106F85">
        <w:rPr>
          <w:rFonts w:ascii="Century" w:hAnsi="Century" w:cs="Miriam"/>
          <w:b/>
          <w:spacing w:val="0"/>
          <w:sz w:val="22"/>
          <w:szCs w:val="24"/>
          <w:rtl/>
        </w:rPr>
        <w:t xml:space="preserve"> </w:t>
      </w:r>
      <w:r w:rsidRPr="009353CA">
        <w:rPr>
          <w:rFonts w:ascii="Century" w:hAnsi="Century" w:cs="Miriam" w:hint="cs"/>
          <w:b/>
          <w:spacing w:val="0"/>
          <w:sz w:val="22"/>
          <w:szCs w:val="24"/>
          <w:rtl/>
        </w:rPr>
        <w:t>1398/11</w:t>
      </w:r>
      <w:r w:rsidRPr="009353CA">
        <w:rPr>
          <w:rFonts w:hint="cs"/>
          <w:rtl/>
        </w:rPr>
        <w:t xml:space="preserve">, פסקה 14), תצא תמיד עם ידה </w:t>
      </w:r>
      <w:r w:rsidRPr="009353CA">
        <w:rPr>
          <w:rFonts w:hint="cs"/>
          <w:rtl/>
        </w:rPr>
        <w:lastRenderedPageBreak/>
        <w:t xml:space="preserve">על התחתונה. כפועל יוצא מכך, טענות בדבר בגידה ואשמה </w:t>
      </w:r>
      <w:r w:rsidRPr="009353CA">
        <w:rPr>
          <w:rtl/>
        </w:rPr>
        <w:t>–</w:t>
      </w:r>
      <w:r w:rsidRPr="009353CA">
        <w:rPr>
          <w:rFonts w:hint="cs"/>
          <w:rtl/>
        </w:rPr>
        <w:t xml:space="preserve"> אשר נחסמו על ידי דינים בני זמננו שמסדירים את חלוקת הרכוש בגירושין </w:t>
      </w:r>
      <w:r w:rsidRPr="009353CA">
        <w:rPr>
          <w:rtl/>
        </w:rPr>
        <w:t>–</w:t>
      </w:r>
      <w:r w:rsidRPr="009353CA">
        <w:rPr>
          <w:rFonts w:hint="cs"/>
          <w:rtl/>
        </w:rPr>
        <w:t xml:space="preserve"> תחזורנה למחוזותינו בקול תרועה רמה ותעשנה שמות.</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אודה ולא אכחד: חששו של חברי, השופט </w:t>
      </w:r>
      <w:r w:rsidRPr="009353CA">
        <w:rPr>
          <w:rFonts w:ascii="Century" w:hAnsi="Century" w:cs="Miriam" w:hint="cs"/>
          <w:b/>
          <w:spacing w:val="0"/>
          <w:sz w:val="22"/>
          <w:szCs w:val="24"/>
          <w:rtl/>
        </w:rPr>
        <w:t>עמית</w:t>
      </w:r>
      <w:r w:rsidRPr="009353CA">
        <w:rPr>
          <w:rFonts w:hint="cs"/>
          <w:rtl/>
        </w:rPr>
        <w:t xml:space="preserve">, הוא גם החשש שלי. התרחיש עליו הצביע חברי אכן עתיד להתממש בלא מעט מקרים אם דעת הרוב בהליך הקודם תישאר על כנה. </w:t>
      </w:r>
    </w:p>
    <w:p w:rsidR="00917458" w:rsidRPr="009353CA" w:rsidRDefault="00917458" w:rsidP="00917458">
      <w:pPr>
        <w:pStyle w:val="Ruller4"/>
        <w:numPr>
          <w:ilvl w:val="0"/>
          <w:numId w:val="0"/>
        </w:numPr>
        <w:rPr>
          <w:rtl/>
        </w:rPr>
      </w:pPr>
    </w:p>
    <w:p w:rsidR="00917458" w:rsidRPr="009353CA" w:rsidRDefault="00917458" w:rsidP="00917458">
      <w:pPr>
        <w:pStyle w:val="Ruller4"/>
        <w:numPr>
          <w:ilvl w:val="0"/>
          <w:numId w:val="0"/>
        </w:numPr>
        <w:rPr>
          <w:rtl/>
        </w:rPr>
      </w:pPr>
      <w:r w:rsidRPr="009353CA">
        <w:rPr>
          <w:rtl/>
        </w:rPr>
        <w:tab/>
      </w:r>
      <w:r w:rsidRPr="009353CA">
        <w:rPr>
          <w:rFonts w:hint="cs"/>
          <w:rtl/>
        </w:rPr>
        <w:t>אם כך הוא, מדוע עודני ממשיך לאחוז באותה דעה?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לשאלה זו אענה בפשטות: הנני ממשיך לאחוז בדעתי כי זו משקפת את הדין הקיים לטוב ולרע, ואין זה בידי להכריע בהליכים משפטיים רגילים לפי דין רצוי. סבורני כי שופט חייב למקד את מלאכתו במציאת הדין ובהחלתו כמות שהוא, ולא בהמצאתו יש מאין; כך עשיתי ו</w:t>
      </w:r>
      <w:r>
        <w:rPr>
          <w:rFonts w:hint="cs"/>
          <w:rtl/>
        </w:rPr>
        <w:t xml:space="preserve">כך </w:t>
      </w:r>
      <w:r w:rsidRPr="009353CA">
        <w:rPr>
          <w:rFonts w:hint="cs"/>
          <w:rtl/>
        </w:rPr>
        <w:t xml:space="preserve">אעשה. הלכת </w:t>
      </w:r>
      <w:r w:rsidRPr="009353CA">
        <w:rPr>
          <w:rFonts w:ascii="Century" w:hAnsi="Century" w:cs="Miriam" w:hint="cs"/>
          <w:b/>
          <w:spacing w:val="0"/>
          <w:sz w:val="22"/>
          <w:szCs w:val="24"/>
          <w:rtl/>
        </w:rPr>
        <w:t>אבו רומי</w:t>
      </w:r>
      <w:r w:rsidRPr="009353CA">
        <w:rPr>
          <w:rFonts w:hint="cs"/>
          <w:rtl/>
        </w:rPr>
        <w:t xml:space="preserve"> ופסקי דין אחרים שבאו בעקבותיה ביססו את השיתוף הספציפי על המודל החוזי-הסכמי (ראו למשל:</w:t>
      </w:r>
      <w:r w:rsidRPr="009353CA">
        <w:rPr>
          <w:rFonts w:hint="eastAsia"/>
          <w:rtl/>
        </w:rPr>
        <w:t xml:space="preserve"> ע</w:t>
      </w:r>
      <w:r w:rsidRPr="009353CA">
        <w:rPr>
          <w:rtl/>
        </w:rPr>
        <w:t>"</w:t>
      </w:r>
      <w:r w:rsidRPr="009353CA">
        <w:rPr>
          <w:rFonts w:hint="eastAsia"/>
          <w:rtl/>
        </w:rPr>
        <w:t>א</w:t>
      </w:r>
      <w:r w:rsidRPr="009353CA">
        <w:rPr>
          <w:rtl/>
        </w:rPr>
        <w:t xml:space="preserve"> 4151</w:t>
      </w:r>
      <w:r w:rsidRPr="009353CA">
        <w:rPr>
          <w:rFonts w:hint="cs"/>
          <w:rtl/>
        </w:rPr>
        <w:t>/</w:t>
      </w:r>
      <w:r w:rsidRPr="009353CA">
        <w:rPr>
          <w:rtl/>
        </w:rPr>
        <w:t xml:space="preserve">99 </w:t>
      </w:r>
      <w:r w:rsidRPr="009353CA">
        <w:rPr>
          <w:rFonts w:ascii="Century" w:hAnsi="Century" w:cs="Miriam" w:hint="eastAsia"/>
          <w:b/>
          <w:spacing w:val="0"/>
          <w:szCs w:val="24"/>
          <w:rtl/>
        </w:rPr>
        <w:t>בריל</w:t>
      </w:r>
      <w:r w:rsidRPr="009353CA">
        <w:rPr>
          <w:rFonts w:ascii="Century" w:hAnsi="Century" w:cs="Miriam"/>
          <w:b/>
          <w:spacing w:val="0"/>
          <w:szCs w:val="24"/>
          <w:rtl/>
        </w:rPr>
        <w:t xml:space="preserve"> </w:t>
      </w:r>
      <w:r w:rsidRPr="009353CA">
        <w:rPr>
          <w:rFonts w:ascii="Century" w:hAnsi="Century" w:cs="Miriam" w:hint="eastAsia"/>
          <w:b/>
          <w:spacing w:val="0"/>
          <w:szCs w:val="24"/>
          <w:rtl/>
        </w:rPr>
        <w:t>נ</w:t>
      </w:r>
      <w:r w:rsidRPr="009353CA">
        <w:rPr>
          <w:rFonts w:ascii="Century" w:hAnsi="Century" w:cs="Miriam"/>
          <w:b/>
          <w:spacing w:val="0"/>
          <w:szCs w:val="24"/>
          <w:rtl/>
        </w:rPr>
        <w:t xml:space="preserve">' </w:t>
      </w:r>
      <w:r w:rsidRPr="009353CA">
        <w:rPr>
          <w:rFonts w:ascii="Century" w:hAnsi="Century" w:cs="Miriam" w:hint="eastAsia"/>
          <w:b/>
          <w:spacing w:val="0"/>
          <w:szCs w:val="24"/>
          <w:rtl/>
        </w:rPr>
        <w:t>בריל</w:t>
      </w:r>
      <w:r w:rsidRPr="009353CA">
        <w:rPr>
          <w:rtl/>
        </w:rPr>
        <w:t xml:space="preserve">, </w:t>
      </w:r>
      <w:r w:rsidRPr="009353CA">
        <w:rPr>
          <w:rFonts w:hint="eastAsia"/>
          <w:rtl/>
        </w:rPr>
        <w:t>פ</w:t>
      </w:r>
      <w:r w:rsidRPr="009353CA">
        <w:rPr>
          <w:rtl/>
        </w:rPr>
        <w:t>"</w:t>
      </w:r>
      <w:r w:rsidRPr="009353CA">
        <w:rPr>
          <w:rFonts w:hint="eastAsia"/>
          <w:rtl/>
        </w:rPr>
        <w:t>ד</w:t>
      </w:r>
      <w:r w:rsidRPr="009353CA">
        <w:rPr>
          <w:rtl/>
        </w:rPr>
        <w:t xml:space="preserve"> </w:t>
      </w:r>
      <w:proofErr w:type="spellStart"/>
      <w:r w:rsidRPr="009353CA">
        <w:rPr>
          <w:rFonts w:hint="eastAsia"/>
          <w:rtl/>
        </w:rPr>
        <w:t>נה</w:t>
      </w:r>
      <w:proofErr w:type="spellEnd"/>
      <w:r w:rsidRPr="009353CA">
        <w:rPr>
          <w:rtl/>
        </w:rPr>
        <w:t>(4) 709</w:t>
      </w:r>
      <w:r w:rsidRPr="009353CA">
        <w:rPr>
          <w:rFonts w:hint="cs"/>
          <w:rtl/>
        </w:rPr>
        <w:t xml:space="preserve">, 716 (2001), והאסמכתאות שצוטטו שם בתחילת פסקה 10 לפסק הדין (להלן: עניין </w:t>
      </w:r>
      <w:r w:rsidRPr="009353CA">
        <w:rPr>
          <w:rFonts w:ascii="Century" w:hAnsi="Century" w:cs="Miriam" w:hint="cs"/>
          <w:b/>
          <w:spacing w:val="0"/>
          <w:sz w:val="22"/>
          <w:szCs w:val="24"/>
          <w:rtl/>
        </w:rPr>
        <w:t>בריל</w:t>
      </w:r>
      <w:r w:rsidRPr="009353CA">
        <w:rPr>
          <w:rFonts w:hint="cs"/>
          <w:rtl/>
        </w:rPr>
        <w:t>)). במרכזו של מודל זה עומדת כוונת השיתוף של בעל הרכוש, או של בעלת הרכוש, אשר מחליט</w:t>
      </w:r>
      <w:r>
        <w:rPr>
          <w:rFonts w:hint="cs"/>
          <w:rtl/>
        </w:rPr>
        <w:t>, או מחליט</w:t>
      </w:r>
      <w:r w:rsidRPr="009353CA">
        <w:rPr>
          <w:rFonts w:hint="cs"/>
          <w:rtl/>
        </w:rPr>
        <w:t>ה</w:t>
      </w:r>
      <w:r>
        <w:rPr>
          <w:rFonts w:hint="cs"/>
          <w:rtl/>
        </w:rPr>
        <w:t>,</w:t>
      </w:r>
      <w:r w:rsidRPr="009353CA">
        <w:rPr>
          <w:rFonts w:hint="cs"/>
          <w:rtl/>
        </w:rPr>
        <w:t xml:space="preserve"> האם ובאלו תנאים לשתף את בן או בת הזוג באותו רכוש אישי. זכות הקניין וחופש החוזה מאפשרים לבעלת הרכוש להתנות את הסכמתה לשתף את בן זוגה ברכושה האישי בכל תנאי שייראה לה. כמו כן, ברי הוא כי בעלת הרכוש רשאית שלא לשתף את בן זוגה ברכושה שלה מכל סיבה שתמצא לנכון </w:t>
      </w:r>
      <w:r w:rsidRPr="009353CA">
        <w:rPr>
          <w:rtl/>
        </w:rPr>
        <w:t>–</w:t>
      </w:r>
      <w:r w:rsidRPr="009353CA">
        <w:rPr>
          <w:rFonts w:hint="cs"/>
          <w:rtl/>
        </w:rPr>
        <w:t xml:space="preserve"> החל בקליפות בוטנים שבן זוגה נוהג להשאיר אחריו על השטיח שליד הטלוויזיה, וכלה באי-נאמנותו המינית כלפיה. בעולמו של קניין פרטי, דברו של בעל הקניין </w:t>
      </w:r>
      <w:r>
        <w:rPr>
          <w:rFonts w:hint="cs"/>
          <w:rtl/>
        </w:rPr>
        <w:t xml:space="preserve">בנוגע למה שייעשה ולמה שלא ייעשה בקניינו-שלו קובע </w:t>
      </w:r>
      <w:proofErr w:type="spellStart"/>
      <w:r>
        <w:rPr>
          <w:rFonts w:hint="cs"/>
          <w:rtl/>
        </w:rPr>
        <w:t>הכל</w:t>
      </w:r>
      <w:proofErr w:type="spellEnd"/>
      <w:r w:rsidRPr="009353CA">
        <w:rPr>
          <w:rFonts w:hint="cs"/>
          <w:rtl/>
        </w:rPr>
        <w:t>: על פיו יישק דבר. משכך הוא, נגזר עלינו לשקול, במסגרתו של מבחן השיתוף הרב-משתנים, גם את ענייני הבגידה והנאמנות המינית</w:t>
      </w:r>
      <w:r>
        <w:rPr>
          <w:rFonts w:hint="cs"/>
          <w:rtl/>
        </w:rPr>
        <w:t xml:space="preserve"> ביחס לכוונתה </w:t>
      </w:r>
      <w:proofErr w:type="spellStart"/>
      <w:r>
        <w:rPr>
          <w:rFonts w:hint="cs"/>
          <w:rtl/>
        </w:rPr>
        <w:t>האמיתית</w:t>
      </w:r>
      <w:proofErr w:type="spellEnd"/>
      <w:r>
        <w:rPr>
          <w:rFonts w:hint="cs"/>
          <w:rtl/>
        </w:rPr>
        <w:t xml:space="preserve"> של בעלת הרכוש כמי שיכולה לחלוק ושלא לחלוק את רכושה האישי עם בן זוגה.</w:t>
      </w:r>
    </w:p>
    <w:p w:rsidR="00917458" w:rsidRPr="009353CA" w:rsidRDefault="00917458" w:rsidP="00917458">
      <w:pPr>
        <w:pStyle w:val="Ruller41"/>
      </w:pPr>
    </w:p>
    <w:p w:rsidR="00917458" w:rsidRDefault="00917458" w:rsidP="00917458">
      <w:pPr>
        <w:pStyle w:val="Ruller4"/>
        <w:rPr>
          <w:rtl/>
        </w:rPr>
      </w:pPr>
      <w:r w:rsidRPr="009353CA">
        <w:rPr>
          <w:rFonts w:hint="cs"/>
          <w:rtl/>
        </w:rPr>
        <w:t xml:space="preserve">תשובתי זו נטועה כל כולה בהליך הקודם, שבו </w:t>
      </w:r>
      <w:r>
        <w:rPr>
          <w:rFonts w:hint="cs"/>
          <w:rtl/>
        </w:rPr>
        <w:t>ראיתי את עצמי</w:t>
      </w:r>
      <w:r w:rsidRPr="009353CA">
        <w:rPr>
          <w:rFonts w:hint="cs"/>
          <w:rtl/>
        </w:rPr>
        <w:t xml:space="preserve"> כבול בתקדים ששמו </w:t>
      </w:r>
      <w:r w:rsidRPr="009353CA">
        <w:rPr>
          <w:rFonts w:ascii="Century" w:hAnsi="Century" w:hint="cs"/>
          <w:sz w:val="22"/>
          <w:rtl/>
        </w:rPr>
        <w:t>דוקטרינת השיתוף הספציפי</w:t>
      </w:r>
      <w:r w:rsidRPr="009353CA">
        <w:rPr>
          <w:rFonts w:hint="cs"/>
          <w:rtl/>
        </w:rPr>
        <w:t xml:space="preserve">, ועל כן לא היה בידי לדון בשאלה האם דוקטרינת השיתוף הספציפי, שכאמור בנויה על המודל החוזי-הסכמי, היא דוקטרינה נכונה. </w:t>
      </w:r>
    </w:p>
    <w:p w:rsidR="00917458" w:rsidRPr="008F312A" w:rsidRDefault="00917458" w:rsidP="00917458">
      <w:pPr>
        <w:pStyle w:val="Ruller41"/>
      </w:pPr>
    </w:p>
    <w:p w:rsidR="00917458" w:rsidRPr="009353CA" w:rsidRDefault="00917458" w:rsidP="00917458">
      <w:pPr>
        <w:pStyle w:val="Ruller4"/>
        <w:rPr>
          <w:rtl/>
        </w:rPr>
      </w:pPr>
      <w:r w:rsidRPr="009353CA">
        <w:rPr>
          <w:rFonts w:hint="cs"/>
          <w:rtl/>
        </w:rPr>
        <w:lastRenderedPageBreak/>
        <w:t xml:space="preserve">בהליך הנוכחי, מצב הדברים הוא שונה. מדובר בדיון נוסף, הליך שמעיקרו נועד לבדוק מחדש את ההלכה השיפוטית הנוהגת ואת התאמתה למציאות החברתית ולמסגרות המשפטיות הקיימות. שופטי בית המשפט העליון מוסמכים לשנות הלכות ישנות ולהחליפן בהלכות חדשות </w:t>
      </w:r>
      <w:r w:rsidRPr="009353CA">
        <w:rPr>
          <w:rtl/>
        </w:rPr>
        <w:t>–</w:t>
      </w:r>
      <w:r w:rsidRPr="009353CA">
        <w:rPr>
          <w:rFonts w:hint="cs"/>
          <w:rtl/>
        </w:rPr>
        <w:t xml:space="preserve"> לשם כך נועד ההליך של דיון נוסף. המותב הנוכחי התכנס, בין היתר, כדי לבדוק האם </w:t>
      </w:r>
      <w:r w:rsidRPr="009353CA">
        <w:rPr>
          <w:rFonts w:ascii="Century" w:hAnsi="Century" w:hint="cs"/>
          <w:sz w:val="22"/>
          <w:rtl/>
        </w:rPr>
        <w:t>דוקטרינת השיתוף הספציפי</w:t>
      </w:r>
      <w:r w:rsidRPr="009353CA">
        <w:rPr>
          <w:rFonts w:hint="cs"/>
          <w:rtl/>
        </w:rPr>
        <w:t xml:space="preserve"> ונוסחת השיתוף שלה נכונות ורצויות במסגרת הדין הקיים; וכך אעשה. אשוב ואדגיש כי לטעמי שלי, </w:t>
      </w:r>
      <w:r w:rsidRPr="009353CA">
        <w:rPr>
          <w:rFonts w:ascii="Century" w:hAnsi="Century" w:hint="cs"/>
          <w:sz w:val="22"/>
          <w:rtl/>
        </w:rPr>
        <w:t>נוסחת השיתוף הספציפי</w:t>
      </w:r>
      <w:r w:rsidRPr="009353CA">
        <w:rPr>
          <w:rFonts w:hint="cs"/>
          <w:rtl/>
        </w:rPr>
        <w:t xml:space="preserve"> הנוכחית אינה נכונה ואינה רצויה במסגרת הדין הקיים, ועל כן אציע לחבריי לבטלה ולהעמיד תחתיה נוסחת שיתוף אחרת, אשר תקבע כלל חדש, טוב יותר, בדבר שיתוף נכסים הדרגתי כמפורט להלן. קבלת הצעתי תהפוך את ענייני הנאמנות המינית לבלתי רלבנטיים מעיקרם; וכפועל יוצא מכך, הקושי שהטריד את חברי, השופט </w:t>
      </w:r>
      <w:r w:rsidRPr="009353CA">
        <w:rPr>
          <w:rFonts w:ascii="Century" w:hAnsi="Century" w:cs="Miriam" w:hint="cs"/>
          <w:b/>
          <w:spacing w:val="0"/>
          <w:sz w:val="22"/>
          <w:szCs w:val="24"/>
          <w:rtl/>
        </w:rPr>
        <w:t>עמית</w:t>
      </w:r>
      <w:r w:rsidRPr="009353CA">
        <w:rPr>
          <w:rFonts w:hint="cs"/>
          <w:rtl/>
        </w:rPr>
        <w:t>, ואשר הטריד גם אותי, יעלם כלא היה.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בטרם אציג את הצעתי, אתייחס לשני עניינים נוספים הקשורים לדוקטרינת השיתוף הספציפי כפי שזו פועלת כעת. העניין הראשון הוא ההצעה לנתק את הדוקטרינה מהבסיס החוזי-הסכמי שלה על ידי הסמכת בתי המשפט לענייני משפחה ובתי הדין הדתיים להורות על שיתופו של בן זוג בנכסיה האישיים של בת זוגו מטעמי צדק חלוקתי, מבלי להתחשב ברצונה ובכוונותיה של בעלת הנכסים. שיתוף כאמור אמור להיקבע על כורחו של בעל הנכס האישי. העניין השני הוא הטענה שפסק דינם של שופטי הרוב בהליך הקודם יוצר, כביכול, </w:t>
      </w:r>
      <w:proofErr w:type="spellStart"/>
      <w:r w:rsidRPr="009353CA">
        <w:rPr>
          <w:rFonts w:hint="cs"/>
          <w:rtl/>
        </w:rPr>
        <w:t>הטייה</w:t>
      </w:r>
      <w:proofErr w:type="spellEnd"/>
      <w:r w:rsidRPr="009353CA">
        <w:rPr>
          <w:rFonts w:hint="cs"/>
          <w:rtl/>
        </w:rPr>
        <w:t xml:space="preserve"> מגדרית נגד נשים.</w:t>
      </w:r>
    </w:p>
    <w:p w:rsidR="00917458" w:rsidRDefault="00917458" w:rsidP="00917458">
      <w:pPr>
        <w:pStyle w:val="Ruller41"/>
        <w:rPr>
          <w:rtl/>
        </w:rPr>
      </w:pPr>
    </w:p>
    <w:p w:rsidR="00DD1648" w:rsidRPr="009353CA" w:rsidRDefault="00DD164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שיתוף בן הזוג ברכושה האישי של בת זוגו "מטעמי צדק"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דעתי היא כי משפטנו איננו מקנה לבתי המשפט שום סמכות להעביר זכויות בנכס מאדם אחד למשנהו שלא במסגרת הסכם, מתנה, צוואה, ירושה, מימוש בטוחה, הדוקטרינה של עשיית עושר ולא במשפט, או הליך של חדלות פירעון. אדם נפרד מזכויות בנכסו רק מתוקף רצונו או </w:t>
      </w:r>
      <w:proofErr w:type="spellStart"/>
      <w:r w:rsidRPr="009353CA">
        <w:rPr>
          <w:rFonts w:hint="cs"/>
          <w:rtl/>
        </w:rPr>
        <w:t>בעומדו</w:t>
      </w:r>
      <w:proofErr w:type="spellEnd"/>
      <w:r w:rsidRPr="009353CA">
        <w:rPr>
          <w:rFonts w:hint="cs"/>
          <w:rtl/>
        </w:rPr>
        <w:t xml:space="preserve"> מול </w:t>
      </w:r>
      <w:proofErr w:type="spellStart"/>
      <w:r w:rsidRPr="009353CA">
        <w:rPr>
          <w:rFonts w:hint="cs"/>
          <w:rtl/>
        </w:rPr>
        <w:t>נושיו</w:t>
      </w:r>
      <w:proofErr w:type="spellEnd"/>
      <w:r w:rsidRPr="009353CA">
        <w:rPr>
          <w:rFonts w:hint="cs"/>
          <w:rtl/>
        </w:rPr>
        <w:t>. נישואין כשלעצמם בוודאי אינם מקימים עילה להעברת זכויות מבן זוג אחד למשנהו, שכן, כאמור בסעיף 4 לחוק יחסי ממון, "</w:t>
      </w:r>
      <w:r w:rsidRPr="009353CA">
        <w:rPr>
          <w:rFonts w:hint="eastAsia"/>
          <w:rtl/>
        </w:rPr>
        <w:t>אין</w:t>
      </w:r>
      <w:r w:rsidRPr="009353CA">
        <w:rPr>
          <w:rtl/>
        </w:rPr>
        <w:t xml:space="preserve"> </w:t>
      </w:r>
      <w:r w:rsidRPr="009353CA">
        <w:rPr>
          <w:rFonts w:hint="eastAsia"/>
          <w:rtl/>
        </w:rPr>
        <w:t>בכריתת</w:t>
      </w:r>
      <w:r w:rsidRPr="009353CA">
        <w:rPr>
          <w:rtl/>
        </w:rPr>
        <w:t xml:space="preserve"> </w:t>
      </w:r>
      <w:r w:rsidRPr="009353CA">
        <w:rPr>
          <w:rFonts w:hint="eastAsia"/>
          <w:rtl/>
        </w:rPr>
        <w:t>הנישואין</w:t>
      </w:r>
      <w:r w:rsidRPr="009353CA">
        <w:rPr>
          <w:rtl/>
        </w:rPr>
        <w:t xml:space="preserve"> </w:t>
      </w:r>
      <w:r w:rsidRPr="009353CA">
        <w:rPr>
          <w:rFonts w:hint="eastAsia"/>
          <w:rtl/>
        </w:rPr>
        <w:t>או</w:t>
      </w:r>
      <w:r w:rsidRPr="009353CA">
        <w:rPr>
          <w:rtl/>
        </w:rPr>
        <w:t xml:space="preserve"> </w:t>
      </w:r>
      <w:r w:rsidRPr="009353CA">
        <w:rPr>
          <w:rFonts w:hint="eastAsia"/>
          <w:rtl/>
        </w:rPr>
        <w:t>בקיומם</w:t>
      </w:r>
      <w:r w:rsidRPr="009353CA">
        <w:rPr>
          <w:rtl/>
        </w:rPr>
        <w:t xml:space="preserve"> </w:t>
      </w:r>
      <w:r w:rsidRPr="009353CA">
        <w:rPr>
          <w:rFonts w:hint="eastAsia"/>
          <w:rtl/>
        </w:rPr>
        <w:t>כשלעצמם</w:t>
      </w:r>
      <w:r w:rsidRPr="009353CA">
        <w:rPr>
          <w:rtl/>
        </w:rPr>
        <w:t xml:space="preserve"> </w:t>
      </w:r>
      <w:r w:rsidRPr="009353CA">
        <w:rPr>
          <w:rFonts w:hint="eastAsia"/>
          <w:rtl/>
        </w:rPr>
        <w:t>כדי</w:t>
      </w:r>
      <w:r w:rsidRPr="009353CA">
        <w:rPr>
          <w:rtl/>
        </w:rPr>
        <w:t xml:space="preserve"> </w:t>
      </w:r>
      <w:r w:rsidRPr="009353CA">
        <w:rPr>
          <w:rFonts w:hint="eastAsia"/>
          <w:rtl/>
        </w:rPr>
        <w:t>לפגוע</w:t>
      </w:r>
      <w:r w:rsidRPr="009353CA">
        <w:rPr>
          <w:rtl/>
        </w:rPr>
        <w:t xml:space="preserve"> </w:t>
      </w:r>
      <w:proofErr w:type="spellStart"/>
      <w:r w:rsidRPr="009353CA">
        <w:rPr>
          <w:rFonts w:hint="cs"/>
          <w:rtl/>
        </w:rPr>
        <w:t>בקניני</w:t>
      </w:r>
      <w:r w:rsidRPr="009353CA">
        <w:rPr>
          <w:rFonts w:hint="eastAsia"/>
          <w:rtl/>
        </w:rPr>
        <w:t>ם</w:t>
      </w:r>
      <w:proofErr w:type="spellEnd"/>
      <w:r w:rsidRPr="009353CA">
        <w:rPr>
          <w:rtl/>
        </w:rPr>
        <w:t xml:space="preserve"> </w:t>
      </w:r>
      <w:r w:rsidRPr="009353CA">
        <w:rPr>
          <w:rFonts w:hint="eastAsia"/>
          <w:rtl/>
        </w:rPr>
        <w:t>של</w:t>
      </w:r>
      <w:r w:rsidRPr="009353CA">
        <w:rPr>
          <w:rtl/>
        </w:rPr>
        <w:t xml:space="preserve"> </w:t>
      </w:r>
      <w:r w:rsidRPr="009353CA">
        <w:rPr>
          <w:rFonts w:hint="eastAsia"/>
          <w:rtl/>
        </w:rPr>
        <w:t>בני</w:t>
      </w:r>
      <w:r w:rsidRPr="009353CA">
        <w:rPr>
          <w:rtl/>
        </w:rPr>
        <w:t xml:space="preserve"> </w:t>
      </w:r>
      <w:r w:rsidRPr="009353CA">
        <w:rPr>
          <w:rFonts w:hint="eastAsia"/>
          <w:rtl/>
        </w:rPr>
        <w:t>הזוג</w:t>
      </w:r>
      <w:r w:rsidRPr="009353CA">
        <w:rPr>
          <w:rtl/>
        </w:rPr>
        <w:t xml:space="preserve">, </w:t>
      </w:r>
      <w:r w:rsidRPr="009353CA">
        <w:rPr>
          <w:rFonts w:hint="eastAsia"/>
          <w:rtl/>
        </w:rPr>
        <w:t>להקנות</w:t>
      </w:r>
      <w:r w:rsidRPr="009353CA">
        <w:rPr>
          <w:rtl/>
        </w:rPr>
        <w:t xml:space="preserve"> </w:t>
      </w:r>
      <w:r w:rsidRPr="009353CA">
        <w:rPr>
          <w:rFonts w:hint="eastAsia"/>
          <w:rtl/>
        </w:rPr>
        <w:t>לאחד</w:t>
      </w:r>
      <w:r w:rsidRPr="009353CA">
        <w:rPr>
          <w:rtl/>
        </w:rPr>
        <w:t xml:space="preserve"> </w:t>
      </w:r>
      <w:r w:rsidRPr="009353CA">
        <w:rPr>
          <w:rFonts w:hint="eastAsia"/>
          <w:rtl/>
        </w:rPr>
        <w:t>מהם</w:t>
      </w:r>
      <w:r w:rsidRPr="009353CA">
        <w:rPr>
          <w:rtl/>
        </w:rPr>
        <w:t xml:space="preserve"> </w:t>
      </w:r>
      <w:r w:rsidRPr="009353CA">
        <w:rPr>
          <w:rFonts w:hint="eastAsia"/>
          <w:rtl/>
        </w:rPr>
        <w:t>זכויות</w:t>
      </w:r>
      <w:r w:rsidRPr="009353CA">
        <w:rPr>
          <w:rtl/>
        </w:rPr>
        <w:t xml:space="preserve"> </w:t>
      </w:r>
      <w:r w:rsidRPr="009353CA">
        <w:rPr>
          <w:rFonts w:hint="eastAsia"/>
          <w:rtl/>
        </w:rPr>
        <w:t>בנכסי</w:t>
      </w:r>
      <w:r w:rsidRPr="009353CA">
        <w:rPr>
          <w:rtl/>
        </w:rPr>
        <w:t xml:space="preserve"> </w:t>
      </w:r>
      <w:r w:rsidRPr="009353CA">
        <w:rPr>
          <w:rFonts w:hint="eastAsia"/>
          <w:rtl/>
        </w:rPr>
        <w:t>השני</w:t>
      </w:r>
      <w:r w:rsidRPr="009353CA">
        <w:rPr>
          <w:rtl/>
        </w:rPr>
        <w:t xml:space="preserve"> </w:t>
      </w:r>
      <w:r w:rsidRPr="009353CA">
        <w:rPr>
          <w:rFonts w:hint="eastAsia"/>
          <w:rtl/>
        </w:rPr>
        <w:t>או</w:t>
      </w:r>
      <w:r w:rsidRPr="009353CA">
        <w:rPr>
          <w:rtl/>
        </w:rPr>
        <w:t xml:space="preserve"> </w:t>
      </w:r>
      <w:r w:rsidRPr="009353CA">
        <w:rPr>
          <w:rFonts w:hint="eastAsia"/>
          <w:rtl/>
        </w:rPr>
        <w:t>להטיל</w:t>
      </w:r>
      <w:r w:rsidRPr="009353CA">
        <w:rPr>
          <w:rtl/>
        </w:rPr>
        <w:t xml:space="preserve"> </w:t>
      </w:r>
      <w:r w:rsidRPr="009353CA">
        <w:rPr>
          <w:rFonts w:hint="eastAsia"/>
          <w:rtl/>
        </w:rPr>
        <w:t>עליו</w:t>
      </w:r>
      <w:r w:rsidRPr="009353CA">
        <w:rPr>
          <w:rtl/>
        </w:rPr>
        <w:t xml:space="preserve"> </w:t>
      </w:r>
      <w:r w:rsidRPr="009353CA">
        <w:rPr>
          <w:rFonts w:hint="eastAsia"/>
          <w:rtl/>
        </w:rPr>
        <w:t>אחריות</w:t>
      </w:r>
      <w:r w:rsidRPr="009353CA">
        <w:rPr>
          <w:rtl/>
        </w:rPr>
        <w:t xml:space="preserve"> </w:t>
      </w:r>
      <w:r w:rsidRPr="009353CA">
        <w:rPr>
          <w:rFonts w:hint="eastAsia"/>
          <w:rtl/>
        </w:rPr>
        <w:t>לחובות</w:t>
      </w:r>
      <w:r w:rsidRPr="009353CA">
        <w:rPr>
          <w:rtl/>
        </w:rPr>
        <w:t xml:space="preserve"> </w:t>
      </w:r>
      <w:r w:rsidRPr="009353CA">
        <w:rPr>
          <w:rFonts w:hint="eastAsia"/>
          <w:rtl/>
        </w:rPr>
        <w:t>השני</w:t>
      </w:r>
      <w:r w:rsidRPr="009353CA">
        <w:rPr>
          <w:rFonts w:hint="cs"/>
          <w:rtl/>
        </w:rPr>
        <w:t>"</w:t>
      </w:r>
      <w:r>
        <w:rPr>
          <w:rFonts w:hint="cs"/>
          <w:rtl/>
        </w:rPr>
        <w:t>.</w:t>
      </w:r>
      <w:r w:rsidRPr="009353CA">
        <w:rPr>
          <w:rFonts w:hint="cs"/>
          <w:rtl/>
        </w:rPr>
        <w:t xml:space="preserve"> יתרה מכך, סעיפים 3 ו-8 לחוק יסוד: כבוד האדם וחירותו מורים לנו </w:t>
      </w:r>
      <w:r w:rsidRPr="009353CA">
        <w:rPr>
          <w:rtl/>
        </w:rPr>
        <w:t>–</w:t>
      </w:r>
      <w:r w:rsidRPr="009353CA">
        <w:rPr>
          <w:rFonts w:hint="cs"/>
          <w:rtl/>
        </w:rPr>
        <w:t xml:space="preserve"> בצוותא </w:t>
      </w:r>
      <w:proofErr w:type="spellStart"/>
      <w:r w:rsidRPr="009353CA">
        <w:rPr>
          <w:rFonts w:hint="cs"/>
          <w:rtl/>
        </w:rPr>
        <w:t>חדא</w:t>
      </w:r>
      <w:proofErr w:type="spellEnd"/>
      <w:r w:rsidRPr="009353CA">
        <w:rPr>
          <w:rFonts w:hint="cs"/>
          <w:rtl/>
        </w:rPr>
        <w:t xml:space="preserve"> </w:t>
      </w:r>
      <w:r w:rsidRPr="009353CA">
        <w:rPr>
          <w:rtl/>
        </w:rPr>
        <w:t>–</w:t>
      </w:r>
      <w:r w:rsidRPr="009353CA">
        <w:rPr>
          <w:rFonts w:hint="cs"/>
          <w:rtl/>
        </w:rPr>
        <w:t xml:space="preserve"> כי בקניינו של הפרט ניתן לפגוע אך ורק באמצעות </w:t>
      </w:r>
      <w:r w:rsidRPr="009353CA">
        <w:rPr>
          <w:rFonts w:ascii="Century" w:hAnsi="Century" w:cs="Miriam" w:hint="cs"/>
          <w:b/>
          <w:spacing w:val="0"/>
          <w:sz w:val="22"/>
          <w:szCs w:val="24"/>
          <w:rtl/>
        </w:rPr>
        <w:t>חוק</w:t>
      </w:r>
      <w:r w:rsidRPr="009353CA">
        <w:rPr>
          <w:rFonts w:hint="cs"/>
          <w:rtl/>
        </w:rPr>
        <w:t xml:space="preserve"> שעונה לדרישותיו של חוק היסוד; וברי כי "חוק" אינו כולל מעשה שיפוטי, חכם ונאור ככל שיהיה.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הווה אומר: סמכות החקיקה השיפוטית, ככל שזו קיימת, איננה מקנה לשופטים את הכוח לשנות את מצב העולם הקנייני על ידי חלוקה יזומה של רכוש פרטי. מערכת המשפט שלנו איננה יער </w:t>
      </w:r>
      <w:proofErr w:type="spellStart"/>
      <w:r w:rsidRPr="009353CA">
        <w:rPr>
          <w:rFonts w:hint="cs"/>
          <w:rtl/>
        </w:rPr>
        <w:t>שרווד</w:t>
      </w:r>
      <w:proofErr w:type="spellEnd"/>
      <w:r w:rsidRPr="009353CA">
        <w:rPr>
          <w:rFonts w:hint="cs"/>
          <w:rtl/>
        </w:rPr>
        <w:t xml:space="preserve">, ומי שפועל במסגרתה כשופט או כדיין איננו רובין הוּד שלוקח מעשיר ונותן לעני. רעיונות ברוח זו עלו, מעת לעת, בשיח נורמטיבי לסוגיו (לדיון ביקורתי בגישה זו ראו: שחר ליפשיץ </w:t>
      </w:r>
      <w:r w:rsidRPr="009353CA">
        <w:rPr>
          <w:rFonts w:ascii="Century" w:hAnsi="Century" w:cs="Miriam" w:hint="cs"/>
          <w:b/>
          <w:spacing w:val="0"/>
          <w:sz w:val="22"/>
          <w:szCs w:val="24"/>
          <w:rtl/>
        </w:rPr>
        <w:t xml:space="preserve">השיתוף הזוגי </w:t>
      </w:r>
      <w:r w:rsidRPr="009353CA">
        <w:rPr>
          <w:rFonts w:ascii="Century" w:hAnsi="Century" w:hint="cs"/>
          <w:sz w:val="22"/>
          <w:rtl/>
        </w:rPr>
        <w:t>106-103</w:t>
      </w:r>
      <w:r w:rsidRPr="009353CA">
        <w:rPr>
          <w:rFonts w:hint="cs"/>
          <w:rtl/>
        </w:rPr>
        <w:t xml:space="preserve"> (2016) (להלן: ליפשיץ </w:t>
      </w:r>
      <w:r w:rsidRPr="009353CA">
        <w:rPr>
          <w:rFonts w:ascii="Century" w:hAnsi="Century" w:cs="Miriam" w:hint="cs"/>
          <w:b/>
          <w:spacing w:val="0"/>
          <w:sz w:val="22"/>
          <w:szCs w:val="24"/>
          <w:rtl/>
        </w:rPr>
        <w:t>השיתוף הזוגי</w:t>
      </w:r>
      <w:r w:rsidRPr="009353CA">
        <w:rPr>
          <w:rFonts w:hint="cs"/>
          <w:rtl/>
        </w:rPr>
        <w:t>); וכן</w:t>
      </w:r>
      <w:r>
        <w:rPr>
          <w:rFonts w:hint="cs"/>
          <w:rtl/>
        </w:rPr>
        <w:t>,</w:t>
      </w:r>
      <w:r w:rsidRPr="009353CA">
        <w:rPr>
          <w:rFonts w:hint="cs"/>
          <w:rtl/>
        </w:rPr>
        <w:t xml:space="preserve"> </w:t>
      </w:r>
      <w:r w:rsidRPr="009353CA">
        <w:rPr>
          <w:rFonts w:hint="eastAsia"/>
          <w:rtl/>
        </w:rPr>
        <w:t>שחר</w:t>
      </w:r>
      <w:r w:rsidRPr="009353CA">
        <w:rPr>
          <w:rtl/>
        </w:rPr>
        <w:t xml:space="preserve"> </w:t>
      </w:r>
      <w:r w:rsidRPr="009353CA">
        <w:rPr>
          <w:rFonts w:hint="eastAsia"/>
          <w:rtl/>
        </w:rPr>
        <w:t>ליפשיץ</w:t>
      </w:r>
      <w:r w:rsidRPr="009353CA">
        <w:rPr>
          <w:rtl/>
        </w:rPr>
        <w:t xml:space="preserve"> </w:t>
      </w:r>
      <w:r w:rsidRPr="009353CA">
        <w:rPr>
          <w:rFonts w:hint="cs"/>
          <w:rtl/>
        </w:rPr>
        <w:t>"</w:t>
      </w:r>
      <w:r w:rsidRPr="009353CA">
        <w:rPr>
          <w:rFonts w:hint="eastAsia"/>
          <w:rtl/>
        </w:rPr>
        <w:t>החלת</w:t>
      </w:r>
      <w:r w:rsidRPr="009353CA">
        <w:rPr>
          <w:rtl/>
        </w:rPr>
        <w:t xml:space="preserve"> </w:t>
      </w:r>
      <w:r w:rsidRPr="009353CA">
        <w:rPr>
          <w:rFonts w:hint="eastAsia"/>
          <w:rtl/>
        </w:rPr>
        <w:t>השיתוף</w:t>
      </w:r>
      <w:r w:rsidRPr="009353CA">
        <w:rPr>
          <w:rtl/>
        </w:rPr>
        <w:t xml:space="preserve"> </w:t>
      </w:r>
      <w:r w:rsidRPr="009353CA">
        <w:rPr>
          <w:rFonts w:hint="eastAsia"/>
          <w:rtl/>
        </w:rPr>
        <w:t>הספציפי</w:t>
      </w:r>
      <w:r w:rsidRPr="009353CA">
        <w:rPr>
          <w:rtl/>
        </w:rPr>
        <w:t xml:space="preserve"> </w:t>
      </w:r>
      <w:r w:rsidRPr="009353CA">
        <w:rPr>
          <w:rFonts w:hint="eastAsia"/>
          <w:rtl/>
        </w:rPr>
        <w:t>מכוח</w:t>
      </w:r>
      <w:r w:rsidRPr="009353CA">
        <w:rPr>
          <w:rtl/>
        </w:rPr>
        <w:t xml:space="preserve"> </w:t>
      </w:r>
      <w:r w:rsidRPr="009353CA">
        <w:rPr>
          <w:rFonts w:hint="eastAsia"/>
          <w:rtl/>
        </w:rPr>
        <w:t>הדין</w:t>
      </w:r>
      <w:r w:rsidRPr="009353CA">
        <w:rPr>
          <w:rtl/>
        </w:rPr>
        <w:t xml:space="preserve"> </w:t>
      </w:r>
      <w:r w:rsidRPr="009353CA">
        <w:rPr>
          <w:rFonts w:hint="eastAsia"/>
          <w:rtl/>
        </w:rPr>
        <w:t>הכללי</w:t>
      </w:r>
      <w:r w:rsidRPr="009353CA">
        <w:rPr>
          <w:rtl/>
        </w:rPr>
        <w:t xml:space="preserve"> </w:t>
      </w:r>
      <w:r w:rsidRPr="009353CA">
        <w:rPr>
          <w:rFonts w:hint="eastAsia"/>
          <w:rtl/>
        </w:rPr>
        <w:t>על</w:t>
      </w:r>
      <w:r w:rsidRPr="009353CA">
        <w:rPr>
          <w:rtl/>
        </w:rPr>
        <w:t xml:space="preserve"> </w:t>
      </w:r>
      <w:r w:rsidRPr="009353CA">
        <w:rPr>
          <w:rFonts w:hint="eastAsia"/>
          <w:rtl/>
        </w:rPr>
        <w:t>נכסים</w:t>
      </w:r>
      <w:r w:rsidRPr="009353CA">
        <w:rPr>
          <w:rtl/>
        </w:rPr>
        <w:t xml:space="preserve"> </w:t>
      </w:r>
      <w:r w:rsidRPr="009353CA">
        <w:rPr>
          <w:rFonts w:hint="eastAsia"/>
          <w:rtl/>
        </w:rPr>
        <w:t>מלפני</w:t>
      </w:r>
      <w:r w:rsidRPr="009353CA">
        <w:rPr>
          <w:rtl/>
        </w:rPr>
        <w:t xml:space="preserve"> </w:t>
      </w:r>
      <w:r w:rsidRPr="009353CA">
        <w:rPr>
          <w:rFonts w:hint="eastAsia"/>
          <w:rtl/>
        </w:rPr>
        <w:t>הנישואים</w:t>
      </w:r>
      <w:r w:rsidRPr="009353CA">
        <w:rPr>
          <w:rtl/>
        </w:rPr>
        <w:t xml:space="preserve"> </w:t>
      </w:r>
      <w:r w:rsidRPr="009353CA">
        <w:rPr>
          <w:rFonts w:hint="eastAsia"/>
          <w:rtl/>
        </w:rPr>
        <w:t>ועל</w:t>
      </w:r>
      <w:r w:rsidRPr="009353CA">
        <w:rPr>
          <w:rtl/>
        </w:rPr>
        <w:t xml:space="preserve"> </w:t>
      </w:r>
      <w:r w:rsidRPr="009353CA">
        <w:rPr>
          <w:rFonts w:hint="eastAsia"/>
          <w:rtl/>
        </w:rPr>
        <w:t>ירושות</w:t>
      </w:r>
      <w:r w:rsidRPr="009353CA">
        <w:rPr>
          <w:rtl/>
        </w:rPr>
        <w:t xml:space="preserve"> </w:t>
      </w:r>
      <w:r w:rsidRPr="009353CA">
        <w:rPr>
          <w:rFonts w:hint="eastAsia"/>
          <w:rtl/>
        </w:rPr>
        <w:t>ומתנות</w:t>
      </w:r>
      <w:r w:rsidRPr="009353CA">
        <w:rPr>
          <w:rtl/>
        </w:rPr>
        <w:t xml:space="preserve"> </w:t>
      </w:r>
      <w:r w:rsidRPr="009353CA">
        <w:rPr>
          <w:rFonts w:hint="eastAsia"/>
          <w:rtl/>
        </w:rPr>
        <w:t>בעידן</w:t>
      </w:r>
      <w:r w:rsidRPr="009353CA">
        <w:rPr>
          <w:rtl/>
        </w:rPr>
        <w:t xml:space="preserve"> </w:t>
      </w:r>
      <w:r w:rsidRPr="009353CA">
        <w:rPr>
          <w:rFonts w:hint="eastAsia"/>
          <w:rtl/>
        </w:rPr>
        <w:t>של</w:t>
      </w:r>
      <w:r w:rsidRPr="009353CA">
        <w:rPr>
          <w:rtl/>
        </w:rPr>
        <w:t xml:space="preserve"> </w:t>
      </w:r>
      <w:r w:rsidRPr="009353CA">
        <w:rPr>
          <w:rFonts w:hint="eastAsia"/>
          <w:rtl/>
        </w:rPr>
        <w:t>חוק</w:t>
      </w:r>
      <w:r w:rsidRPr="009353CA">
        <w:rPr>
          <w:rtl/>
        </w:rPr>
        <w:t xml:space="preserve"> </w:t>
      </w:r>
      <w:r w:rsidRPr="009353CA">
        <w:rPr>
          <w:rFonts w:hint="eastAsia"/>
          <w:rtl/>
        </w:rPr>
        <w:t>יחסי</w:t>
      </w:r>
      <w:r w:rsidRPr="009353CA">
        <w:rPr>
          <w:rtl/>
        </w:rPr>
        <w:t xml:space="preserve"> </w:t>
      </w:r>
      <w:r w:rsidRPr="009353CA">
        <w:rPr>
          <w:rFonts w:hint="eastAsia"/>
          <w:rtl/>
        </w:rPr>
        <w:t>ממון</w:t>
      </w:r>
      <w:r w:rsidRPr="009353CA">
        <w:rPr>
          <w:rFonts w:hint="cs"/>
          <w:rtl/>
        </w:rPr>
        <w:t xml:space="preserve">" </w:t>
      </w:r>
      <w:r w:rsidRPr="009353CA">
        <w:rPr>
          <w:rFonts w:ascii="Century" w:hAnsi="Century" w:cs="Miriam" w:hint="cs"/>
          <w:b/>
          <w:spacing w:val="0"/>
          <w:sz w:val="22"/>
          <w:szCs w:val="24"/>
          <w:rtl/>
        </w:rPr>
        <w:t>הון משפחתי</w:t>
      </w:r>
      <w:r w:rsidRPr="009353CA">
        <w:rPr>
          <w:rFonts w:hint="cs"/>
          <w:rtl/>
        </w:rPr>
        <w:t xml:space="preserve"> א2</w:t>
      </w:r>
      <w:r w:rsidRPr="009353CA">
        <w:rPr>
          <w:rtl/>
        </w:rPr>
        <w:t xml:space="preserve"> </w:t>
      </w:r>
      <w:r w:rsidRPr="009353CA">
        <w:rPr>
          <w:rFonts w:hint="cs"/>
          <w:rtl/>
        </w:rPr>
        <w:t xml:space="preserve">34-30 </w:t>
      </w:r>
      <w:r w:rsidRPr="009353CA">
        <w:rPr>
          <w:rtl/>
        </w:rPr>
        <w:t>(2014)</w:t>
      </w:r>
      <w:r w:rsidRPr="009353CA">
        <w:rPr>
          <w:rFonts w:hint="cs"/>
          <w:rtl/>
        </w:rPr>
        <w:t xml:space="preserve"> (להלן: </w:t>
      </w:r>
      <w:r w:rsidRPr="009353CA">
        <w:rPr>
          <w:rFonts w:ascii="Century" w:hAnsi="Century" w:hint="cs"/>
          <w:sz w:val="22"/>
          <w:rtl/>
        </w:rPr>
        <w:t>ליפשי</w:t>
      </w:r>
      <w:r w:rsidRPr="009353CA">
        <w:rPr>
          <w:rFonts w:ascii="Century" w:hAnsi="Century" w:hint="eastAsia"/>
          <w:sz w:val="22"/>
          <w:rtl/>
        </w:rPr>
        <w:t>ץ</w:t>
      </w:r>
      <w:r w:rsidRPr="009353CA">
        <w:rPr>
          <w:rFonts w:hint="cs"/>
          <w:rtl/>
        </w:rPr>
        <w:t xml:space="preserve"> </w:t>
      </w:r>
      <w:r w:rsidRPr="009353CA">
        <w:rPr>
          <w:rFonts w:ascii="Century" w:hAnsi="Century" w:cs="Miriam" w:hint="cs"/>
          <w:b/>
          <w:spacing w:val="0"/>
          <w:sz w:val="22"/>
          <w:szCs w:val="24"/>
          <w:rtl/>
        </w:rPr>
        <w:t>החלת השיתוף הספציפי</w:t>
      </w:r>
      <w:r w:rsidRPr="009353CA">
        <w:rPr>
          <w:rFonts w:hint="cs"/>
          <w:rtl/>
        </w:rPr>
        <w:t>))</w:t>
      </w:r>
      <w:r w:rsidRPr="009353CA">
        <w:rPr>
          <w:rFonts w:ascii="Century" w:hAnsi="Century" w:hint="cs"/>
          <w:sz w:val="22"/>
          <w:rtl/>
        </w:rPr>
        <w:t xml:space="preserve">, אך </w:t>
      </w:r>
      <w:r w:rsidRPr="009353CA">
        <w:rPr>
          <w:rFonts w:hint="cs"/>
          <w:rtl/>
        </w:rPr>
        <w:t xml:space="preserve">הם מעולם לא אומצו במשפטנו; ולטעמי, טוב שכך.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באומרי "טוב שכך", הנני רחוק מלהתעלם מהאמירות שנשמעו בפסיקה לפיהן ייתכן שיש מקום לכונן צדק חלוקתי ביחס לנכסים שאינם בני איזון בהליכי פירוד בין בני זוג באופן שיסמיך את בתי המשפט להעביר חלק מרכושו האישי של אחד מבני הזוג למשנהו (ראו למשל:</w:t>
      </w:r>
      <w:r w:rsidRPr="009353CA">
        <w:rPr>
          <w:rFonts w:hint="eastAsia"/>
          <w:rtl/>
        </w:rPr>
        <w:t xml:space="preserve"> </w:t>
      </w:r>
      <w:r w:rsidRPr="009353CA">
        <w:rPr>
          <w:rFonts w:hint="cs"/>
          <w:rtl/>
        </w:rPr>
        <w:t>עניין</w:t>
      </w:r>
      <w:r w:rsidRPr="009353CA">
        <w:rPr>
          <w:rFonts w:ascii="Century" w:hAnsi="Century" w:cs="Miriam"/>
          <w:b/>
          <w:spacing w:val="0"/>
          <w:szCs w:val="24"/>
          <w:rtl/>
        </w:rPr>
        <w:t xml:space="preserve"> </w:t>
      </w:r>
      <w:r w:rsidRPr="009353CA">
        <w:rPr>
          <w:rFonts w:ascii="Century" w:hAnsi="Century" w:cs="Miriam" w:hint="eastAsia"/>
          <w:b/>
          <w:spacing w:val="0"/>
          <w:szCs w:val="24"/>
          <w:rtl/>
        </w:rPr>
        <w:t>בריל</w:t>
      </w:r>
      <w:r w:rsidRPr="009353CA">
        <w:rPr>
          <w:rFonts w:hint="cs"/>
          <w:rtl/>
        </w:rPr>
        <w:t xml:space="preserve">, בעמ' 716; וכן פסקה 6 לפסק דינו של חברי, השופט </w:t>
      </w:r>
      <w:r w:rsidRPr="009353CA">
        <w:rPr>
          <w:rFonts w:ascii="Century" w:hAnsi="Century" w:cs="Miriam" w:hint="cs"/>
          <w:b/>
          <w:spacing w:val="0"/>
          <w:sz w:val="22"/>
          <w:szCs w:val="24"/>
          <w:rtl/>
        </w:rPr>
        <w:t>עמית</w:t>
      </w:r>
      <w:r w:rsidRPr="009353CA">
        <w:rPr>
          <w:rFonts w:hint="cs"/>
          <w:rtl/>
        </w:rPr>
        <w:t>, בהליך הקודם). לא אוכל להצטרף לאמירות אלה, באשר הן מנוגדות לדין הקיים. כפי שכבר ציינתי, להעברתו של נכס, או של חלק מנכס, מידי בעליו לאדם אחר יש רשימה סגורה של עילות משפטיות, אשר כוללות</w:t>
      </w:r>
      <w:r>
        <w:rPr>
          <w:rFonts w:hint="cs"/>
          <w:rtl/>
        </w:rPr>
        <w:t>:</w:t>
      </w:r>
      <w:r w:rsidRPr="009353CA">
        <w:rPr>
          <w:rFonts w:hint="cs"/>
          <w:rtl/>
        </w:rPr>
        <w:t xml:space="preserve"> הקנייה רצונית, לרבות מתנה וצוואה; הורשה</w:t>
      </w:r>
      <w:r>
        <w:rPr>
          <w:rFonts w:hint="cs"/>
          <w:rtl/>
        </w:rPr>
        <w:t xml:space="preserve"> על פי דין</w:t>
      </w:r>
      <w:r w:rsidRPr="009353CA">
        <w:rPr>
          <w:rFonts w:hint="cs"/>
          <w:rtl/>
        </w:rPr>
        <w:t xml:space="preserve">; מימוש בטוחה; עשיית עושר ולא במשפט; ומימוש חוב בהליכי חדלות פירעון. רשימה זו איננה כוללת מעשה שיפוטי אשר נסמך על תחושת הצדק של השופט.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האם פסק הדין בהליך הקודם יוצר </w:t>
      </w:r>
      <w:proofErr w:type="spellStart"/>
      <w:r w:rsidRPr="009353CA">
        <w:rPr>
          <w:rFonts w:ascii="Century" w:hAnsi="Century" w:cs="Miriam" w:hint="cs"/>
          <w:b/>
          <w:spacing w:val="0"/>
          <w:szCs w:val="24"/>
          <w:rtl/>
        </w:rPr>
        <w:t>הטייה</w:t>
      </w:r>
      <w:proofErr w:type="spellEnd"/>
      <w:r w:rsidRPr="009353CA">
        <w:rPr>
          <w:rFonts w:ascii="Century" w:hAnsi="Century" w:cs="Miriam" w:hint="cs"/>
          <w:b/>
          <w:spacing w:val="0"/>
          <w:szCs w:val="24"/>
          <w:rtl/>
        </w:rPr>
        <w:t xml:space="preserve"> מגדרית נגד נשים?</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אחת מן הטענות שהועלו נגד פסק הדין שניתן בהליך הקודם מייחסת לו </w:t>
      </w:r>
      <w:proofErr w:type="spellStart"/>
      <w:r w:rsidRPr="009353CA">
        <w:rPr>
          <w:rFonts w:hint="cs"/>
          <w:rtl/>
        </w:rPr>
        <w:t>הטייה</w:t>
      </w:r>
      <w:proofErr w:type="spellEnd"/>
      <w:r w:rsidRPr="009353CA">
        <w:rPr>
          <w:rFonts w:hint="cs"/>
          <w:rtl/>
        </w:rPr>
        <w:t xml:space="preserve"> מגדרית נגד נשים בחלוקת נכסי הנישואין (ראו: </w:t>
      </w:r>
      <w:r w:rsidRPr="009353CA">
        <w:rPr>
          <w:rFonts w:hint="eastAsia"/>
          <w:rtl/>
        </w:rPr>
        <w:t>חנוך</w:t>
      </w:r>
      <w:r w:rsidRPr="009353CA">
        <w:rPr>
          <w:rtl/>
        </w:rPr>
        <w:t xml:space="preserve"> </w:t>
      </w:r>
      <w:r w:rsidRPr="009353CA">
        <w:rPr>
          <w:rFonts w:hint="eastAsia"/>
          <w:rtl/>
        </w:rPr>
        <w:t>דגן</w:t>
      </w:r>
      <w:r w:rsidRPr="009353CA">
        <w:rPr>
          <w:rFonts w:hint="cs"/>
          <w:rtl/>
        </w:rPr>
        <w:t xml:space="preserve"> ו</w:t>
      </w:r>
      <w:r w:rsidRPr="009353CA">
        <w:rPr>
          <w:rFonts w:hint="eastAsia"/>
          <w:rtl/>
        </w:rPr>
        <w:t>דפנה</w:t>
      </w:r>
      <w:r w:rsidRPr="009353CA">
        <w:rPr>
          <w:rtl/>
        </w:rPr>
        <w:t xml:space="preserve"> </w:t>
      </w:r>
      <w:r w:rsidRPr="009353CA">
        <w:rPr>
          <w:rFonts w:hint="eastAsia"/>
          <w:rtl/>
        </w:rPr>
        <w:t>הקר</w:t>
      </w:r>
      <w:r w:rsidRPr="009353CA">
        <w:rPr>
          <w:rtl/>
        </w:rPr>
        <w:t xml:space="preserve"> "</w:t>
      </w:r>
      <w:r w:rsidRPr="009353CA">
        <w:rPr>
          <w:rFonts w:hint="eastAsia"/>
          <w:rtl/>
        </w:rPr>
        <w:t>הלכת</w:t>
      </w:r>
      <w:r w:rsidRPr="009353CA">
        <w:rPr>
          <w:rtl/>
        </w:rPr>
        <w:t xml:space="preserve"> </w:t>
      </w:r>
      <w:r w:rsidRPr="009353CA">
        <w:rPr>
          <w:rFonts w:hint="eastAsia"/>
          <w:rtl/>
        </w:rPr>
        <w:t>השיתוף</w:t>
      </w:r>
      <w:r w:rsidRPr="009353CA">
        <w:rPr>
          <w:rtl/>
        </w:rPr>
        <w:t xml:space="preserve"> </w:t>
      </w:r>
      <w:r w:rsidRPr="009353CA">
        <w:rPr>
          <w:rFonts w:hint="eastAsia"/>
          <w:rtl/>
        </w:rPr>
        <w:t>הספציפי</w:t>
      </w:r>
      <w:r w:rsidRPr="009353CA">
        <w:rPr>
          <w:rtl/>
        </w:rPr>
        <w:t xml:space="preserve"> – </w:t>
      </w:r>
      <w:r w:rsidRPr="009353CA">
        <w:rPr>
          <w:rFonts w:hint="eastAsia"/>
          <w:rtl/>
        </w:rPr>
        <w:t>לקראת</w:t>
      </w:r>
      <w:r w:rsidRPr="009353CA">
        <w:rPr>
          <w:rtl/>
        </w:rPr>
        <w:t xml:space="preserve"> </w:t>
      </w:r>
      <w:r w:rsidRPr="009353CA">
        <w:rPr>
          <w:rFonts w:hint="eastAsia"/>
          <w:rtl/>
        </w:rPr>
        <w:t>המערכה</w:t>
      </w:r>
      <w:r w:rsidRPr="009353CA">
        <w:rPr>
          <w:rtl/>
        </w:rPr>
        <w:t xml:space="preserve"> </w:t>
      </w:r>
      <w:r w:rsidRPr="009353CA">
        <w:rPr>
          <w:rFonts w:hint="eastAsia"/>
          <w:rtl/>
        </w:rPr>
        <w:t>הרביעית</w:t>
      </w:r>
      <w:r w:rsidRPr="009353CA">
        <w:rPr>
          <w:rtl/>
        </w:rPr>
        <w:t xml:space="preserve"> </w:t>
      </w:r>
      <w:r w:rsidRPr="009353CA">
        <w:rPr>
          <w:rFonts w:hint="eastAsia"/>
          <w:rtl/>
        </w:rPr>
        <w:t>בבג</w:t>
      </w:r>
      <w:r w:rsidRPr="009353CA">
        <w:rPr>
          <w:rtl/>
        </w:rPr>
        <w:t>"</w:t>
      </w:r>
      <w:r w:rsidRPr="009353CA">
        <w:rPr>
          <w:rFonts w:hint="eastAsia"/>
          <w:rtl/>
        </w:rPr>
        <w:t>ץ</w:t>
      </w:r>
      <w:r w:rsidRPr="009353CA">
        <w:rPr>
          <w:rtl/>
        </w:rPr>
        <w:t xml:space="preserve"> 4602/13"</w:t>
      </w:r>
      <w:r w:rsidRPr="009353CA">
        <w:rPr>
          <w:rFonts w:hint="cs"/>
          <w:rtl/>
        </w:rPr>
        <w:t xml:space="preserve"> </w:t>
      </w:r>
      <w:r w:rsidRPr="009353CA">
        <w:rPr>
          <w:rFonts w:ascii="Century" w:hAnsi="Century" w:cs="Miriam" w:hint="cs"/>
          <w:b/>
          <w:spacing w:val="0"/>
          <w:sz w:val="22"/>
          <w:szCs w:val="24"/>
          <w:rtl/>
        </w:rPr>
        <w:t xml:space="preserve">מחקרי משפט </w:t>
      </w:r>
      <w:r w:rsidRPr="009353CA">
        <w:rPr>
          <w:rFonts w:hint="cs"/>
          <w:rtl/>
        </w:rPr>
        <w:t xml:space="preserve">לב 519, 541 (2019) (להלן: </w:t>
      </w:r>
      <w:r w:rsidRPr="009353CA">
        <w:rPr>
          <w:rFonts w:ascii="Century" w:hAnsi="Century" w:cs="Miriam" w:hint="cs"/>
          <w:b/>
          <w:spacing w:val="0"/>
          <w:sz w:val="22"/>
          <w:szCs w:val="24"/>
          <w:rtl/>
        </w:rPr>
        <w:t>דגן והקר</w:t>
      </w:r>
      <w:r w:rsidRPr="009353CA">
        <w:rPr>
          <w:rFonts w:hint="cs"/>
          <w:rtl/>
        </w:rPr>
        <w:t xml:space="preserve">); וכן </w:t>
      </w:r>
      <w:r w:rsidRPr="009353CA">
        <w:rPr>
          <w:rFonts w:hint="eastAsia"/>
          <w:rtl/>
        </w:rPr>
        <w:t>שחר</w:t>
      </w:r>
      <w:r w:rsidRPr="009353CA">
        <w:rPr>
          <w:rtl/>
        </w:rPr>
        <w:t xml:space="preserve"> </w:t>
      </w:r>
      <w:r w:rsidRPr="009353CA">
        <w:rPr>
          <w:rFonts w:hint="eastAsia"/>
          <w:rtl/>
        </w:rPr>
        <w:t>ליפשיץ</w:t>
      </w:r>
      <w:r w:rsidRPr="009353CA">
        <w:rPr>
          <w:rtl/>
        </w:rPr>
        <w:t xml:space="preserve"> "</w:t>
      </w:r>
      <w:r w:rsidRPr="009353CA">
        <w:rPr>
          <w:rFonts w:hint="eastAsia"/>
          <w:rtl/>
        </w:rPr>
        <w:t>שיפוט</w:t>
      </w:r>
      <w:r w:rsidRPr="009353CA">
        <w:rPr>
          <w:rtl/>
        </w:rPr>
        <w:t xml:space="preserve"> </w:t>
      </w:r>
      <w:r w:rsidRPr="009353CA">
        <w:rPr>
          <w:rFonts w:hint="eastAsia"/>
          <w:rtl/>
        </w:rPr>
        <w:t>מוסרי</w:t>
      </w:r>
      <w:r w:rsidRPr="009353CA">
        <w:rPr>
          <w:rtl/>
        </w:rPr>
        <w:t xml:space="preserve"> </w:t>
      </w:r>
      <w:r w:rsidRPr="009353CA">
        <w:rPr>
          <w:rFonts w:hint="eastAsia"/>
          <w:rtl/>
        </w:rPr>
        <w:t>של</w:t>
      </w:r>
      <w:r w:rsidRPr="009353CA">
        <w:rPr>
          <w:rtl/>
        </w:rPr>
        <w:t xml:space="preserve"> </w:t>
      </w:r>
      <w:r w:rsidRPr="009353CA">
        <w:rPr>
          <w:rFonts w:hint="eastAsia"/>
          <w:rtl/>
        </w:rPr>
        <w:t>התנהגות</w:t>
      </w:r>
      <w:r w:rsidRPr="009353CA">
        <w:rPr>
          <w:rtl/>
        </w:rPr>
        <w:t xml:space="preserve"> </w:t>
      </w:r>
      <w:r w:rsidRPr="009353CA">
        <w:rPr>
          <w:rFonts w:hint="eastAsia"/>
          <w:rtl/>
        </w:rPr>
        <w:t>מינית</w:t>
      </w:r>
      <w:r w:rsidRPr="009353CA">
        <w:rPr>
          <w:rtl/>
        </w:rPr>
        <w:t xml:space="preserve"> </w:t>
      </w:r>
      <w:r w:rsidRPr="009353CA">
        <w:rPr>
          <w:rFonts w:hint="eastAsia"/>
          <w:rtl/>
        </w:rPr>
        <w:t>בנישואים</w:t>
      </w:r>
      <w:r w:rsidRPr="009353CA">
        <w:rPr>
          <w:rtl/>
        </w:rPr>
        <w:t xml:space="preserve">: </w:t>
      </w:r>
      <w:r w:rsidRPr="009353CA">
        <w:rPr>
          <w:rFonts w:hint="eastAsia"/>
          <w:rtl/>
        </w:rPr>
        <w:t>אוטונומיה</w:t>
      </w:r>
      <w:r w:rsidRPr="009353CA">
        <w:rPr>
          <w:rtl/>
        </w:rPr>
        <w:t xml:space="preserve"> </w:t>
      </w:r>
      <w:r w:rsidRPr="009353CA">
        <w:rPr>
          <w:rFonts w:hint="eastAsia"/>
          <w:rtl/>
        </w:rPr>
        <w:t>ו</w:t>
      </w:r>
      <w:r w:rsidRPr="009353CA">
        <w:rPr>
          <w:rtl/>
        </w:rPr>
        <w:t>"</w:t>
      </w:r>
      <w:r w:rsidRPr="009353CA">
        <w:rPr>
          <w:rFonts w:hint="eastAsia"/>
          <w:rtl/>
        </w:rPr>
        <w:t>משילות</w:t>
      </w:r>
      <w:r w:rsidRPr="009353CA">
        <w:rPr>
          <w:rtl/>
        </w:rPr>
        <w:t xml:space="preserve">" </w:t>
      </w:r>
      <w:r w:rsidRPr="009353CA">
        <w:rPr>
          <w:rFonts w:hint="eastAsia"/>
          <w:rtl/>
        </w:rPr>
        <w:t>בעקבות</w:t>
      </w:r>
      <w:r w:rsidRPr="009353CA">
        <w:rPr>
          <w:rtl/>
        </w:rPr>
        <w:t xml:space="preserve"> </w:t>
      </w:r>
      <w:r w:rsidRPr="009353CA">
        <w:rPr>
          <w:rFonts w:hint="eastAsia"/>
          <w:rtl/>
        </w:rPr>
        <w:t>בג</w:t>
      </w:r>
      <w:r w:rsidRPr="009353CA">
        <w:rPr>
          <w:rtl/>
        </w:rPr>
        <w:t>"</w:t>
      </w:r>
      <w:r w:rsidRPr="009353CA">
        <w:rPr>
          <w:rFonts w:hint="eastAsia"/>
          <w:rtl/>
        </w:rPr>
        <w:t>ץ</w:t>
      </w:r>
      <w:r w:rsidRPr="009353CA">
        <w:rPr>
          <w:rtl/>
        </w:rPr>
        <w:t xml:space="preserve"> 4602/13"</w:t>
      </w:r>
      <w:r w:rsidRPr="009353CA">
        <w:rPr>
          <w:rFonts w:hint="cs"/>
          <w:rtl/>
        </w:rPr>
        <w:t xml:space="preserve"> </w:t>
      </w:r>
      <w:r w:rsidRPr="009353CA">
        <w:rPr>
          <w:rFonts w:ascii="Century" w:hAnsi="Century" w:cs="Miriam" w:hint="cs"/>
          <w:b/>
          <w:spacing w:val="0"/>
          <w:sz w:val="22"/>
          <w:szCs w:val="24"/>
          <w:rtl/>
        </w:rPr>
        <w:t>עיוני משפט</w:t>
      </w:r>
      <w:r w:rsidRPr="009353CA">
        <w:rPr>
          <w:rFonts w:hint="cs"/>
          <w:rtl/>
        </w:rPr>
        <w:t xml:space="preserve"> מג 5, 85 (2020)).</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בטענות אלה אין ממש. כדי להיווכח בזאת, הבה נתמקד במקרה השכיח של נכס טיפוסי בעל ערך אשר מובא למסגרת של נישואין על ידי אחד מבני הזוג. נכס טיפוסי זה הוא, כמובן, הדירה שבה בני הזוג אמורים להתגורר ולקיים תא משפחתי. לדאבוננו, רוב </w:t>
      </w:r>
      <w:r w:rsidRPr="009353CA">
        <w:rPr>
          <w:rFonts w:hint="cs"/>
          <w:rtl/>
        </w:rPr>
        <w:lastRenderedPageBreak/>
        <w:t xml:space="preserve">רובם של זוגות צעירים בישראל אינם יכולים לרכוש את דירתם הראשונה מכספם. הרבה מהם חווים את מצוקת הדיור. לעומתם, כמה וכמה זוגות בני מזל חוסכים מעצמם חוויה קשה זו בזכות הוריהם. הורים אלו קונים לבני הזוג את דירתם הראשונה מכספם או עוזרים להם לרכוש אותה על ידי שימוש בחסכונותיהם. המקרה השכיח שמעניין אותנו כאן הוא זה של בני זוג שרק לאחד מהם יש הורים בעלי אמצעים שיכולים ורוצים לרכוש מכספם את הדירה. ברוב המקרים הללו, הזכויות בדירה נרשמות על שמו של בן הזוג שהוריו רכשו את הדירה מכספם, ובמקרה זה נתמקד.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בפתח הדיון במקרה טיפוסי זה, נרשום לפנינו את האמת הפשוטה שעליה לא ניתן לחלוק: מספרם של בנים ושל בנות אשר נולדים להורים בעלי יכולת לרכוש לילדיהם דירה בישראל הוא פחות או יותר אותו מספר. בשפה סטטיסטית: עושרם של הורים לילדים איננו משפיע על התפלגותם של בנים ובנות שנולדים להם; מספר הבנים והבנות אשר נולדים להורים עשירים, להורים עניים ולאלו שביניהם הוא פחות או יותר זהה.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לפיכך, מספר המקרים שבהם טענת השיתוף הספציפי בדירה מועלית על ידי אישה </w:t>
      </w:r>
      <w:r w:rsidRPr="009353CA">
        <w:rPr>
          <w:rtl/>
        </w:rPr>
        <w:t>–</w:t>
      </w:r>
      <w:r w:rsidRPr="009353CA">
        <w:rPr>
          <w:rFonts w:hint="cs"/>
          <w:rtl/>
        </w:rPr>
        <w:t xml:space="preserve"> כפי שקרה במקרה דכאן </w:t>
      </w:r>
      <w:r w:rsidRPr="009353CA">
        <w:rPr>
          <w:rtl/>
        </w:rPr>
        <w:t>–</w:t>
      </w:r>
      <w:r w:rsidRPr="009353CA">
        <w:rPr>
          <w:rFonts w:hint="cs"/>
          <w:rtl/>
        </w:rPr>
        <w:t xml:space="preserve"> הוא (פחות או יותר) כמספר המקרים שבהם אותה טענה ממש מועלית על ידי גבר. כפועל יוצא מכך, גם אם נסכים שפסק הדין אשר ניתן על ידי שופטי הרוב בהליך הקודם מיטיב עם בעל הנכס האישי שאינו בר-איזון, נמצא כי פסק דין זה, וכן קביעתו של בית הדין הרבני הגדול שאושרה בו, אינם מפלים לרעה שום אישה כאישה ושום </w:t>
      </w:r>
      <w:r>
        <w:rPr>
          <w:rFonts w:hint="cs"/>
          <w:rtl/>
        </w:rPr>
        <w:t>איש</w:t>
      </w:r>
      <w:r w:rsidRPr="009353CA">
        <w:rPr>
          <w:rFonts w:hint="cs"/>
          <w:rtl/>
        </w:rPr>
        <w:t xml:space="preserve"> כ</w:t>
      </w:r>
      <w:r>
        <w:rPr>
          <w:rFonts w:hint="cs"/>
          <w:rtl/>
        </w:rPr>
        <w:t>איש</w:t>
      </w:r>
      <w:r w:rsidRPr="009353CA">
        <w:rPr>
          <w:rFonts w:hint="cs"/>
          <w:rtl/>
        </w:rPr>
        <w:t>. זאת, מאחר שמספרן של נשים שמקבלות דירה מהוריהן הוא כמספרם של גברים שמקבלים דירה מהוריהם; ומאחר שאין בידינו כל סיבה להניח שנכסים אישיים, שאינם בני איזון, נוטים להיות מרוכזים בידיהם של גברים דווקא.</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לאמיתו של דבר, פסק דינם של שופטי הרוב בהליך הקודם </w:t>
      </w:r>
      <w:r w:rsidRPr="009353CA">
        <w:rPr>
          <w:rtl/>
        </w:rPr>
        <w:t>–</w:t>
      </w:r>
      <w:r w:rsidRPr="009353CA">
        <w:rPr>
          <w:rFonts w:hint="cs"/>
          <w:rtl/>
        </w:rPr>
        <w:t xml:space="preserve"> השופט </w:t>
      </w:r>
      <w:r w:rsidRPr="009353CA">
        <w:rPr>
          <w:rFonts w:ascii="Century" w:hAnsi="Century" w:cs="Miriam" w:hint="cs"/>
          <w:b/>
          <w:spacing w:val="0"/>
          <w:sz w:val="22"/>
          <w:szCs w:val="24"/>
          <w:rtl/>
        </w:rPr>
        <w:t>מינץ</w:t>
      </w:r>
      <w:r w:rsidRPr="009353CA">
        <w:rPr>
          <w:rFonts w:hint="cs"/>
          <w:rtl/>
        </w:rPr>
        <w:t xml:space="preserve"> ואנוכי </w:t>
      </w:r>
      <w:r w:rsidRPr="009353CA">
        <w:rPr>
          <w:rtl/>
        </w:rPr>
        <w:t>–</w:t>
      </w:r>
      <w:r w:rsidRPr="009353CA">
        <w:rPr>
          <w:rFonts w:hint="cs"/>
          <w:rtl/>
        </w:rPr>
        <w:t xml:space="preserve"> יוצר </w:t>
      </w:r>
      <w:proofErr w:type="spellStart"/>
      <w:r w:rsidRPr="009353CA">
        <w:rPr>
          <w:rFonts w:hint="cs"/>
          <w:rtl/>
        </w:rPr>
        <w:t>הטייה</w:t>
      </w:r>
      <w:proofErr w:type="spellEnd"/>
      <w:r w:rsidRPr="009353CA">
        <w:rPr>
          <w:rFonts w:hint="cs"/>
          <w:rtl/>
        </w:rPr>
        <w:t xml:space="preserve"> מגדרית מסוימת נגד גברים דווקא </w:t>
      </w:r>
      <w:r w:rsidRPr="009353CA">
        <w:rPr>
          <w:rtl/>
        </w:rPr>
        <w:t>–</w:t>
      </w:r>
      <w:r w:rsidRPr="009353CA">
        <w:rPr>
          <w:rFonts w:hint="cs"/>
          <w:rtl/>
        </w:rPr>
        <w:t xml:space="preserve"> זאת, כמובן, שלא בכוונת מכוון. בזאת נוכל להיווכח אם נתבונן בסטטיסטיקת הבגידות או, במילים מדויקות יותר, בשכיחות היחסים האינטימיים שמקיימים מחוץ למסגרת הנישואין גברים, מצד אחד, ונשים, מהצד השני. הנתונים הסטטיסטיים הקיימים מראים באופן חד-משמעי כי שכיחות הבגידות אצל גברים נשואים עולה בהרבה על שכיחות הבגידות אצל נשים נשואות. ראו, ביחס למדינת ישראל: </w:t>
      </w:r>
      <w:proofErr w:type="spellStart"/>
      <w:r w:rsidRPr="009353CA">
        <w:rPr>
          <w:rFonts w:asciiTheme="majorBidi" w:hAnsiTheme="majorBidi" w:cstheme="majorBidi"/>
        </w:rPr>
        <w:t>Ido</w:t>
      </w:r>
      <w:proofErr w:type="spellEnd"/>
      <w:r w:rsidRPr="009353CA">
        <w:rPr>
          <w:rFonts w:asciiTheme="majorBidi" w:hAnsiTheme="majorBidi" w:cstheme="majorBidi"/>
        </w:rPr>
        <w:t xml:space="preserve"> </w:t>
      </w:r>
      <w:proofErr w:type="spellStart"/>
      <w:r w:rsidRPr="009353CA">
        <w:rPr>
          <w:rFonts w:asciiTheme="majorBidi" w:hAnsiTheme="majorBidi" w:cstheme="majorBidi"/>
        </w:rPr>
        <w:t>Ziv</w:t>
      </w:r>
      <w:proofErr w:type="spellEnd"/>
      <w:r w:rsidRPr="009353CA">
        <w:rPr>
          <w:rFonts w:asciiTheme="majorBidi" w:hAnsiTheme="majorBidi" w:cstheme="majorBidi"/>
        </w:rPr>
        <w:t xml:space="preserve">, Or Ben-Haim </w:t>
      </w:r>
      <w:proofErr w:type="spellStart"/>
      <w:r w:rsidRPr="009353CA">
        <w:rPr>
          <w:rFonts w:asciiTheme="majorBidi" w:hAnsiTheme="majorBidi" w:cstheme="majorBidi"/>
        </w:rPr>
        <w:t>Lubin</w:t>
      </w:r>
      <w:proofErr w:type="spellEnd"/>
      <w:r w:rsidRPr="009353CA">
        <w:rPr>
          <w:rFonts w:asciiTheme="majorBidi" w:hAnsiTheme="majorBidi" w:cstheme="majorBidi"/>
        </w:rPr>
        <w:t xml:space="preserve"> &amp; Sapir Asher, </w:t>
      </w:r>
      <w:r w:rsidRPr="009353CA">
        <w:rPr>
          <w:rFonts w:asciiTheme="majorBidi" w:hAnsiTheme="majorBidi" w:cstheme="majorBidi"/>
          <w:i/>
          <w:iCs/>
        </w:rPr>
        <w:t>I Swear I Will Never Betray You: Factors Reported by Spouses as Helping Them Resist Extramarital Sex in Relation to Gender, Marriage Length, and Religiosity</w:t>
      </w:r>
      <w:r w:rsidRPr="009353CA">
        <w:rPr>
          <w:rFonts w:asciiTheme="majorBidi" w:hAnsiTheme="majorBidi" w:cstheme="majorBidi"/>
        </w:rPr>
        <w:t xml:space="preserve">, 55(2) </w:t>
      </w:r>
      <w:r w:rsidRPr="009353CA">
        <w:rPr>
          <w:rFonts w:asciiTheme="majorBidi" w:hAnsiTheme="majorBidi" w:cstheme="majorBidi"/>
          <w:smallCaps/>
        </w:rPr>
        <w:t>J. Sex Res.</w:t>
      </w:r>
      <w:r w:rsidRPr="009353CA">
        <w:rPr>
          <w:rFonts w:asciiTheme="majorBidi" w:hAnsiTheme="majorBidi" w:cstheme="majorBidi"/>
        </w:rPr>
        <w:t xml:space="preserve"> 236 (2018)</w:t>
      </w:r>
      <w:r w:rsidRPr="009353CA">
        <w:rPr>
          <w:rFonts w:asciiTheme="majorBidi" w:hAnsiTheme="majorBidi" w:cstheme="majorBidi" w:hint="cs"/>
          <w:rtl/>
        </w:rPr>
        <w:t>.</w:t>
      </w:r>
      <w:r w:rsidRPr="009353CA">
        <w:rPr>
          <w:rFonts w:ascii="Century" w:hAnsi="Century" w:hint="cs"/>
          <w:sz w:val="22"/>
          <w:rtl/>
        </w:rPr>
        <w:t xml:space="preserve"> נתון זה נובע</w:t>
      </w:r>
      <w:r>
        <w:rPr>
          <w:rFonts w:ascii="Century" w:hAnsi="Century" w:hint="cs"/>
          <w:sz w:val="22"/>
          <w:rtl/>
        </w:rPr>
        <w:t xml:space="preserve">, בין היתר, </w:t>
      </w:r>
      <w:r w:rsidRPr="009353CA">
        <w:rPr>
          <w:rFonts w:ascii="Century" w:hAnsi="Century" w:hint="cs"/>
          <w:sz w:val="22"/>
          <w:rtl/>
        </w:rPr>
        <w:t xml:space="preserve">מפערי ההכנסה הקיימים בין </w:t>
      </w:r>
      <w:r w:rsidRPr="009353CA">
        <w:rPr>
          <w:rFonts w:ascii="Century" w:hAnsi="Century" w:hint="cs"/>
          <w:sz w:val="22"/>
          <w:rtl/>
        </w:rPr>
        <w:lastRenderedPageBreak/>
        <w:t>גברים לנשים, אשר, למרבה הצער, עדיין מוטים לטובת גברים</w:t>
      </w:r>
      <w:r>
        <w:rPr>
          <w:rFonts w:ascii="Century" w:hAnsi="Century" w:hint="cs"/>
          <w:sz w:val="22"/>
          <w:rtl/>
        </w:rPr>
        <w:t>,</w:t>
      </w:r>
      <w:r w:rsidRPr="009353CA">
        <w:rPr>
          <w:rFonts w:ascii="Century" w:hAnsi="Century" w:hint="cs"/>
          <w:sz w:val="22"/>
          <w:rtl/>
        </w:rPr>
        <w:t xml:space="preserve"> ראו</w:t>
      </w:r>
      <w:r>
        <w:rPr>
          <w:rFonts w:ascii="Century" w:hAnsi="Century" w:hint="cs"/>
          <w:sz w:val="22"/>
          <w:rtl/>
        </w:rPr>
        <w:t>:</w:t>
      </w:r>
      <w:r w:rsidRPr="009353CA">
        <w:rPr>
          <w:rFonts w:ascii="Century" w:hAnsi="Century" w:hint="cs"/>
          <w:sz w:val="22"/>
          <w:rtl/>
        </w:rPr>
        <w:t xml:space="preserve"> </w:t>
      </w:r>
      <w:r w:rsidRPr="009353CA">
        <w:rPr>
          <w:rFonts w:asciiTheme="majorBidi" w:hAnsiTheme="majorBidi" w:cstheme="majorBidi"/>
        </w:rPr>
        <w:t xml:space="preserve">David C. Atkins &amp; Donald H. </w:t>
      </w:r>
      <w:proofErr w:type="spellStart"/>
      <w:r w:rsidRPr="009353CA">
        <w:rPr>
          <w:rFonts w:asciiTheme="majorBidi" w:hAnsiTheme="majorBidi" w:cstheme="majorBidi"/>
        </w:rPr>
        <w:t>Baucom</w:t>
      </w:r>
      <w:proofErr w:type="spellEnd"/>
      <w:r w:rsidRPr="009353CA">
        <w:rPr>
          <w:rFonts w:asciiTheme="majorBidi" w:hAnsiTheme="majorBidi" w:cstheme="majorBidi"/>
        </w:rPr>
        <w:t xml:space="preserve">, </w:t>
      </w:r>
      <w:r w:rsidRPr="009353CA">
        <w:rPr>
          <w:rFonts w:asciiTheme="majorBidi" w:hAnsiTheme="majorBidi" w:cstheme="majorBidi"/>
          <w:i/>
          <w:iCs/>
        </w:rPr>
        <w:t>Understanding Infidelity: Correlates in a National Random Sample</w:t>
      </w:r>
      <w:r w:rsidRPr="009353CA">
        <w:rPr>
          <w:rFonts w:asciiTheme="majorBidi" w:hAnsiTheme="majorBidi" w:cstheme="majorBidi"/>
        </w:rPr>
        <w:t xml:space="preserve">, 15(4) </w:t>
      </w:r>
      <w:r w:rsidRPr="009353CA">
        <w:rPr>
          <w:rFonts w:asciiTheme="majorBidi" w:hAnsiTheme="majorBidi" w:cstheme="majorBidi"/>
          <w:smallCaps/>
        </w:rPr>
        <w:t>J. Fam. Psychol.</w:t>
      </w:r>
      <w:r w:rsidRPr="009353CA">
        <w:rPr>
          <w:rFonts w:asciiTheme="majorBidi" w:hAnsiTheme="majorBidi" w:cstheme="majorBidi"/>
        </w:rPr>
        <w:t xml:space="preserve"> 735,</w:t>
      </w:r>
      <w:r w:rsidRPr="009353CA">
        <w:rPr>
          <w:rFonts w:asciiTheme="majorBidi" w:hAnsiTheme="majorBidi" w:cstheme="majorBidi"/>
          <w:i/>
          <w:iCs/>
        </w:rPr>
        <w:t xml:space="preserve"> </w:t>
      </w:r>
      <w:r w:rsidRPr="009353CA">
        <w:rPr>
          <w:rFonts w:asciiTheme="majorBidi" w:hAnsiTheme="majorBidi" w:cstheme="majorBidi"/>
        </w:rPr>
        <w:t>744 (2001)</w:t>
      </w:r>
      <w:r w:rsidRPr="009353CA">
        <w:rPr>
          <w:rFonts w:ascii="Century" w:hAnsi="Century" w:hint="cs"/>
          <w:sz w:val="22"/>
          <w:rtl/>
        </w:rPr>
        <w:t>.</w:t>
      </w:r>
      <w:r w:rsidRPr="009353CA">
        <w:rPr>
          <w:rFonts w:asciiTheme="majorBidi" w:hAnsiTheme="majorBidi" w:cstheme="majorBidi"/>
        </w:rPr>
        <w:t xml:space="preserve"> </w:t>
      </w:r>
    </w:p>
    <w:p w:rsidR="00917458" w:rsidRPr="009353CA" w:rsidRDefault="00917458" w:rsidP="00917458">
      <w:pPr>
        <w:pStyle w:val="Ruller41"/>
      </w:pPr>
    </w:p>
    <w:p w:rsidR="00DD1648" w:rsidRDefault="00917458" w:rsidP="00DD1648">
      <w:pPr>
        <w:pStyle w:val="Ruller4"/>
        <w:rPr>
          <w:rtl/>
        </w:rPr>
      </w:pPr>
      <w:r w:rsidRPr="009353CA">
        <w:rPr>
          <w:rFonts w:hint="cs"/>
          <w:rtl/>
        </w:rPr>
        <w:t xml:space="preserve">מסיבה זו, המקרה הטיפוסי שבו עלינו להתמקד הוא המקרה של זוג הורים אשר קנו דירה לבתם לרגל נישואיה לאדם, שבחלוף תקופת נישואין ממושכת החל לנהל מערכת יחסים אינטימית עם אישה אחרת. </w:t>
      </w:r>
      <w:r w:rsidRPr="009353CA">
        <w:rPr>
          <w:rFonts w:ascii="Century" w:hAnsi="Century" w:cs="Miriam" w:hint="cs"/>
          <w:b/>
          <w:spacing w:val="0"/>
          <w:sz w:val="22"/>
          <w:szCs w:val="24"/>
          <w:rtl/>
        </w:rPr>
        <w:t>האם אותו אדם יהא זכאי לקבל לידיו, בעקבות פירוד וגירושין מאשתו, את מחצית הזכויות בדירתם של בני הזוג, למרות שזו נקנתה עבור האישה על ידי הוריה מכספי עמלם ומחסכונותיהם ונרשמה על שמה בלבד?</w:t>
      </w:r>
      <w:r w:rsidRPr="009353CA">
        <w:rPr>
          <w:rFonts w:hint="cs"/>
          <w:rtl/>
        </w:rPr>
        <w:t xml:space="preserve"> הנשיאה וחברי המותב הנוכחי שמצטרפים לפסק דינה נראים שלמים עם תוצאה זו (כל אימת שלא מדובר במקרה קיצוני של בגידה מתמשכת או בוטה, שבו הם מוכנים להכיר כחריג). באשר לי, תוצאה זו איננה מקובלת עלי כלל ועיקר; ולטעמי, היא ממילא איננה חלק מהדין המצוי. </w:t>
      </w:r>
      <w:r>
        <w:rPr>
          <w:rFonts w:hint="cs"/>
          <w:rtl/>
        </w:rPr>
        <w:t xml:space="preserve">במסגרת הדין המצוי, סבורני כי </w:t>
      </w:r>
      <w:r w:rsidRPr="009353CA">
        <w:rPr>
          <w:rFonts w:hint="cs"/>
          <w:rtl/>
        </w:rPr>
        <w:t>במקרה זה ובמקרים דומים אחרים, מלוא הזכויות בדירה צריך שתישארנה בידי האישה</w:t>
      </w:r>
      <w:r>
        <w:rPr>
          <w:rFonts w:hint="cs"/>
          <w:rtl/>
        </w:rPr>
        <w:t>, בעלת הדירה</w:t>
      </w:r>
      <w:r w:rsidRPr="009353CA">
        <w:rPr>
          <w:rFonts w:hint="cs"/>
          <w:rtl/>
        </w:rPr>
        <w:t xml:space="preserve"> (אלא אם כן יתברר כי היא כבר הקנתה חלק מזכויותיה לבן זוגה).</w:t>
      </w:r>
    </w:p>
    <w:p w:rsidR="00DD1648" w:rsidRPr="00DD1648" w:rsidRDefault="00DD1648" w:rsidP="00DD164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האם </w:t>
      </w:r>
      <w:bookmarkStart w:id="7" w:name="_Hlk50628853"/>
      <w:r w:rsidRPr="009353CA">
        <w:rPr>
          <w:rFonts w:ascii="Century" w:hAnsi="Century" w:cs="Miriam" w:hint="cs"/>
          <w:b/>
          <w:spacing w:val="0"/>
          <w:szCs w:val="24"/>
          <w:rtl/>
        </w:rPr>
        <w:t xml:space="preserve">החלטותיהם של בתי הדין הרבניים בענייני חלוקת הרכוש הזוגי מוטות נגד נשים שקיימו מערכות יחסים אינטימיות מחוץ לנישואין? </w:t>
      </w:r>
      <w:bookmarkEnd w:id="7"/>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טענות בדבר קיומה של </w:t>
      </w:r>
      <w:proofErr w:type="spellStart"/>
      <w:r w:rsidRPr="009353CA">
        <w:rPr>
          <w:rFonts w:hint="cs"/>
          <w:rtl/>
        </w:rPr>
        <w:t>הטייה</w:t>
      </w:r>
      <w:proofErr w:type="spellEnd"/>
      <w:r w:rsidRPr="009353CA">
        <w:rPr>
          <w:rFonts w:hint="cs"/>
          <w:rtl/>
        </w:rPr>
        <w:t xml:space="preserve"> מגדרית, אשר הועלו לפנינו, לא פסחו על בתי הדין הרבניים. בא-כוח המבקשת טען כי </w:t>
      </w:r>
      <w:r w:rsidRPr="009353CA">
        <w:rPr>
          <w:rFonts w:hint="eastAsia"/>
          <w:rtl/>
        </w:rPr>
        <w:t>החלטותיהם</w:t>
      </w:r>
      <w:r w:rsidRPr="009353CA">
        <w:rPr>
          <w:rtl/>
        </w:rPr>
        <w:t xml:space="preserve"> </w:t>
      </w:r>
      <w:r w:rsidRPr="009353CA">
        <w:rPr>
          <w:rFonts w:hint="eastAsia"/>
          <w:rtl/>
        </w:rPr>
        <w:t>של</w:t>
      </w:r>
      <w:r w:rsidRPr="009353CA">
        <w:rPr>
          <w:rtl/>
        </w:rPr>
        <w:t xml:space="preserve"> </w:t>
      </w:r>
      <w:r w:rsidRPr="009353CA">
        <w:rPr>
          <w:rFonts w:hint="eastAsia"/>
          <w:rtl/>
        </w:rPr>
        <w:t>בתי</w:t>
      </w:r>
      <w:r w:rsidRPr="009353CA">
        <w:rPr>
          <w:rtl/>
        </w:rPr>
        <w:t xml:space="preserve"> </w:t>
      </w:r>
      <w:r w:rsidRPr="009353CA">
        <w:rPr>
          <w:rFonts w:hint="eastAsia"/>
          <w:rtl/>
        </w:rPr>
        <w:t>דין</w:t>
      </w:r>
      <w:r w:rsidRPr="009353CA">
        <w:rPr>
          <w:rFonts w:hint="cs"/>
          <w:rtl/>
        </w:rPr>
        <w:t xml:space="preserve"> אלו</w:t>
      </w:r>
      <w:r w:rsidRPr="009353CA">
        <w:rPr>
          <w:rtl/>
        </w:rPr>
        <w:t xml:space="preserve"> </w:t>
      </w:r>
      <w:r w:rsidRPr="009353CA">
        <w:rPr>
          <w:rFonts w:hint="eastAsia"/>
          <w:rtl/>
        </w:rPr>
        <w:t>בענייני</w:t>
      </w:r>
      <w:r w:rsidRPr="009353CA">
        <w:rPr>
          <w:rtl/>
        </w:rPr>
        <w:t xml:space="preserve"> </w:t>
      </w:r>
      <w:r w:rsidRPr="009353CA">
        <w:rPr>
          <w:rFonts w:hint="eastAsia"/>
          <w:rtl/>
        </w:rPr>
        <w:t>חלוקת</w:t>
      </w:r>
      <w:r w:rsidRPr="009353CA">
        <w:rPr>
          <w:rtl/>
        </w:rPr>
        <w:t xml:space="preserve"> </w:t>
      </w:r>
      <w:r w:rsidRPr="009353CA">
        <w:rPr>
          <w:rFonts w:hint="eastAsia"/>
          <w:rtl/>
        </w:rPr>
        <w:t>הרכוש</w:t>
      </w:r>
      <w:r w:rsidRPr="009353CA">
        <w:rPr>
          <w:rtl/>
        </w:rPr>
        <w:t xml:space="preserve"> </w:t>
      </w:r>
      <w:r w:rsidRPr="009353CA">
        <w:rPr>
          <w:rFonts w:hint="eastAsia"/>
          <w:rtl/>
        </w:rPr>
        <w:t>הזוגי</w:t>
      </w:r>
      <w:r w:rsidRPr="009353CA">
        <w:rPr>
          <w:rFonts w:hint="cs"/>
          <w:rtl/>
        </w:rPr>
        <w:t>, אשר מתקבלות מכוח הכריכה,</w:t>
      </w:r>
      <w:r w:rsidRPr="009353CA">
        <w:rPr>
          <w:rtl/>
        </w:rPr>
        <w:t xml:space="preserve"> </w:t>
      </w:r>
      <w:r w:rsidRPr="009353CA">
        <w:rPr>
          <w:rFonts w:hint="eastAsia"/>
          <w:rtl/>
        </w:rPr>
        <w:t>מוטות</w:t>
      </w:r>
      <w:r w:rsidRPr="009353CA">
        <w:rPr>
          <w:rtl/>
        </w:rPr>
        <w:t xml:space="preserve"> </w:t>
      </w:r>
      <w:r w:rsidRPr="009353CA">
        <w:rPr>
          <w:rFonts w:hint="eastAsia"/>
          <w:rtl/>
        </w:rPr>
        <w:t>נגד</w:t>
      </w:r>
      <w:r w:rsidRPr="009353CA">
        <w:rPr>
          <w:rtl/>
        </w:rPr>
        <w:t xml:space="preserve"> </w:t>
      </w:r>
      <w:r w:rsidRPr="009353CA">
        <w:rPr>
          <w:rFonts w:hint="eastAsia"/>
          <w:rtl/>
        </w:rPr>
        <w:t>נשים</w:t>
      </w:r>
      <w:r w:rsidRPr="009353CA">
        <w:rPr>
          <w:rtl/>
        </w:rPr>
        <w:t xml:space="preserve"> </w:t>
      </w:r>
      <w:r w:rsidRPr="009353CA">
        <w:rPr>
          <w:rFonts w:hint="eastAsia"/>
          <w:rtl/>
        </w:rPr>
        <w:t>שקיימו</w:t>
      </w:r>
      <w:r w:rsidRPr="009353CA">
        <w:rPr>
          <w:rtl/>
        </w:rPr>
        <w:t xml:space="preserve"> </w:t>
      </w:r>
      <w:r w:rsidRPr="009353CA">
        <w:rPr>
          <w:rFonts w:hint="eastAsia"/>
          <w:rtl/>
        </w:rPr>
        <w:t>מערכות</w:t>
      </w:r>
      <w:r w:rsidRPr="009353CA">
        <w:rPr>
          <w:rtl/>
        </w:rPr>
        <w:t xml:space="preserve"> </w:t>
      </w:r>
      <w:r w:rsidRPr="009353CA">
        <w:rPr>
          <w:rFonts w:hint="eastAsia"/>
          <w:rtl/>
        </w:rPr>
        <w:t>יחסים</w:t>
      </w:r>
      <w:r w:rsidRPr="009353CA">
        <w:rPr>
          <w:rtl/>
        </w:rPr>
        <w:t xml:space="preserve"> </w:t>
      </w:r>
      <w:r w:rsidRPr="009353CA">
        <w:rPr>
          <w:rFonts w:hint="eastAsia"/>
          <w:rtl/>
        </w:rPr>
        <w:t>אינטימיות</w:t>
      </w:r>
      <w:r w:rsidRPr="009353CA">
        <w:rPr>
          <w:rtl/>
        </w:rPr>
        <w:t xml:space="preserve"> </w:t>
      </w:r>
      <w:r w:rsidRPr="009353CA">
        <w:rPr>
          <w:rFonts w:hint="eastAsia"/>
          <w:rtl/>
        </w:rPr>
        <w:t>מחוץ</w:t>
      </w:r>
      <w:r w:rsidRPr="009353CA">
        <w:rPr>
          <w:rtl/>
        </w:rPr>
        <w:t xml:space="preserve"> </w:t>
      </w:r>
      <w:r w:rsidRPr="009353CA">
        <w:rPr>
          <w:rFonts w:hint="eastAsia"/>
          <w:rtl/>
        </w:rPr>
        <w:t>לנישואין</w:t>
      </w:r>
      <w:r w:rsidRPr="009353CA">
        <w:rPr>
          <w:rFonts w:hint="cs"/>
          <w:rtl/>
        </w:rPr>
        <w:t xml:space="preserve"> (ראו</w:t>
      </w:r>
      <w:r>
        <w:rPr>
          <w:rFonts w:hint="cs"/>
          <w:rtl/>
        </w:rPr>
        <w:t>:</w:t>
      </w:r>
      <w:r w:rsidRPr="009353CA">
        <w:rPr>
          <w:rFonts w:hint="cs"/>
          <w:rtl/>
        </w:rPr>
        <w:t xml:space="preserve"> פרוטוקול הדיון מיום 4.8.2020, בעמ' 11).</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טענה זו נזרקה לחלל האוויר ללא כל תימוכין אמפיריים ואינני חושב שהיא נכונה עובדתית. בהקשר זה אציין, כי בשנה שעברה הונחה לפתחנו עתירתו של גבר אשר הלין על כך שבית הדין הרבני שלל ממנו, עקב בגידתו באשתו, את זכותו לשיתוף הספציפי בנכס השייך לה. עתירה זו נדחתה על ידינו על הסף לאחר שמצאנו כי בית הדין הרבני קבע, על בסיס מכלול הנתונים העובדתיים, כי אשת העותר לא התכוונה לחלוק עמו את רכושה (ראו: בג"ץ 8531/18 </w:t>
      </w:r>
      <w:r w:rsidRPr="009353CA">
        <w:rPr>
          <w:rFonts w:ascii="Century" w:hAnsi="Century" w:cs="Miriam" w:hint="eastAsia"/>
          <w:b/>
          <w:spacing w:val="0"/>
          <w:sz w:val="22"/>
          <w:szCs w:val="24"/>
          <w:rtl/>
        </w:rPr>
        <w:t>פלוני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הדין</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הרבני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האזורי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בנתניה</w:t>
      </w:r>
      <w:r w:rsidRPr="009353CA">
        <w:rPr>
          <w:rFonts w:hint="cs"/>
          <w:rtl/>
        </w:rPr>
        <w:t xml:space="preserve"> (</w:t>
      </w:r>
      <w:r w:rsidRPr="009353CA">
        <w:rPr>
          <w:rtl/>
        </w:rPr>
        <w:t>11.12.2018</w:t>
      </w:r>
      <w:r w:rsidRPr="009353CA">
        <w:rPr>
          <w:rFonts w:hint="cs"/>
          <w:rtl/>
        </w:rPr>
        <w:t>); עתירה מוקדמת שהגיש העותר נדחתה בבג"ץ 7940/17</w:t>
      </w:r>
      <w:r w:rsidRPr="009353CA">
        <w:rPr>
          <w:rFonts w:hint="cs"/>
          <w:b/>
          <w:bCs/>
          <w:color w:val="000000"/>
          <w:sz w:val="28"/>
        </w:rPr>
        <w:t> </w:t>
      </w:r>
      <w:r w:rsidRPr="009353CA">
        <w:rPr>
          <w:rFonts w:ascii="Century" w:hAnsi="Century" w:cs="Miriam" w:hint="eastAsia"/>
          <w:b/>
          <w:spacing w:val="0"/>
          <w:sz w:val="22"/>
          <w:szCs w:val="24"/>
          <w:rtl/>
        </w:rPr>
        <w:t>פלוני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הדין</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הרבני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האזורי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בנתניה</w:t>
      </w:r>
      <w:r w:rsidRPr="009353CA">
        <w:rPr>
          <w:rFonts w:hint="cs"/>
          <w:rtl/>
        </w:rPr>
        <w:t xml:space="preserve"> (</w:t>
      </w:r>
      <w:r w:rsidRPr="009353CA">
        <w:rPr>
          <w:rFonts w:hint="cs"/>
          <w:color w:val="000000"/>
          <w:sz w:val="28"/>
          <w:rtl/>
        </w:rPr>
        <w:t>‏8.1.2018</w:t>
      </w:r>
      <w:r w:rsidRPr="009353CA">
        <w:rPr>
          <w:rFonts w:hint="cs"/>
          <w:rtl/>
        </w:rPr>
        <w:t>)</w:t>
      </w:r>
      <w:r>
        <w:rPr>
          <w:rFonts w:hint="cs"/>
          <w:rtl/>
        </w:rPr>
        <w:t xml:space="preserve"> (להלן: </w:t>
      </w:r>
      <w:r w:rsidRPr="0079493E">
        <w:rPr>
          <w:rFonts w:ascii="Century" w:hAnsi="Century" w:cs="Miriam" w:hint="cs"/>
          <w:b/>
          <w:spacing w:val="0"/>
          <w:sz w:val="22"/>
          <w:szCs w:val="24"/>
          <w:rtl/>
        </w:rPr>
        <w:t xml:space="preserve">בג"ץ </w:t>
      </w:r>
      <w:r w:rsidRPr="00A7425E">
        <w:rPr>
          <w:rFonts w:ascii="Century" w:hAnsi="Century" w:cs="Miriam" w:hint="cs"/>
          <w:b/>
          <w:spacing w:val="0"/>
          <w:sz w:val="22"/>
          <w:szCs w:val="24"/>
          <w:rtl/>
        </w:rPr>
        <w:t>7940/17</w:t>
      </w:r>
      <w:r>
        <w:rPr>
          <w:rFonts w:hint="cs"/>
          <w:rtl/>
        </w:rPr>
        <w:t>)</w:t>
      </w:r>
      <w:r w:rsidRPr="009353CA">
        <w:rPr>
          <w:rFonts w:hint="cs"/>
          <w:rtl/>
        </w:rPr>
        <w:t>).</w:t>
      </w:r>
    </w:p>
    <w:p w:rsidR="00917458" w:rsidRPr="009353CA" w:rsidRDefault="00917458" w:rsidP="00917458">
      <w:pPr>
        <w:pStyle w:val="Ruller4"/>
        <w:numPr>
          <w:ilvl w:val="0"/>
          <w:numId w:val="0"/>
        </w:numPr>
      </w:pPr>
      <w:r w:rsidRPr="009353CA">
        <w:rPr>
          <w:rFonts w:hint="cs"/>
          <w:rtl/>
        </w:rPr>
        <w:t xml:space="preserve"> </w:t>
      </w:r>
    </w:p>
    <w:p w:rsidR="00917458" w:rsidRPr="009353CA" w:rsidRDefault="00917458" w:rsidP="00917458">
      <w:pPr>
        <w:pStyle w:val="Ruller4"/>
        <w:rPr>
          <w:rtl/>
        </w:rPr>
      </w:pPr>
      <w:r w:rsidRPr="009353CA">
        <w:rPr>
          <w:rFonts w:hint="cs"/>
          <w:rtl/>
        </w:rPr>
        <w:lastRenderedPageBreak/>
        <w:t xml:space="preserve">טענה המייחסת </w:t>
      </w:r>
      <w:proofErr w:type="spellStart"/>
      <w:r w:rsidRPr="009353CA">
        <w:rPr>
          <w:rFonts w:hint="cs"/>
          <w:rtl/>
        </w:rPr>
        <w:t>הטייה</w:t>
      </w:r>
      <w:proofErr w:type="spellEnd"/>
      <w:r w:rsidRPr="009353CA">
        <w:rPr>
          <w:rFonts w:hint="cs"/>
          <w:rtl/>
        </w:rPr>
        <w:t xml:space="preserve"> מגדרית לבתי הדין הרבניים לא הוכחה אפוא כלל ועיקר; ולטעמי, טוב היה אילו לא נטענה כלל. בתי הדין הרבניים ובתי דין דתיים אחרים אינם בגדר בנים חורגים של מערכת המשפט, הסמוכים על שולחנה, אלא שותפים מלאים לעשיית הצדק, הראויים להערכה ולהתייחסות מכובדת ומכבדת.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התייחסותי לפסק דינה של הנשיאה א' חיות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פסק דינה של חברתי, הנשיאה </w:t>
      </w:r>
      <w:r w:rsidRPr="009353CA">
        <w:rPr>
          <w:rFonts w:ascii="Century" w:hAnsi="Century" w:cs="Miriam" w:hint="cs"/>
          <w:b/>
          <w:spacing w:val="0"/>
          <w:sz w:val="22"/>
          <w:szCs w:val="24"/>
          <w:rtl/>
        </w:rPr>
        <w:t>חיות</w:t>
      </w:r>
      <w:r w:rsidRPr="009353CA">
        <w:rPr>
          <w:rFonts w:hint="cs"/>
          <w:rtl/>
        </w:rPr>
        <w:t xml:space="preserve">, </w:t>
      </w:r>
      <w:r>
        <w:rPr>
          <w:rFonts w:hint="cs"/>
          <w:rtl/>
        </w:rPr>
        <w:t xml:space="preserve">מציב את עצמו לצדה של </w:t>
      </w:r>
      <w:r w:rsidRPr="009353CA">
        <w:rPr>
          <w:rFonts w:hint="cs"/>
          <w:rtl/>
        </w:rPr>
        <w:t>חוות</w:t>
      </w:r>
      <w:r>
        <w:rPr>
          <w:rFonts w:hint="cs"/>
          <w:rtl/>
        </w:rPr>
        <w:t xml:space="preserve"> </w:t>
      </w:r>
      <w:r w:rsidRPr="009353CA">
        <w:rPr>
          <w:rFonts w:hint="cs"/>
          <w:rtl/>
        </w:rPr>
        <w:t xml:space="preserve">הדעת אשר ניתנה בהליך הקודם על ידי חברי, השופט </w:t>
      </w:r>
      <w:r w:rsidRPr="00AD5A7F">
        <w:rPr>
          <w:rFonts w:ascii="Century" w:hAnsi="Century" w:cs="Miriam" w:hint="cs"/>
          <w:b/>
          <w:spacing w:val="0"/>
          <w:sz w:val="22"/>
          <w:szCs w:val="24"/>
          <w:rtl/>
        </w:rPr>
        <w:t>עמית</w:t>
      </w:r>
      <w:r w:rsidRPr="009353CA">
        <w:rPr>
          <w:rFonts w:hint="cs"/>
          <w:rtl/>
        </w:rPr>
        <w:t xml:space="preserve">. את הטעמים שבעטיים לא הסכמתי עם חוות דעתו של השופט </w:t>
      </w:r>
      <w:r w:rsidRPr="00AD5A7F">
        <w:rPr>
          <w:rFonts w:ascii="Century" w:hAnsi="Century" w:cs="Miriam" w:hint="cs"/>
          <w:b/>
          <w:spacing w:val="0"/>
          <w:sz w:val="22"/>
          <w:szCs w:val="24"/>
          <w:rtl/>
        </w:rPr>
        <w:t>עמית</w:t>
      </w:r>
      <w:r w:rsidRPr="009353CA">
        <w:rPr>
          <w:rFonts w:hint="cs"/>
          <w:rtl/>
        </w:rPr>
        <w:t xml:space="preserve"> פירטתי לעיל ובפסק דיני בהליך הקודם. מאותם טעמים ממש לא אוכל להסכים כעת עם פסק דינה של הנשיאה.</w:t>
      </w:r>
      <w:r>
        <w:rPr>
          <w:rFonts w:hint="cs"/>
          <w:rtl/>
        </w:rPr>
        <w:t xml:space="preserve"> בטרם אפרט טעמים אלו </w:t>
      </w:r>
      <w:proofErr w:type="spellStart"/>
      <w:r>
        <w:rPr>
          <w:rFonts w:hint="cs"/>
          <w:rtl/>
        </w:rPr>
        <w:t>ואבהירם</w:t>
      </w:r>
      <w:proofErr w:type="spellEnd"/>
      <w:r>
        <w:rPr>
          <w:rFonts w:hint="cs"/>
          <w:rtl/>
        </w:rPr>
        <w:t xml:space="preserve">, אסכם את העניינים שבנוגע אליהם אין בין הנשיאה לביני שום מחלוקת. העניין הראשון הוא נטל ההוכחה: הנטל להוכיח את דבר קיומו של השיתוף הספציפי לפי מאזן ההסתברויות רובץ על בן הזוג מבקש השיתוף </w:t>
      </w:r>
      <w:r>
        <w:rPr>
          <w:rtl/>
        </w:rPr>
        <w:t>–</w:t>
      </w:r>
      <w:r>
        <w:rPr>
          <w:rFonts w:hint="cs"/>
          <w:rtl/>
        </w:rPr>
        <w:t xml:space="preserve"> ובמקרה דנן, על המבקשת. ההוכחה הנדרשת צריך שתהא מכוונת אל מעשה </w:t>
      </w:r>
      <w:proofErr w:type="spellStart"/>
      <w:r>
        <w:rPr>
          <w:rFonts w:hint="cs"/>
          <w:rtl/>
        </w:rPr>
        <w:t>ההקנייה</w:t>
      </w:r>
      <w:proofErr w:type="spellEnd"/>
      <w:r>
        <w:rPr>
          <w:rFonts w:hint="cs"/>
          <w:rtl/>
        </w:rPr>
        <w:t xml:space="preserve"> של זכויות-שיתוף בנכסו האישי של בן הזוג: מבקש השיתוף נדרש להוכיח כי בן זוגו </w:t>
      </w:r>
      <w:r>
        <w:rPr>
          <w:rtl/>
        </w:rPr>
        <w:t>–</w:t>
      </w:r>
      <w:r>
        <w:rPr>
          <w:rFonts w:hint="cs"/>
          <w:rtl/>
        </w:rPr>
        <w:t xml:space="preserve"> בעל הנכס האישי </w:t>
      </w:r>
      <w:r>
        <w:rPr>
          <w:rtl/>
        </w:rPr>
        <w:t>–</w:t>
      </w:r>
      <w:r>
        <w:rPr>
          <w:rFonts w:hint="cs"/>
          <w:rtl/>
        </w:rPr>
        <w:t xml:space="preserve"> העניק לו את זכויות השיתוף באותו הנכס במפורש או במשתמע, דהיינו: באמצעות הצהרה, הבטחה או התנהגות שהציגה מצג ברור בנוסח של "שלי </w:t>
      </w:r>
      <w:r>
        <w:rPr>
          <w:rtl/>
        </w:rPr>
        <w:t>–</w:t>
      </w:r>
      <w:r>
        <w:rPr>
          <w:rFonts w:hint="cs"/>
          <w:rtl/>
        </w:rPr>
        <w:t xml:space="preserve"> שלך, ושלך </w:t>
      </w:r>
      <w:r>
        <w:rPr>
          <w:rtl/>
        </w:rPr>
        <w:t>–</w:t>
      </w:r>
      <w:r>
        <w:rPr>
          <w:rFonts w:hint="cs"/>
          <w:rtl/>
        </w:rPr>
        <w:t xml:space="preserve"> שלי". חיי נישואין כשלעצמם, ממושכים ומאושרים ככל שיהיו, אינם מגיעים כדי הוכחת השיתוף </w:t>
      </w:r>
      <w:r>
        <w:rPr>
          <w:rtl/>
        </w:rPr>
        <w:t>–</w:t>
      </w:r>
      <w:r>
        <w:rPr>
          <w:rFonts w:hint="cs"/>
          <w:rtl/>
        </w:rPr>
        <w:t xml:space="preserve"> בנוסף אליהם, נדרש בן הזוג מבקש השיתוף להציג ראיה בדמות "דבר מה נוסף". כללי השיתוף כאמור מיוסדים על הדין הכללי, להבדיל מדין דתי. כפי שקבעה הלכת </w:t>
      </w:r>
      <w:r w:rsidRPr="00B913AB">
        <w:rPr>
          <w:rFonts w:ascii="Century" w:hAnsi="Century" w:cs="Miriam" w:hint="cs"/>
          <w:b/>
          <w:spacing w:val="0"/>
          <w:sz w:val="22"/>
          <w:szCs w:val="24"/>
          <w:rtl/>
        </w:rPr>
        <w:t>בבלי</w:t>
      </w:r>
      <w:r>
        <w:rPr>
          <w:rFonts w:hint="cs"/>
          <w:rtl/>
        </w:rPr>
        <w:t xml:space="preserve">, ועליה אין עוררין, בתי דין דתיים, בבואם להכריע בסוגיית השיתוף, מצווים לבסס את פסיקתם על הדין האזרחי הכללי. </w:t>
      </w:r>
    </w:p>
    <w:p w:rsidR="00917458" w:rsidRPr="009353CA" w:rsidRDefault="00917458" w:rsidP="00917458">
      <w:pPr>
        <w:pStyle w:val="Ruller41"/>
      </w:pPr>
    </w:p>
    <w:p w:rsidR="00917458" w:rsidRDefault="00917458" w:rsidP="00917458">
      <w:pPr>
        <w:pStyle w:val="Ruller4"/>
        <w:rPr>
          <w:rtl/>
        </w:rPr>
      </w:pPr>
      <w:r w:rsidRPr="009353CA">
        <w:rPr>
          <w:rFonts w:hint="cs"/>
          <w:rtl/>
        </w:rPr>
        <w:t xml:space="preserve">עיקר </w:t>
      </w:r>
      <w:r>
        <w:rPr>
          <w:rFonts w:hint="cs"/>
          <w:rtl/>
        </w:rPr>
        <w:t>המחלוקת ביני לבין הנשיאה קשור ל</w:t>
      </w:r>
      <w:r w:rsidRPr="009353CA">
        <w:rPr>
          <w:rFonts w:hint="cs"/>
          <w:rtl/>
        </w:rPr>
        <w:t>עמדתי העקרונית בנוגע לסמכותו של בית משפט זה</w:t>
      </w:r>
      <w:r>
        <w:rPr>
          <w:rFonts w:hint="cs"/>
          <w:rtl/>
        </w:rPr>
        <w:t>, בשבתו כבג"ץ,</w:t>
      </w:r>
      <w:r w:rsidRPr="009353CA">
        <w:rPr>
          <w:rFonts w:hint="cs"/>
          <w:rtl/>
        </w:rPr>
        <w:t xml:space="preserve"> להתערב בממצאים עובדתיים אשר נקבעו על ידי בית דין רבני או בית דין דתי אחר, שכאמור מעוגנת בסעיף 15(ד)(4) לחוק יסוד: השפיטה ובפסיקתנו. לטעמי, סמכות ז</w:t>
      </w:r>
      <w:r>
        <w:rPr>
          <w:rFonts w:hint="cs"/>
          <w:rtl/>
        </w:rPr>
        <w:t>את</w:t>
      </w:r>
      <w:r w:rsidRPr="009353CA">
        <w:rPr>
          <w:rFonts w:hint="cs"/>
          <w:rtl/>
        </w:rPr>
        <w:t xml:space="preserve"> מאפשרת התערבות בממצאי עובדה רק במקרים קיצוניים בהם מדובר בממצאים נטולי זיקה רציונלית לחומר הראיות. סמכות ז</w:t>
      </w:r>
      <w:r>
        <w:rPr>
          <w:rFonts w:hint="cs"/>
          <w:rtl/>
        </w:rPr>
        <w:t>את</w:t>
      </w:r>
      <w:r w:rsidRPr="009353CA">
        <w:rPr>
          <w:rFonts w:hint="cs"/>
          <w:rtl/>
        </w:rPr>
        <w:t xml:space="preserve"> אינה מאפשרת </w:t>
      </w:r>
      <w:r>
        <w:rPr>
          <w:rFonts w:hint="cs"/>
          <w:rtl/>
        </w:rPr>
        <w:t>לבית משפט זה</w:t>
      </w:r>
      <w:r w:rsidRPr="009353CA">
        <w:rPr>
          <w:rFonts w:hint="cs"/>
          <w:rtl/>
        </w:rPr>
        <w:t xml:space="preserve"> להתערב בממצאיו העובדתיים של בית דין רבני </w:t>
      </w:r>
      <w:r>
        <w:rPr>
          <w:rFonts w:hint="cs"/>
          <w:rtl/>
        </w:rPr>
        <w:t>כל אימת שיש להם אחיזה רציונלית בחומר הראיות</w:t>
      </w:r>
      <w:r w:rsidRPr="009353CA">
        <w:rPr>
          <w:rFonts w:hint="cs"/>
          <w:rtl/>
        </w:rPr>
        <w:t xml:space="preserve">. העובדה שאנו רואים את הראיות עליהן בית הדין הסתמך באופן שונה ממנו איננה בגדר עילת התערבות (ראו: </w:t>
      </w:r>
      <w:r w:rsidRPr="00C86886">
        <w:rPr>
          <w:rFonts w:ascii="Century" w:hAnsi="Century" w:cs="Miriam" w:hint="cs"/>
          <w:b/>
          <w:spacing w:val="0"/>
          <w:sz w:val="22"/>
          <w:szCs w:val="24"/>
          <w:rtl/>
        </w:rPr>
        <w:t xml:space="preserve">בג"ץ </w:t>
      </w:r>
      <w:r w:rsidRPr="00C86886">
        <w:rPr>
          <w:rFonts w:ascii="Century" w:hAnsi="Century" w:cs="Miriam"/>
          <w:b/>
          <w:spacing w:val="0"/>
          <w:sz w:val="22"/>
          <w:szCs w:val="24"/>
          <w:rtl/>
        </w:rPr>
        <w:t>7940/17</w:t>
      </w:r>
      <w:r>
        <w:rPr>
          <w:rFonts w:hint="cs"/>
          <w:rtl/>
        </w:rPr>
        <w:t xml:space="preserve">, פסקה 2; </w:t>
      </w:r>
      <w:r w:rsidRPr="009353CA">
        <w:rPr>
          <w:rFonts w:hint="eastAsia"/>
          <w:rtl/>
        </w:rPr>
        <w:t>בג</w:t>
      </w:r>
      <w:r w:rsidRPr="009353CA">
        <w:rPr>
          <w:rFonts w:hint="cs"/>
          <w:rtl/>
        </w:rPr>
        <w:t>"</w:t>
      </w:r>
      <w:r w:rsidRPr="009353CA">
        <w:rPr>
          <w:rFonts w:hint="eastAsia"/>
          <w:rtl/>
        </w:rPr>
        <w:t>ץ</w:t>
      </w:r>
      <w:r w:rsidRPr="009353CA">
        <w:rPr>
          <w:rtl/>
        </w:rPr>
        <w:t xml:space="preserve"> 6037/18 ‏</w:t>
      </w:r>
      <w:r w:rsidRPr="008E563E">
        <w:rPr>
          <w:rFonts w:ascii="Century" w:hAnsi="Century" w:cs="Miriam" w:hint="eastAsia"/>
          <w:b/>
          <w:spacing w:val="0"/>
          <w:sz w:val="22"/>
          <w:szCs w:val="24"/>
          <w:rtl/>
        </w:rPr>
        <w:t>פלונית</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נ</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בית</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הדין</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הרבני</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האזורי</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ת</w:t>
      </w:r>
      <w:r w:rsidRPr="008E563E">
        <w:rPr>
          <w:rFonts w:ascii="Century" w:hAnsi="Century" w:cs="Miriam"/>
          <w:b/>
          <w:spacing w:val="0"/>
          <w:sz w:val="22"/>
          <w:szCs w:val="24"/>
          <w:rtl/>
        </w:rPr>
        <w:t>"</w:t>
      </w:r>
      <w:r w:rsidRPr="008E563E">
        <w:rPr>
          <w:rFonts w:ascii="Century" w:hAnsi="Century" w:cs="Miriam" w:hint="eastAsia"/>
          <w:b/>
          <w:spacing w:val="0"/>
          <w:sz w:val="22"/>
          <w:szCs w:val="24"/>
          <w:rtl/>
        </w:rPr>
        <w:t>א</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יפו</w:t>
      </w:r>
      <w:r w:rsidRPr="009353CA">
        <w:rPr>
          <w:rFonts w:hint="cs"/>
          <w:rtl/>
        </w:rPr>
        <w:t>, פסקאות 6-5 (</w:t>
      </w:r>
      <w:r w:rsidRPr="008E563E">
        <w:rPr>
          <w:rFonts w:hint="cs"/>
          <w:color w:val="000000"/>
          <w:sz w:val="28"/>
          <w:rtl/>
        </w:rPr>
        <w:t>‏18.2.2019</w:t>
      </w:r>
      <w:r w:rsidRPr="009353CA">
        <w:rPr>
          <w:rFonts w:hint="cs"/>
          <w:rtl/>
        </w:rPr>
        <w:t>)</w:t>
      </w:r>
      <w:r>
        <w:rPr>
          <w:rFonts w:hint="cs"/>
          <w:rtl/>
        </w:rPr>
        <w:t xml:space="preserve">; וכן </w:t>
      </w:r>
      <w:r w:rsidRPr="00796634">
        <w:rPr>
          <w:rFonts w:hint="eastAsia"/>
          <w:rtl/>
        </w:rPr>
        <w:lastRenderedPageBreak/>
        <w:t>בג</w:t>
      </w:r>
      <w:r w:rsidRPr="00796634">
        <w:rPr>
          <w:rtl/>
        </w:rPr>
        <w:t>"</w:t>
      </w:r>
      <w:r w:rsidRPr="00796634">
        <w:rPr>
          <w:rFonts w:hint="eastAsia"/>
          <w:rtl/>
        </w:rPr>
        <w:t>ץ</w:t>
      </w:r>
      <w:r w:rsidRPr="00796634">
        <w:rPr>
          <w:rtl/>
        </w:rPr>
        <w:t xml:space="preserve"> 5956/20 </w:t>
      </w:r>
      <w:r w:rsidRPr="00ED2845">
        <w:rPr>
          <w:rFonts w:ascii="Century" w:hAnsi="Century" w:cs="Miriam" w:hint="eastAsia"/>
          <w:b/>
          <w:spacing w:val="0"/>
          <w:sz w:val="22"/>
          <w:szCs w:val="24"/>
          <w:rtl/>
        </w:rPr>
        <w:t>פלוני</w:t>
      </w:r>
      <w:r w:rsidRPr="00ED2845">
        <w:rPr>
          <w:rFonts w:ascii="Century" w:hAnsi="Century" w:cs="Miriam"/>
          <w:b/>
          <w:spacing w:val="0"/>
          <w:sz w:val="22"/>
          <w:szCs w:val="24"/>
          <w:rtl/>
        </w:rPr>
        <w:t xml:space="preserve"> </w:t>
      </w:r>
      <w:r w:rsidRPr="00ED2845">
        <w:rPr>
          <w:rFonts w:ascii="Century" w:hAnsi="Century" w:cs="Miriam" w:hint="eastAsia"/>
          <w:b/>
          <w:spacing w:val="0"/>
          <w:sz w:val="22"/>
          <w:szCs w:val="24"/>
          <w:rtl/>
        </w:rPr>
        <w:t>נ</w:t>
      </w:r>
      <w:r w:rsidRPr="00ED2845">
        <w:rPr>
          <w:rFonts w:ascii="Century" w:hAnsi="Century" w:cs="Miriam"/>
          <w:b/>
          <w:spacing w:val="0"/>
          <w:sz w:val="22"/>
          <w:szCs w:val="24"/>
          <w:rtl/>
        </w:rPr>
        <w:t xml:space="preserve">' </w:t>
      </w:r>
      <w:r w:rsidRPr="00ED2845">
        <w:rPr>
          <w:rFonts w:ascii="Century" w:hAnsi="Century" w:cs="Miriam" w:hint="eastAsia"/>
          <w:b/>
          <w:spacing w:val="0"/>
          <w:sz w:val="22"/>
          <w:szCs w:val="24"/>
          <w:rtl/>
        </w:rPr>
        <w:t>פלונית</w:t>
      </w:r>
      <w:r>
        <w:rPr>
          <w:rFonts w:hint="cs"/>
          <w:rtl/>
        </w:rPr>
        <w:t>, פסקה 2 (24.9.2020)</w:t>
      </w:r>
      <w:r w:rsidRPr="009353CA">
        <w:rPr>
          <w:rFonts w:hint="cs"/>
          <w:rtl/>
        </w:rPr>
        <w:t>); וכך הוא גם לגבי המסקנות אשר עולות מחומר הראיות. אי-הסכמתנו עם מסקנות אלו אף היא איננה בגדר עילת התערבות ואי</w:t>
      </w:r>
      <w:r>
        <w:rPr>
          <w:rFonts w:hint="cs"/>
          <w:rtl/>
        </w:rPr>
        <w:t>ן היא</w:t>
      </w:r>
      <w:r w:rsidRPr="009353CA">
        <w:rPr>
          <w:rFonts w:hint="cs"/>
          <w:rtl/>
        </w:rPr>
        <w:t xml:space="preserve"> מאפשרת לנו לבטל את קביעותיו העובדתיות של בית הדין ולהעמיד במקומן את קביע</w:t>
      </w:r>
      <w:r>
        <w:rPr>
          <w:rFonts w:hint="cs"/>
          <w:rtl/>
        </w:rPr>
        <w:t>ו</w:t>
      </w:r>
      <w:r w:rsidRPr="009353CA">
        <w:rPr>
          <w:rFonts w:hint="cs"/>
          <w:rtl/>
        </w:rPr>
        <w:t xml:space="preserve">תנו שלנו (ראו: </w:t>
      </w:r>
      <w:r w:rsidRPr="009353CA">
        <w:rPr>
          <w:rFonts w:hint="eastAsia"/>
          <w:rtl/>
        </w:rPr>
        <w:t>בג</w:t>
      </w:r>
      <w:r w:rsidRPr="009353CA">
        <w:rPr>
          <w:rFonts w:hint="cs"/>
          <w:rtl/>
        </w:rPr>
        <w:t>"</w:t>
      </w:r>
      <w:r w:rsidRPr="009353CA">
        <w:rPr>
          <w:rFonts w:hint="eastAsia"/>
          <w:rtl/>
        </w:rPr>
        <w:t>ץ</w:t>
      </w:r>
      <w:r w:rsidRPr="009353CA">
        <w:rPr>
          <w:rtl/>
        </w:rPr>
        <w:t xml:space="preserve"> 1923/91 </w:t>
      </w:r>
      <w:proofErr w:type="spellStart"/>
      <w:r w:rsidRPr="008E563E">
        <w:rPr>
          <w:rFonts w:ascii="Century" w:hAnsi="Century" w:cs="Miriam" w:hint="eastAsia"/>
          <w:b/>
          <w:spacing w:val="0"/>
          <w:sz w:val="22"/>
          <w:szCs w:val="24"/>
          <w:rtl/>
        </w:rPr>
        <w:t>רוזנצו</w:t>
      </w:r>
      <w:r w:rsidRPr="008E563E">
        <w:rPr>
          <w:rFonts w:ascii="Century" w:hAnsi="Century" w:cs="Miriam" w:hint="cs"/>
          <w:b/>
          <w:spacing w:val="0"/>
          <w:sz w:val="22"/>
          <w:szCs w:val="24"/>
          <w:rtl/>
        </w:rPr>
        <w:t>ו</w:t>
      </w:r>
      <w:r w:rsidRPr="008E563E">
        <w:rPr>
          <w:rFonts w:ascii="Century" w:hAnsi="Century" w:cs="Miriam" w:hint="eastAsia"/>
          <w:b/>
          <w:spacing w:val="0"/>
          <w:sz w:val="22"/>
          <w:szCs w:val="24"/>
          <w:rtl/>
        </w:rPr>
        <w:t>יג</w:t>
      </w:r>
      <w:proofErr w:type="spellEnd"/>
      <w:r w:rsidRPr="008E563E">
        <w:rPr>
          <w:rFonts w:ascii="Century" w:hAnsi="Century" w:cs="Miriam" w:hint="eastAsia"/>
          <w:b/>
          <w:spacing w:val="0"/>
          <w:sz w:val="22"/>
          <w:szCs w:val="24"/>
          <w:cs/>
        </w:rPr>
        <w:t>‎</w:t>
      </w:r>
      <w:r w:rsidRPr="008E563E">
        <w:rPr>
          <w:rFonts w:ascii="Century" w:hAnsi="Century" w:cs="Miriam"/>
          <w:b/>
          <w:spacing w:val="0"/>
          <w:sz w:val="22"/>
          <w:szCs w:val="24"/>
        </w:rPr>
        <w:t xml:space="preserve"> </w:t>
      </w:r>
      <w:r w:rsidRPr="008E563E">
        <w:rPr>
          <w:rFonts w:ascii="Century" w:hAnsi="Century" w:cs="Miriam"/>
          <w:b/>
          <w:spacing w:val="0"/>
          <w:sz w:val="22"/>
          <w:szCs w:val="24"/>
          <w:cs/>
        </w:rPr>
        <w:t>‎</w:t>
      </w:r>
      <w:r w:rsidRPr="008E563E">
        <w:rPr>
          <w:rFonts w:ascii="Century" w:hAnsi="Century" w:cs="Miriam" w:hint="eastAsia"/>
          <w:b/>
          <w:spacing w:val="0"/>
          <w:sz w:val="22"/>
          <w:szCs w:val="24"/>
          <w:rtl/>
        </w:rPr>
        <w:t>נ</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בית</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הדין</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הרבני</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האזורי</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בחיפה</w:t>
      </w:r>
      <w:r w:rsidRPr="009353CA">
        <w:rPr>
          <w:rtl/>
        </w:rPr>
        <w:t xml:space="preserve">, </w:t>
      </w:r>
      <w:r w:rsidRPr="009353CA">
        <w:rPr>
          <w:rFonts w:hint="eastAsia"/>
          <w:rtl/>
        </w:rPr>
        <w:t>פ</w:t>
      </w:r>
      <w:r>
        <w:rPr>
          <w:rFonts w:hint="cs"/>
          <w:rtl/>
        </w:rPr>
        <w:t>"</w:t>
      </w:r>
      <w:r w:rsidRPr="009353CA">
        <w:rPr>
          <w:rFonts w:hint="eastAsia"/>
          <w:rtl/>
        </w:rPr>
        <w:t>ד</w:t>
      </w:r>
      <w:r w:rsidRPr="009353CA">
        <w:rPr>
          <w:rtl/>
        </w:rPr>
        <w:t xml:space="preserve"> </w:t>
      </w:r>
      <w:r w:rsidRPr="009353CA">
        <w:rPr>
          <w:rFonts w:hint="eastAsia"/>
          <w:rtl/>
        </w:rPr>
        <w:t>מו</w:t>
      </w:r>
      <w:r w:rsidRPr="009353CA">
        <w:rPr>
          <w:rtl/>
        </w:rPr>
        <w:t>(2)</w:t>
      </w:r>
      <w:r w:rsidRPr="009353CA">
        <w:rPr>
          <w:rFonts w:hint="cs"/>
          <w:rtl/>
        </w:rPr>
        <w:t xml:space="preserve"> 1, 11-10 (1991); </w:t>
      </w:r>
      <w:r w:rsidRPr="009353CA">
        <w:rPr>
          <w:rFonts w:hint="eastAsia"/>
          <w:rtl/>
        </w:rPr>
        <w:t>בג</w:t>
      </w:r>
      <w:r w:rsidRPr="009353CA">
        <w:rPr>
          <w:rFonts w:hint="cs"/>
          <w:rtl/>
        </w:rPr>
        <w:t>"</w:t>
      </w:r>
      <w:r w:rsidRPr="009353CA">
        <w:rPr>
          <w:rFonts w:hint="eastAsia"/>
          <w:rtl/>
        </w:rPr>
        <w:t>ץ</w:t>
      </w:r>
      <w:r w:rsidRPr="009353CA">
        <w:rPr>
          <w:rtl/>
        </w:rPr>
        <w:t xml:space="preserve"> 2819/09 ‏</w:t>
      </w:r>
      <w:r w:rsidRPr="008E563E">
        <w:rPr>
          <w:rFonts w:ascii="Century" w:hAnsi="Century" w:cs="Miriam" w:hint="cs"/>
          <w:b/>
          <w:spacing w:val="0"/>
          <w:sz w:val="22"/>
          <w:szCs w:val="24"/>
          <w:rtl/>
        </w:rPr>
        <w:t>פ</w:t>
      </w:r>
      <w:r w:rsidRPr="008E563E">
        <w:rPr>
          <w:rFonts w:ascii="Century" w:hAnsi="Century" w:cs="Miriam" w:hint="eastAsia"/>
          <w:b/>
          <w:spacing w:val="0"/>
          <w:sz w:val="22"/>
          <w:szCs w:val="24"/>
          <w:rtl/>
        </w:rPr>
        <w:t>לונית</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נ</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ביה</w:t>
      </w:r>
      <w:r w:rsidRPr="008E563E">
        <w:rPr>
          <w:rFonts w:ascii="Century" w:hAnsi="Century" w:cs="Miriam"/>
          <w:b/>
          <w:spacing w:val="0"/>
          <w:sz w:val="22"/>
          <w:szCs w:val="24"/>
          <w:rtl/>
        </w:rPr>
        <w:t>"</w:t>
      </w:r>
      <w:r w:rsidRPr="008E563E">
        <w:rPr>
          <w:rFonts w:ascii="Century" w:hAnsi="Century" w:cs="Miriam" w:hint="eastAsia"/>
          <w:b/>
          <w:spacing w:val="0"/>
          <w:sz w:val="22"/>
          <w:szCs w:val="24"/>
          <w:rtl/>
        </w:rPr>
        <w:t>ד</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הרבני</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הגדו</w:t>
      </w:r>
      <w:r w:rsidRPr="008E563E">
        <w:rPr>
          <w:rFonts w:ascii="Century" w:hAnsi="Century" w:cs="Miriam" w:hint="cs"/>
          <w:b/>
          <w:spacing w:val="0"/>
          <w:sz w:val="22"/>
          <w:szCs w:val="24"/>
          <w:rtl/>
        </w:rPr>
        <w:t>ל</w:t>
      </w:r>
      <w:r w:rsidRPr="009353CA">
        <w:rPr>
          <w:rFonts w:hint="cs"/>
          <w:rtl/>
        </w:rPr>
        <w:t xml:space="preserve">, פסקה ט (13.7.2009); </w:t>
      </w:r>
      <w:r w:rsidRPr="009353CA">
        <w:rPr>
          <w:rFonts w:hint="eastAsia"/>
          <w:rtl/>
        </w:rPr>
        <w:t>בג</w:t>
      </w:r>
      <w:r w:rsidRPr="009353CA">
        <w:rPr>
          <w:rtl/>
        </w:rPr>
        <w:t>"</w:t>
      </w:r>
      <w:r w:rsidRPr="009353CA">
        <w:rPr>
          <w:rFonts w:hint="eastAsia"/>
          <w:rtl/>
        </w:rPr>
        <w:t>ץ</w:t>
      </w:r>
      <w:r w:rsidRPr="009353CA">
        <w:rPr>
          <w:rtl/>
        </w:rPr>
        <w:t xml:space="preserve"> 4549/10 </w:t>
      </w:r>
      <w:r w:rsidRPr="008E563E">
        <w:rPr>
          <w:rFonts w:ascii="Century" w:hAnsi="Century" w:cs="Miriam" w:hint="eastAsia"/>
          <w:b/>
          <w:spacing w:val="0"/>
          <w:sz w:val="22"/>
          <w:szCs w:val="24"/>
          <w:rtl/>
        </w:rPr>
        <w:t>פלוני</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נ</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בית</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הדין</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הרבני</w:t>
      </w:r>
      <w:r w:rsidRPr="008E563E">
        <w:rPr>
          <w:rFonts w:ascii="Century" w:hAnsi="Century" w:cs="Miriam"/>
          <w:b/>
          <w:spacing w:val="0"/>
          <w:sz w:val="22"/>
          <w:szCs w:val="24"/>
          <w:rtl/>
        </w:rPr>
        <w:t xml:space="preserve"> </w:t>
      </w:r>
      <w:r w:rsidRPr="008E563E">
        <w:rPr>
          <w:rFonts w:ascii="Century" w:hAnsi="Century" w:cs="Miriam" w:hint="eastAsia"/>
          <w:b/>
          <w:spacing w:val="0"/>
          <w:sz w:val="22"/>
          <w:szCs w:val="24"/>
          <w:rtl/>
        </w:rPr>
        <w:t>הגדול</w:t>
      </w:r>
      <w:r w:rsidRPr="009353CA">
        <w:rPr>
          <w:rFonts w:hint="cs"/>
          <w:rtl/>
        </w:rPr>
        <w:t>, פסקאות 5-4 (17.6.2010)).</w:t>
      </w:r>
    </w:p>
    <w:p w:rsidR="00917458" w:rsidRPr="00796634" w:rsidRDefault="00917458" w:rsidP="00917458">
      <w:pPr>
        <w:pStyle w:val="Ruller41"/>
        <w:rPr>
          <w:rtl/>
        </w:rPr>
      </w:pPr>
    </w:p>
    <w:p w:rsidR="00917458" w:rsidRDefault="00917458" w:rsidP="00917458">
      <w:pPr>
        <w:pStyle w:val="Ruller4"/>
        <w:rPr>
          <w:rtl/>
        </w:rPr>
      </w:pPr>
      <w:r w:rsidRPr="009353CA">
        <w:rPr>
          <w:rFonts w:hint="cs"/>
          <w:rtl/>
        </w:rPr>
        <w:t xml:space="preserve">במקרה דנן, חומר הראיות אשר נפרש בפני בתי הדין הרבניים </w:t>
      </w:r>
      <w:r w:rsidRPr="009353CA">
        <w:rPr>
          <w:rtl/>
        </w:rPr>
        <w:t>–</w:t>
      </w:r>
      <w:r w:rsidRPr="009353CA">
        <w:rPr>
          <w:rFonts w:hint="cs"/>
          <w:rtl/>
        </w:rPr>
        <w:t xml:space="preserve"> האזורי והגדול </w:t>
      </w:r>
      <w:r w:rsidRPr="009353CA">
        <w:rPr>
          <w:rtl/>
        </w:rPr>
        <w:t>–</w:t>
      </w:r>
      <w:r w:rsidRPr="009353CA">
        <w:rPr>
          <w:rFonts w:hint="cs"/>
          <w:rtl/>
        </w:rPr>
        <w:t xml:space="preserve"> הכיל בתוכו ראיות אשר הצביעו על כוונתו של המשיב 3 </w:t>
      </w:r>
      <w:r w:rsidRPr="00E81B32">
        <w:rPr>
          <w:rFonts w:ascii="Century" w:hAnsi="Century" w:cs="Miriam" w:hint="cs"/>
          <w:b/>
          <w:spacing w:val="0"/>
          <w:sz w:val="22"/>
          <w:szCs w:val="24"/>
          <w:rtl/>
        </w:rPr>
        <w:t>שלא</w:t>
      </w:r>
      <w:r w:rsidRPr="009353CA">
        <w:rPr>
          <w:rFonts w:hint="cs"/>
          <w:rtl/>
        </w:rPr>
        <w:t xml:space="preserve"> לחלוק את </w:t>
      </w:r>
      <w:r>
        <w:rPr>
          <w:rFonts w:hint="cs"/>
          <w:rtl/>
        </w:rPr>
        <w:t>נכסו</w:t>
      </w:r>
      <w:r w:rsidRPr="009353CA">
        <w:rPr>
          <w:rFonts w:hint="cs"/>
          <w:rtl/>
        </w:rPr>
        <w:t xml:space="preserve"> האישי </w:t>
      </w:r>
      <w:r w:rsidRPr="009353CA">
        <w:rPr>
          <w:rtl/>
        </w:rPr>
        <w:t>–</w:t>
      </w:r>
      <w:r w:rsidRPr="009353CA">
        <w:rPr>
          <w:rFonts w:hint="cs"/>
          <w:rtl/>
        </w:rPr>
        <w:t xml:space="preserve"> הבית שבו עסקינן </w:t>
      </w:r>
      <w:r w:rsidRPr="009353CA">
        <w:rPr>
          <w:rtl/>
        </w:rPr>
        <w:t>–</w:t>
      </w:r>
      <w:r w:rsidRPr="009353CA">
        <w:rPr>
          <w:rFonts w:hint="cs"/>
          <w:rtl/>
        </w:rPr>
        <w:t xml:space="preserve"> עם אשתו, המבקשת</w:t>
      </w:r>
      <w:r>
        <w:rPr>
          <w:rFonts w:hint="cs"/>
          <w:rtl/>
        </w:rPr>
        <w:t xml:space="preserve">, בזמן שהשניים היו נשואים זה לזו. מאידך, חומר זה לא הכיל ראיות פוזיטיביות בעלות משקל מהן אפשר היה ללמוד על כוונת המשיב 3 לשתף את המבקשת בזכויותיו בבית, אותן הוא דאג לרשום על שמו בלבד. </w:t>
      </w:r>
      <w:r w:rsidRPr="009353CA">
        <w:rPr>
          <w:rFonts w:hint="cs"/>
          <w:rtl/>
        </w:rPr>
        <w:t xml:space="preserve">בנסיבות אלה, קביעתו של בית הדין הגדול כי המבקשת לא הוכיחה את כוונת השיתוף הנדרשת לפי דוקטרינת השיתוף הספציפי </w:t>
      </w:r>
      <w:r>
        <w:rPr>
          <w:rtl/>
        </w:rPr>
        <w:t>–</w:t>
      </w:r>
      <w:r>
        <w:rPr>
          <w:rFonts w:hint="cs"/>
          <w:rtl/>
        </w:rPr>
        <w:t xml:space="preserve"> בין אם אנחנו מסכימים עמה ובין אם לאו </w:t>
      </w:r>
      <w:r>
        <w:rPr>
          <w:rtl/>
        </w:rPr>
        <w:t>–</w:t>
      </w:r>
      <w:r>
        <w:rPr>
          <w:rFonts w:hint="cs"/>
          <w:rtl/>
        </w:rPr>
        <w:t xml:space="preserve">אמורה </w:t>
      </w:r>
      <w:r w:rsidRPr="009353CA">
        <w:rPr>
          <w:rFonts w:hint="cs"/>
          <w:rtl/>
        </w:rPr>
        <w:t>להיות סוף-פסוק אשר מסיים את ההתדיינות בנושא. בין קביעה כאמור לבין חומר הראיות יש זיקה רציונלית, ועל כן דין העתירה שהגישה נגדה המבקשת להידחות מניה וביה.</w:t>
      </w:r>
      <w:r>
        <w:rPr>
          <w:rFonts w:hint="cs"/>
          <w:rtl/>
        </w:rPr>
        <w:t xml:space="preserve"> </w:t>
      </w:r>
    </w:p>
    <w:p w:rsidR="00917458" w:rsidRPr="00AD5A7F" w:rsidRDefault="00917458" w:rsidP="00917458">
      <w:pPr>
        <w:pStyle w:val="Ruller41"/>
      </w:pPr>
    </w:p>
    <w:p w:rsidR="00917458" w:rsidRDefault="00917458" w:rsidP="00917458">
      <w:pPr>
        <w:pStyle w:val="Ruller4"/>
        <w:rPr>
          <w:rtl/>
        </w:rPr>
      </w:pPr>
      <w:r>
        <w:rPr>
          <w:rFonts w:hint="cs"/>
          <w:rtl/>
        </w:rPr>
        <w:t xml:space="preserve">לדעת הנשיאה, המבקשת הוכיחה את קיומה של כוונת השיתוף הנדרשת אצל המשיב 3. קביעתה זו של הנשיאה מנוגדת למסקנתו העובדתית של בית הדין הגדול. בדרכה אל המסקנה אשר שוללת את ממצאיו העובדתיים של בית הדין הגדול, הנשיאה ניתחה מחדש את הראיות שנפרשו בפני בתי הדין הרבניים, האזורי והגדול. סבורני כי זאת לא ניתן לעשות בגדרה של עתירה לבג"ץ; ובוודאי שלא ניתן לעשות כן בגדרו של דיון נוסף </w:t>
      </w:r>
      <w:r>
        <w:rPr>
          <w:rtl/>
        </w:rPr>
        <w:t>–</w:t>
      </w:r>
      <w:r>
        <w:rPr>
          <w:rFonts w:hint="cs"/>
          <w:rtl/>
        </w:rPr>
        <w:t xml:space="preserve"> הליך שנועד לבירורם של </w:t>
      </w:r>
      <w:r w:rsidRPr="00C96304">
        <w:rPr>
          <w:rFonts w:ascii="Century" w:hAnsi="Century" w:hint="cs"/>
          <w:sz w:val="22"/>
          <w:rtl/>
        </w:rPr>
        <w:t>עניינים משפטיים מובהקים</w:t>
      </w:r>
      <w:r>
        <w:rPr>
          <w:rFonts w:hint="cs"/>
          <w:rtl/>
        </w:rPr>
        <w:t xml:space="preserve"> בעלי חשיבות ציבורית-כללית, ולא לבדיקתה מחדש של מסכת עובדות פרטיקולריות כזאת או אחרת. </w:t>
      </w:r>
    </w:p>
    <w:p w:rsidR="00917458" w:rsidRPr="00215E1C" w:rsidRDefault="00917458" w:rsidP="00917458">
      <w:pPr>
        <w:pStyle w:val="Ruller41"/>
      </w:pPr>
    </w:p>
    <w:p w:rsidR="00917458" w:rsidRPr="00AD5A7F" w:rsidRDefault="00917458" w:rsidP="00917458">
      <w:pPr>
        <w:pStyle w:val="Ruller4"/>
        <w:rPr>
          <w:rtl/>
        </w:rPr>
      </w:pPr>
      <w:r>
        <w:rPr>
          <w:rFonts w:hint="cs"/>
          <w:rtl/>
        </w:rPr>
        <w:t xml:space="preserve">הנשיאה סבורה כי בית הדין הגדול החמיר עם נטל ההוכחה אשר חל על המבקשת, בין היתר, בכך שזקף לחובתה את אי-נאמנותה המינית לבן זוגה, המשיב 3. הנני רואה את הדברים אחרת. בית הדין קבע כי חומר הראיות מטה את כפות המאזניים לטובתה של תזת המשיב 3, לפיה הוא לא התכוון להקנות למבקשת שום זכויות-שיתוף בביתו שלו וממילא לא הקנה לה זכויות כאמור. המבקשת אמורה </w:t>
      </w:r>
      <w:proofErr w:type="spellStart"/>
      <w:r>
        <w:rPr>
          <w:rFonts w:hint="cs"/>
          <w:rtl/>
        </w:rPr>
        <w:t>היתה</w:t>
      </w:r>
      <w:proofErr w:type="spellEnd"/>
      <w:r>
        <w:rPr>
          <w:rFonts w:hint="cs"/>
          <w:rtl/>
        </w:rPr>
        <w:t xml:space="preserve"> להביא ראיות שתטינה את כפות המאזניים לטובתה. מה שהקשה על מאמצי המבקשת להרים את נטל ההוכחה הוא לא החמרת הנטל על ידי בית דין הגדול, אלא ראיותיו של המשיב 3 אשר </w:t>
      </w:r>
      <w:r>
        <w:rPr>
          <w:rFonts w:hint="cs"/>
          <w:rtl/>
        </w:rPr>
        <w:lastRenderedPageBreak/>
        <w:t xml:space="preserve">לחצו על כפות המאזניים. נטל ההוכחה שחל על המבקשת לא שונה ולא השתנה כהוא זה. מתחילת המשפט ועד סופו, נטל זה היה ונשאר כמות שהוא: הנטל להוכיח את הקניית זכויות-השיתוף בבית, המיוחסת למשיב 3, לפי מאזן ההסתברויות.     </w:t>
      </w:r>
    </w:p>
    <w:p w:rsidR="00917458" w:rsidRPr="009353CA" w:rsidRDefault="00917458" w:rsidP="00917458">
      <w:pPr>
        <w:pStyle w:val="Ruller41"/>
      </w:pPr>
    </w:p>
    <w:p w:rsidR="00917458" w:rsidRDefault="00917458" w:rsidP="00917458">
      <w:pPr>
        <w:pStyle w:val="Ruller4"/>
        <w:rPr>
          <w:rtl/>
        </w:rPr>
      </w:pPr>
      <w:r w:rsidRPr="009353CA">
        <w:rPr>
          <w:rFonts w:hint="cs"/>
          <w:rtl/>
        </w:rPr>
        <w:t xml:space="preserve">הנני מסכים עם קביעת הנשיאה בדבר העדר זיקה משפטית בין זכויותיה </w:t>
      </w:r>
      <w:proofErr w:type="spellStart"/>
      <w:r w:rsidRPr="009353CA">
        <w:rPr>
          <w:rFonts w:hint="cs"/>
          <w:rtl/>
        </w:rPr>
        <w:t>הרכושיות</w:t>
      </w:r>
      <w:proofErr w:type="spellEnd"/>
      <w:r w:rsidRPr="009353CA">
        <w:rPr>
          <w:rFonts w:hint="cs"/>
          <w:rtl/>
        </w:rPr>
        <w:t xml:space="preserve"> של בת זוג לבין נאמנותה המינית לבן זוגה. בין שני אלו לא קיימת שום תלות. כפי </w:t>
      </w:r>
      <w:proofErr w:type="spellStart"/>
      <w:r w:rsidRPr="009353CA">
        <w:rPr>
          <w:rFonts w:hint="cs"/>
          <w:rtl/>
        </w:rPr>
        <w:t>שצויין</w:t>
      </w:r>
      <w:proofErr w:type="spellEnd"/>
      <w:r w:rsidRPr="009353CA">
        <w:rPr>
          <w:rFonts w:hint="cs"/>
          <w:rtl/>
        </w:rPr>
        <w:t xml:space="preserve"> לעיל ובפסק דיני בהליך הקודם, זכויותיה </w:t>
      </w:r>
      <w:proofErr w:type="spellStart"/>
      <w:r w:rsidRPr="009353CA">
        <w:rPr>
          <w:rFonts w:hint="cs"/>
          <w:rtl/>
        </w:rPr>
        <w:t>הרכושיות</w:t>
      </w:r>
      <w:proofErr w:type="spellEnd"/>
      <w:r w:rsidRPr="009353CA">
        <w:rPr>
          <w:rFonts w:hint="cs"/>
          <w:rtl/>
        </w:rPr>
        <w:t xml:space="preserve"> של בת זוג לא תיגרענה כהוא זה מחמת בגידתה בבן זוגה במהלך הנישואין. ואולם, דברים אלו נכונים אך ורק לגבי זכויות בנות קיימא אשר כבר הוקנו והבשילו, להבדיל מזכויות אשר טרם השתכללו. באשר לזכויות שיתוף ברכושו האישי של בן הזוג שטרם השתכללו </w:t>
      </w:r>
      <w:r w:rsidRPr="009353CA">
        <w:rPr>
          <w:rtl/>
        </w:rPr>
        <w:t>–</w:t>
      </w:r>
      <w:r w:rsidRPr="009353CA">
        <w:rPr>
          <w:rFonts w:hint="cs"/>
          <w:rtl/>
        </w:rPr>
        <w:t xml:space="preserve"> במסגרת הדין הקיים, בן הזוג שבידו רכוש אישי רשאי לעשות בו כרצונו כל אימת שהוא שלו. כך מורים לנו עיקרון הבעלות והעיקרון הלא פחות חשוב של חופש החוזה </w:t>
      </w:r>
      <w:r w:rsidRPr="009353CA">
        <w:rPr>
          <w:rtl/>
        </w:rPr>
        <w:t>–</w:t>
      </w:r>
      <w:r w:rsidRPr="009353CA">
        <w:rPr>
          <w:rFonts w:hint="cs"/>
          <w:rtl/>
        </w:rPr>
        <w:t xml:space="preserve"> ואף זאת כבר הסברתי לעיל. בן הזוג בעל הרכוש האישי רשאי על כן להחליט שלא להקנות לבת זוגו שום חלק מאותו רכוש במקרה של בגידה</w:t>
      </w:r>
      <w:r>
        <w:rPr>
          <w:rFonts w:hint="cs"/>
          <w:rtl/>
        </w:rPr>
        <w:t>,</w:t>
      </w:r>
      <w:r w:rsidRPr="009353CA">
        <w:rPr>
          <w:rFonts w:hint="cs"/>
          <w:rtl/>
        </w:rPr>
        <w:t xml:space="preserve"> גם אם זו תתרחש אחרי שנות נישואין רבות וטובות. כוחה של החלטה זו יהא עמה כל אימת שהיא מתקבלת </w:t>
      </w:r>
      <w:r w:rsidRPr="00C86E74">
        <w:rPr>
          <w:rFonts w:ascii="Century" w:hAnsi="Century" w:cs="Miriam" w:hint="cs"/>
          <w:b/>
          <w:spacing w:val="0"/>
          <w:sz w:val="22"/>
          <w:szCs w:val="24"/>
          <w:rtl/>
        </w:rPr>
        <w:t>לפני</w:t>
      </w:r>
      <w:r w:rsidRPr="009353CA">
        <w:rPr>
          <w:rFonts w:hint="cs"/>
          <w:rtl/>
        </w:rPr>
        <w:t xml:space="preserve"> שהקניית זכויות השיתוף לבת הזוג הושלמה בהתאם לתנאיה של דוקטרינת השיתוף הספציפי. בתי המשפט ובתי הדין חייבים לכבד ולאכוף החלטות כאמור </w:t>
      </w:r>
      <w:r w:rsidRPr="00C86E74">
        <w:rPr>
          <w:rFonts w:ascii="Century" w:hAnsi="Century" w:cs="Miriam" w:hint="cs"/>
          <w:b/>
          <w:spacing w:val="0"/>
          <w:sz w:val="22"/>
          <w:szCs w:val="24"/>
          <w:rtl/>
        </w:rPr>
        <w:t>כמות שהן</w:t>
      </w:r>
      <w:r w:rsidRPr="009353CA">
        <w:rPr>
          <w:rFonts w:hint="cs"/>
          <w:rtl/>
        </w:rPr>
        <w:t>, ללא תוספות</w:t>
      </w:r>
      <w:r>
        <w:rPr>
          <w:rFonts w:hint="cs"/>
          <w:rtl/>
        </w:rPr>
        <w:t xml:space="preserve"> ו</w:t>
      </w:r>
      <w:r w:rsidRPr="009353CA">
        <w:rPr>
          <w:rFonts w:hint="cs"/>
          <w:rtl/>
        </w:rPr>
        <w:t>ללא שינויים</w:t>
      </w:r>
      <w:r>
        <w:rPr>
          <w:rFonts w:hint="cs"/>
          <w:rtl/>
        </w:rPr>
        <w:t xml:space="preserve">. </w:t>
      </w:r>
    </w:p>
    <w:p w:rsidR="00917458" w:rsidRPr="00745BE4" w:rsidRDefault="00917458" w:rsidP="00917458">
      <w:pPr>
        <w:pStyle w:val="Ruller41"/>
      </w:pPr>
    </w:p>
    <w:p w:rsidR="00917458" w:rsidRDefault="00917458" w:rsidP="00917458">
      <w:pPr>
        <w:pStyle w:val="Ruller4"/>
        <w:rPr>
          <w:rtl/>
        </w:rPr>
      </w:pPr>
      <w:r>
        <w:rPr>
          <w:rFonts w:hint="cs"/>
          <w:rtl/>
        </w:rPr>
        <w:t xml:space="preserve">נראה כי בעניין זה הנשיאה ואנוכי איננו מסכימים זו עם זה. לדעת הנשיאה, מן הדין לאסור על אכיפתו של תנאי מכללא במסגרת יחסים בין בני זוג אשר בא למחוק את כוונתו ולאיין את תכניתו של בן הזוג בעל הרכוש האישי לחלוק את רכושו עם בת זוגו אם זו לא תהא נאמנה לו מינית. הנשיאה סבורה כי מתן גושפנקא לתנאי מכללא כאמור </w:t>
      </w:r>
      <w:r>
        <w:rPr>
          <w:rtl/>
        </w:rPr>
        <w:t>–</w:t>
      </w:r>
      <w:r>
        <w:rPr>
          <w:rFonts w:hint="cs"/>
          <w:rtl/>
        </w:rPr>
        <w:t xml:space="preserve"> להבדיל מהסכמה הדדית מפורשת </w:t>
      </w:r>
      <w:r>
        <w:rPr>
          <w:rtl/>
        </w:rPr>
        <w:t>–</w:t>
      </w:r>
      <w:r>
        <w:rPr>
          <w:rFonts w:hint="cs"/>
          <w:rtl/>
        </w:rPr>
        <w:t xml:space="preserve"> הוא דבר פסול באשר הוא מאפשר לבן הזוג בעל הרכוש האישי למשטר (במובן של </w:t>
      </w:r>
      <w:r w:rsidRPr="00BC3A44">
        <w:rPr>
          <w:rFonts w:asciiTheme="majorBidi" w:hAnsiTheme="majorBidi" w:cstheme="majorBidi"/>
        </w:rPr>
        <w:t>polic</w:t>
      </w:r>
      <w:r>
        <w:rPr>
          <w:rFonts w:asciiTheme="majorBidi" w:hAnsiTheme="majorBidi" w:cstheme="majorBidi"/>
        </w:rPr>
        <w:t>ing</w:t>
      </w:r>
      <w:r>
        <w:rPr>
          <w:rFonts w:hint="cs"/>
          <w:rtl/>
        </w:rPr>
        <w:t xml:space="preserve">) את פעולותיה של בת זוגו ולהכתיב לה את דרכי ההתנהגות הרצויות מבחינתו.  </w:t>
      </w:r>
    </w:p>
    <w:p w:rsidR="00917458" w:rsidRPr="00BC3A44" w:rsidRDefault="00917458" w:rsidP="00917458">
      <w:pPr>
        <w:pStyle w:val="Ruller41"/>
      </w:pPr>
    </w:p>
    <w:p w:rsidR="00917458" w:rsidRDefault="00917458" w:rsidP="00917458">
      <w:pPr>
        <w:pStyle w:val="Ruller4"/>
        <w:rPr>
          <w:rtl/>
        </w:rPr>
      </w:pPr>
      <w:r>
        <w:rPr>
          <w:rFonts w:hint="cs"/>
          <w:rtl/>
        </w:rPr>
        <w:t xml:space="preserve">על דעה זו אבקש, בכל הכבוד והיקר, לחלוק. בהקשר זה, אשוב ואציין את מושכלת היסוד שקיבלה ביטוי סטטוטורי מפורש בסעיפים 4 ו-5 לחוק יחסי ממון: </w:t>
      </w:r>
      <w:r w:rsidRPr="0017609A">
        <w:rPr>
          <w:rFonts w:ascii="Century" w:hAnsi="Century" w:cs="Miriam" w:hint="cs"/>
          <w:b/>
          <w:spacing w:val="0"/>
          <w:sz w:val="22"/>
          <w:szCs w:val="24"/>
          <w:rtl/>
        </w:rPr>
        <w:t xml:space="preserve">אדם מתחתן עם בן או </w:t>
      </w:r>
      <w:r>
        <w:rPr>
          <w:rFonts w:ascii="Century" w:hAnsi="Century" w:cs="Miriam" w:hint="cs"/>
          <w:b/>
          <w:spacing w:val="0"/>
          <w:sz w:val="22"/>
          <w:szCs w:val="24"/>
          <w:rtl/>
        </w:rPr>
        <w:t xml:space="preserve">עם </w:t>
      </w:r>
      <w:r w:rsidRPr="0017609A">
        <w:rPr>
          <w:rFonts w:ascii="Century" w:hAnsi="Century" w:cs="Miriam" w:hint="cs"/>
          <w:b/>
          <w:spacing w:val="0"/>
          <w:sz w:val="22"/>
          <w:szCs w:val="24"/>
          <w:rtl/>
        </w:rPr>
        <w:t xml:space="preserve">בת זוגו, ולא עם רכושו או עם רכושה של </w:t>
      </w:r>
      <w:r>
        <w:rPr>
          <w:rFonts w:ascii="Century" w:hAnsi="Century" w:cs="Miriam" w:hint="cs"/>
          <w:b/>
          <w:spacing w:val="0"/>
          <w:sz w:val="22"/>
          <w:szCs w:val="24"/>
          <w:rtl/>
        </w:rPr>
        <w:t xml:space="preserve">אותו </w:t>
      </w:r>
      <w:r w:rsidRPr="0017609A">
        <w:rPr>
          <w:rFonts w:ascii="Century" w:hAnsi="Century" w:cs="Miriam" w:hint="cs"/>
          <w:b/>
          <w:spacing w:val="0"/>
          <w:sz w:val="22"/>
          <w:szCs w:val="24"/>
          <w:rtl/>
        </w:rPr>
        <w:t>בן או בת הזוג</w:t>
      </w:r>
      <w:r>
        <w:rPr>
          <w:rFonts w:hint="cs"/>
          <w:rtl/>
        </w:rPr>
        <w:t xml:space="preserve">. בן הזוג שקיבל על עצמו </w:t>
      </w:r>
      <w:r>
        <w:rPr>
          <w:rtl/>
        </w:rPr>
        <w:t>–</w:t>
      </w:r>
      <w:r>
        <w:rPr>
          <w:rFonts w:hint="cs"/>
          <w:rtl/>
        </w:rPr>
        <w:t xml:space="preserve"> כפי שהוא חייב לקבל על עצמו </w:t>
      </w:r>
      <w:r>
        <w:rPr>
          <w:rtl/>
        </w:rPr>
        <w:t>–</w:t>
      </w:r>
      <w:r>
        <w:rPr>
          <w:rFonts w:hint="cs"/>
          <w:rtl/>
        </w:rPr>
        <w:t xml:space="preserve"> מושכלת יסוד זו בכל הקשור לרכושה האישי של בת זוגו לא יכול אפוא להיות </w:t>
      </w:r>
      <w:proofErr w:type="spellStart"/>
      <w:r>
        <w:rPr>
          <w:rFonts w:hint="cs"/>
          <w:rtl/>
        </w:rPr>
        <w:t>ממושטר</w:t>
      </w:r>
      <w:proofErr w:type="spellEnd"/>
      <w:r>
        <w:rPr>
          <w:rFonts w:hint="cs"/>
          <w:rtl/>
        </w:rPr>
        <w:t xml:space="preserve"> על ידי בת הזוג העשירה ממנו. מי שאין לו שום זכות מוקנית לקבל חלק כלשהו מהרכוש האישי של בן או בת זוגו לא ימצא את עצמו תחת משטור, וחירותו האישית לא תגרע. מצב של משטוּר אליו מתייחסת </w:t>
      </w:r>
      <w:r>
        <w:rPr>
          <w:rFonts w:hint="cs"/>
          <w:rtl/>
        </w:rPr>
        <w:lastRenderedPageBreak/>
        <w:t xml:space="preserve">הנשיאה יכול להיווצר רק כחלק מההבנות ההדדיות שבין בני הזוג ומדפוס חייהם כזוג נשוי. בבואה לקבוע כלל משפטי אשר יבטל את הבנתם המשותפת והבלתי כתובה של בני זוג לפיה במקרה של בגידה בן הזוג הבוגד לא יקבל שום חלק מרכושה האישי של בת זוגו, הנשיאה נותנת גושפנקא להתערבות המדינה </w:t>
      </w:r>
      <w:r>
        <w:rPr>
          <w:rtl/>
        </w:rPr>
        <w:t>–</w:t>
      </w:r>
      <w:r>
        <w:rPr>
          <w:rFonts w:hint="cs"/>
          <w:rtl/>
        </w:rPr>
        <w:t xml:space="preserve"> באמצעות בתי המשפט שלה </w:t>
      </w:r>
      <w:r>
        <w:rPr>
          <w:rtl/>
        </w:rPr>
        <w:t>–</w:t>
      </w:r>
      <w:r>
        <w:rPr>
          <w:rFonts w:hint="cs"/>
          <w:rtl/>
        </w:rPr>
        <w:t xml:space="preserve"> בחיים זוגיים, תוך הפיכת נטל-ההוכחה אשר חל על התובע מכוחה של דוקטרינת השיתוף הספציפי ותוך נקיטת עמדה ערכית מובהקת באשר לנכון והלא נכון לכלל בני הזוג בישראל. </w:t>
      </w:r>
    </w:p>
    <w:p w:rsidR="00917458" w:rsidRPr="00C36EF7" w:rsidRDefault="00917458" w:rsidP="00917458">
      <w:pPr>
        <w:pStyle w:val="Ruller41"/>
      </w:pPr>
    </w:p>
    <w:p w:rsidR="00917458" w:rsidRDefault="00917458" w:rsidP="00917458">
      <w:pPr>
        <w:pStyle w:val="Ruller4"/>
        <w:rPr>
          <w:rtl/>
        </w:rPr>
      </w:pPr>
      <w:r>
        <w:rPr>
          <w:rFonts w:hint="cs"/>
          <w:rtl/>
        </w:rPr>
        <w:t xml:space="preserve">דעתי היא, בכל הכבוד, כי אי-מתן תוקף לתנאי מכללא כאמור מתנגש בעקרונות היסוד של שיטתנו ובראשם חירות אישית, חופש החוזה, קדושת הקניין הפרטי וכיבוד הרב-גוניות וחופש הבחירה של הפרט בעניינים של תרבות, אמונה, זוגיות ומשפחה. מוסד הנישואין הרשמי, באשר הוא מעוצב על ידי המדינה לפי טעמה שלה, נמצא במתח מתמיד עם ערכים בסיסיים אלה. פרופ' תמרה </w:t>
      </w:r>
      <w:proofErr w:type="spellStart"/>
      <w:r>
        <w:rPr>
          <w:rFonts w:hint="cs"/>
          <w:rtl/>
        </w:rPr>
        <w:t>מטץ</w:t>
      </w:r>
      <w:proofErr w:type="spellEnd"/>
      <w:r>
        <w:rPr>
          <w:rFonts w:hint="cs"/>
          <w:rtl/>
        </w:rPr>
        <w:t xml:space="preserve"> הטיבה לתאר ולהסביר מתח זה בספרה על מוסד הנישואין, בכותבה כך: </w:t>
      </w:r>
    </w:p>
    <w:p w:rsidR="00917458" w:rsidRPr="009744B1" w:rsidRDefault="00917458" w:rsidP="00917458">
      <w:pPr>
        <w:pStyle w:val="Ruller41"/>
        <w:rPr>
          <w:rtl/>
        </w:rPr>
      </w:pPr>
    </w:p>
    <w:p w:rsidR="00917458" w:rsidRDefault="00917458" w:rsidP="00917458">
      <w:pPr>
        <w:pStyle w:val="Ruller5"/>
        <w:bidi w:val="0"/>
      </w:pPr>
      <w:r>
        <w:rPr>
          <w:rFonts w:asciiTheme="majorBidi" w:hAnsiTheme="majorBidi" w:cstheme="majorBidi"/>
          <w:sz w:val="24"/>
          <w:szCs w:val="24"/>
        </w:rPr>
        <w:t>“</w:t>
      </w:r>
      <w:r w:rsidRPr="003E1AE3">
        <w:rPr>
          <w:rFonts w:asciiTheme="majorBidi" w:hAnsiTheme="majorBidi" w:cstheme="majorBidi"/>
          <w:sz w:val="24"/>
          <w:szCs w:val="24"/>
        </w:rPr>
        <w:t>[T]he establishment of marriage flirts with violating liberalism’s most basic values. Because citizens disagree deeply about what marriage is and because families assume such diverse forms, the arrangement would appear to threaten equality, both formal (before the law) and substantive (within and among families and cultures). Liberty too is threatened: because the arrangement draws the state into the most intimate corners of citizens</w:t>
      </w:r>
      <w:r>
        <w:rPr>
          <w:rFonts w:asciiTheme="majorBidi" w:hAnsiTheme="majorBidi" w:cstheme="majorBidi"/>
          <w:sz w:val="24"/>
          <w:szCs w:val="24"/>
        </w:rPr>
        <w:t>’</w:t>
      </w:r>
      <w:r w:rsidRPr="003E1AE3">
        <w:rPr>
          <w:rFonts w:asciiTheme="majorBidi" w:hAnsiTheme="majorBidi" w:cstheme="majorBidi"/>
          <w:sz w:val="24"/>
          <w:szCs w:val="24"/>
        </w:rPr>
        <w:t xml:space="preserve"> lives (family and sexual life, religious and cultural value systems) and effectively privileges some views of the good life while punishing others, the establishment of marriage threatens freedoms of conscience, expression, and association.</w:t>
      </w:r>
      <w:r>
        <w:rPr>
          <w:rFonts w:asciiTheme="majorBidi" w:hAnsiTheme="majorBidi" w:cstheme="majorBidi"/>
          <w:sz w:val="24"/>
          <w:szCs w:val="24"/>
        </w:rPr>
        <w:t xml:space="preserve">” </w:t>
      </w:r>
    </w:p>
    <w:p w:rsidR="00917458" w:rsidRDefault="00917458" w:rsidP="00917458">
      <w:pPr>
        <w:pStyle w:val="Ruller5"/>
        <w:bidi w:val="0"/>
      </w:pPr>
    </w:p>
    <w:p w:rsidR="00917458" w:rsidRDefault="00917458" w:rsidP="00917458">
      <w:pPr>
        <w:pStyle w:val="Ruller5"/>
        <w:bidi w:val="0"/>
        <w:rPr>
          <w:rFonts w:asciiTheme="majorBidi" w:hAnsiTheme="majorBidi" w:cstheme="majorBidi"/>
          <w:sz w:val="24"/>
          <w:szCs w:val="24"/>
        </w:rPr>
      </w:pPr>
      <w:r w:rsidRPr="003F4016">
        <w:rPr>
          <w:rFonts w:asciiTheme="majorBidi" w:hAnsiTheme="majorBidi" w:cstheme="majorBidi"/>
          <w:smallCaps/>
          <w:sz w:val="24"/>
          <w:szCs w:val="24"/>
        </w:rPr>
        <w:t>Tamara Metz, Untying the Knot: Marriage, the State, and the Case for Their Divorce</w:t>
      </w:r>
      <w:r w:rsidRPr="003F4016">
        <w:rPr>
          <w:rFonts w:asciiTheme="majorBidi" w:hAnsiTheme="majorBidi" w:cstheme="majorBidi"/>
          <w:sz w:val="24"/>
          <w:szCs w:val="24"/>
        </w:rPr>
        <w:t xml:space="preserve"> 7 (2010).</w:t>
      </w:r>
    </w:p>
    <w:p w:rsidR="00917458" w:rsidRPr="003F4016" w:rsidRDefault="00917458" w:rsidP="00917458">
      <w:pPr>
        <w:pStyle w:val="Ruller5"/>
        <w:bidi w:val="0"/>
        <w:spacing w:line="480" w:lineRule="auto"/>
        <w:rPr>
          <w:rFonts w:asciiTheme="majorBidi" w:hAnsiTheme="majorBidi" w:cstheme="majorBidi"/>
          <w:sz w:val="24"/>
          <w:szCs w:val="24"/>
        </w:rPr>
      </w:pPr>
    </w:p>
    <w:p w:rsidR="00917458" w:rsidRDefault="00917458" w:rsidP="00917458">
      <w:pPr>
        <w:pStyle w:val="Ruller4"/>
        <w:rPr>
          <w:rtl/>
        </w:rPr>
      </w:pPr>
      <w:r>
        <w:rPr>
          <w:rFonts w:hint="cs"/>
          <w:rtl/>
        </w:rPr>
        <w:t xml:space="preserve">סבורני כי עלינו להימנע מלהגביר ולהעצים מתח זה על ידי יצירת כללים שנותנים מעמד מועדף למערכת ערכים כזאת או אחרת. </w:t>
      </w:r>
    </w:p>
    <w:p w:rsidR="00917458" w:rsidRPr="00B83A01" w:rsidRDefault="00917458" w:rsidP="00917458">
      <w:pPr>
        <w:pStyle w:val="Ruller41"/>
      </w:pPr>
    </w:p>
    <w:p w:rsidR="00917458" w:rsidRDefault="00917458" w:rsidP="00917458">
      <w:pPr>
        <w:pStyle w:val="Ruller4"/>
        <w:rPr>
          <w:rtl/>
        </w:rPr>
      </w:pPr>
      <w:r>
        <w:rPr>
          <w:rFonts w:hint="cs"/>
          <w:rtl/>
        </w:rPr>
        <w:t xml:space="preserve">מטעם זה ומסיבות נוספות שמניתי לעיל, הנני סבור כי טוב נעשה אם נמשוך את ידינו ממערכות יחסים בין בני זוג וכן מן ההסכמות והמוסכמות השונות אשר מערכות </w:t>
      </w:r>
      <w:r>
        <w:rPr>
          <w:rFonts w:hint="cs"/>
          <w:rtl/>
        </w:rPr>
        <w:lastRenderedPageBreak/>
        <w:t xml:space="preserve">אלו מגבשות, בין במפורש ובין במשתמע, באשר לניהול החיים הזוגיים המשלבים בתוכם, בין היתר, אינטימיות ורכוש. </w:t>
      </w:r>
      <w:r w:rsidRPr="009353CA">
        <w:rPr>
          <w:rFonts w:hint="cs"/>
          <w:rtl/>
        </w:rPr>
        <w:t xml:space="preserve">כל זוג יחיה לפי אמונותיו, לפי הבנותיו, ולפי כלליו באשר לרכוש האישי </w:t>
      </w:r>
      <w:r w:rsidRPr="009353CA">
        <w:rPr>
          <w:rtl/>
        </w:rPr>
        <w:t>–</w:t>
      </w:r>
      <w:r w:rsidRPr="009353CA">
        <w:rPr>
          <w:rFonts w:hint="cs"/>
          <w:rtl/>
        </w:rPr>
        <w:t xml:space="preserve"> ובאלו לא נתערב. התערבות כאמור היא בגדר חדירה בלתי מותרת של המדינה אל תוך המרחב הפרטי אשר נשלט ומנוהל על ידי אוטונומיה אישית</w:t>
      </w:r>
      <w:r>
        <w:rPr>
          <w:rFonts w:hint="cs"/>
          <w:rtl/>
        </w:rPr>
        <w:t>, תרבותית</w:t>
      </w:r>
      <w:r w:rsidRPr="009353CA">
        <w:rPr>
          <w:rFonts w:hint="cs"/>
          <w:rtl/>
        </w:rPr>
        <w:t xml:space="preserve"> וזוגית </w:t>
      </w:r>
      <w:r w:rsidRPr="009353CA">
        <w:rPr>
          <w:rtl/>
        </w:rPr>
        <w:t>–</w:t>
      </w:r>
      <w:r w:rsidRPr="009353CA">
        <w:rPr>
          <w:rFonts w:hint="cs"/>
          <w:rtl/>
        </w:rPr>
        <w:t xml:space="preserve"> זכות יסוד שראויה להגנה חוקתית. משטרנו המשפטי אינו מקנה למדינה, לשופטיה ולדייניה את הסמכות להכתיב לאזרחיות ולאזרחים את הדפוסים "הנכונים" של חיים זוגיים ושל שיתוף זוגי; וטוב שכך (ראו והשוו: </w:t>
      </w:r>
      <w:r w:rsidRPr="00B83A01">
        <w:rPr>
          <w:rFonts w:asciiTheme="majorBidi" w:hAnsiTheme="majorBidi" w:cstheme="majorBidi"/>
        </w:rPr>
        <w:t xml:space="preserve">Cleveland Bd. of Educ. v. </w:t>
      </w:r>
      <w:proofErr w:type="spellStart"/>
      <w:r w:rsidRPr="00B83A01">
        <w:rPr>
          <w:rFonts w:asciiTheme="majorBidi" w:hAnsiTheme="majorBidi" w:cstheme="majorBidi"/>
        </w:rPr>
        <w:t>LaFleur</w:t>
      </w:r>
      <w:proofErr w:type="spellEnd"/>
      <w:r w:rsidRPr="00B83A01">
        <w:rPr>
          <w:rFonts w:asciiTheme="majorBidi" w:hAnsiTheme="majorBidi" w:cstheme="majorBidi"/>
        </w:rPr>
        <w:t>, 414 U.S. 632, 639-640 (1974) (“This Court has long recognized that freedom of personal choice in matters of marriage and family life is one of the liberties protected by the Due Process Clause of the Fourteenth Amendment.</w:t>
      </w:r>
      <w:r w:rsidRPr="00B83A01">
        <w:rPr>
          <w:rFonts w:asciiTheme="majorBidi" w:hAnsiTheme="majorBidi" w:cstheme="majorBidi"/>
          <w:szCs w:val="24"/>
        </w:rPr>
        <w:t>”</w:t>
      </w:r>
      <w:r w:rsidRPr="00B83A01">
        <w:rPr>
          <w:szCs w:val="24"/>
        </w:rPr>
        <w:t>)</w:t>
      </w:r>
      <w:r w:rsidRPr="009353CA">
        <w:rPr>
          <w:rFonts w:hint="cs"/>
          <w:rtl/>
        </w:rPr>
        <w:t xml:space="preserve">; </w:t>
      </w:r>
      <w:r w:rsidRPr="009353CA">
        <w:rPr>
          <w:rFonts w:hint="eastAsia"/>
          <w:rtl/>
        </w:rPr>
        <w:t>ע</w:t>
      </w:r>
      <w:r w:rsidRPr="009353CA">
        <w:rPr>
          <w:rtl/>
        </w:rPr>
        <w:t>"</w:t>
      </w:r>
      <w:r w:rsidRPr="009353CA">
        <w:rPr>
          <w:rFonts w:hint="eastAsia"/>
          <w:rtl/>
        </w:rPr>
        <w:t>א</w:t>
      </w:r>
      <w:r w:rsidRPr="009353CA">
        <w:rPr>
          <w:rtl/>
        </w:rPr>
        <w:t xml:space="preserve"> 4374/98‏ </w:t>
      </w:r>
      <w:r w:rsidRPr="00B83A01">
        <w:rPr>
          <w:rFonts w:ascii="Century" w:hAnsi="Century" w:cs="Miriam" w:hint="eastAsia"/>
          <w:b/>
          <w:spacing w:val="0"/>
          <w:sz w:val="22"/>
          <w:szCs w:val="24"/>
          <w:rtl/>
        </w:rPr>
        <w:t>עצמון</w:t>
      </w:r>
      <w:r w:rsidRPr="00B83A01">
        <w:rPr>
          <w:rFonts w:ascii="Century" w:hAnsi="Century" w:cs="Miriam"/>
          <w:b/>
          <w:spacing w:val="0"/>
          <w:sz w:val="22"/>
          <w:szCs w:val="24"/>
          <w:rtl/>
        </w:rPr>
        <w:t xml:space="preserve"> </w:t>
      </w:r>
      <w:r w:rsidRPr="00B83A01">
        <w:rPr>
          <w:rFonts w:ascii="Century" w:hAnsi="Century" w:cs="Miriam" w:hint="eastAsia"/>
          <w:b/>
          <w:spacing w:val="0"/>
          <w:sz w:val="22"/>
          <w:szCs w:val="24"/>
          <w:rtl/>
        </w:rPr>
        <w:t>נ</w:t>
      </w:r>
      <w:r w:rsidRPr="00B83A01">
        <w:rPr>
          <w:rFonts w:ascii="Century" w:hAnsi="Century" w:cs="Miriam"/>
          <w:b/>
          <w:spacing w:val="0"/>
          <w:sz w:val="22"/>
          <w:szCs w:val="24"/>
          <w:rtl/>
        </w:rPr>
        <w:t xml:space="preserve">' </w:t>
      </w:r>
      <w:proofErr w:type="spellStart"/>
      <w:r w:rsidRPr="00B83A01">
        <w:rPr>
          <w:rFonts w:ascii="Century" w:hAnsi="Century" w:cs="Miriam" w:hint="eastAsia"/>
          <w:b/>
          <w:spacing w:val="0"/>
          <w:sz w:val="22"/>
          <w:szCs w:val="24"/>
          <w:rtl/>
        </w:rPr>
        <w:t>רפ</w:t>
      </w:r>
      <w:proofErr w:type="spellEnd"/>
      <w:r w:rsidRPr="009353CA">
        <w:rPr>
          <w:rtl/>
        </w:rPr>
        <w:t xml:space="preserve">, </w:t>
      </w:r>
      <w:r w:rsidRPr="009353CA">
        <w:rPr>
          <w:rFonts w:hint="eastAsia"/>
          <w:rtl/>
        </w:rPr>
        <w:t>פ</w:t>
      </w:r>
      <w:r>
        <w:rPr>
          <w:rFonts w:hint="cs"/>
          <w:rtl/>
        </w:rPr>
        <w:t>"</w:t>
      </w:r>
      <w:r w:rsidRPr="009353CA">
        <w:rPr>
          <w:rFonts w:hint="eastAsia"/>
          <w:rtl/>
        </w:rPr>
        <w:t>ד</w:t>
      </w:r>
      <w:r w:rsidRPr="009353CA">
        <w:rPr>
          <w:rtl/>
        </w:rPr>
        <w:t xml:space="preserve"> </w:t>
      </w:r>
      <w:proofErr w:type="spellStart"/>
      <w:r w:rsidRPr="009353CA">
        <w:rPr>
          <w:rFonts w:hint="eastAsia"/>
          <w:rtl/>
        </w:rPr>
        <w:t>נז</w:t>
      </w:r>
      <w:proofErr w:type="spellEnd"/>
      <w:r w:rsidRPr="009353CA">
        <w:rPr>
          <w:rtl/>
        </w:rPr>
        <w:t>(3) 433</w:t>
      </w:r>
      <w:r w:rsidRPr="009353CA">
        <w:rPr>
          <w:rFonts w:hint="cs"/>
          <w:rtl/>
        </w:rPr>
        <w:t xml:space="preserve">, 445-444 (2002); </w:t>
      </w:r>
      <w:r w:rsidRPr="009353CA">
        <w:rPr>
          <w:rFonts w:hint="eastAsia"/>
          <w:rtl/>
        </w:rPr>
        <w:t>ע</w:t>
      </w:r>
      <w:r w:rsidRPr="009353CA">
        <w:rPr>
          <w:rFonts w:hint="cs"/>
          <w:rtl/>
        </w:rPr>
        <w:t>"</w:t>
      </w:r>
      <w:r w:rsidRPr="009353CA">
        <w:rPr>
          <w:rFonts w:hint="eastAsia"/>
          <w:rtl/>
        </w:rPr>
        <w:t>א</w:t>
      </w:r>
      <w:r w:rsidRPr="009353CA">
        <w:rPr>
          <w:rtl/>
        </w:rPr>
        <w:t xml:space="preserve"> 5258/98‏ </w:t>
      </w:r>
      <w:r w:rsidRPr="00B83A01">
        <w:rPr>
          <w:rFonts w:ascii="Century" w:hAnsi="Century" w:cs="Miriam" w:hint="eastAsia"/>
          <w:b/>
          <w:spacing w:val="0"/>
          <w:sz w:val="22"/>
          <w:szCs w:val="24"/>
          <w:rtl/>
        </w:rPr>
        <w:t>פלונית</w:t>
      </w:r>
      <w:r w:rsidRPr="00B83A01">
        <w:rPr>
          <w:rFonts w:ascii="Century" w:hAnsi="Century" w:cs="Miriam"/>
          <w:b/>
          <w:spacing w:val="0"/>
          <w:sz w:val="22"/>
          <w:szCs w:val="24"/>
          <w:rtl/>
        </w:rPr>
        <w:t xml:space="preserve"> </w:t>
      </w:r>
      <w:r w:rsidRPr="00B83A01">
        <w:rPr>
          <w:rFonts w:ascii="Century" w:hAnsi="Century" w:cs="Miriam" w:hint="eastAsia"/>
          <w:b/>
          <w:spacing w:val="0"/>
          <w:sz w:val="22"/>
          <w:szCs w:val="24"/>
          <w:rtl/>
        </w:rPr>
        <w:t>נ</w:t>
      </w:r>
      <w:r w:rsidRPr="00B83A01">
        <w:rPr>
          <w:rFonts w:ascii="Century" w:hAnsi="Century" w:cs="Miriam"/>
          <w:b/>
          <w:spacing w:val="0"/>
          <w:sz w:val="22"/>
          <w:szCs w:val="24"/>
          <w:rtl/>
        </w:rPr>
        <w:t xml:space="preserve">' </w:t>
      </w:r>
      <w:r w:rsidRPr="00B83A01">
        <w:rPr>
          <w:rFonts w:ascii="Century" w:hAnsi="Century" w:cs="Miriam" w:hint="eastAsia"/>
          <w:b/>
          <w:spacing w:val="0"/>
          <w:sz w:val="22"/>
          <w:szCs w:val="24"/>
          <w:rtl/>
        </w:rPr>
        <w:t>פלוני</w:t>
      </w:r>
      <w:r w:rsidRPr="009353CA">
        <w:rPr>
          <w:rFonts w:hint="cs"/>
          <w:rtl/>
        </w:rPr>
        <w:t xml:space="preserve">, פסקה 2 לפסק דינה של השופטת </w:t>
      </w:r>
      <w:r w:rsidRPr="00B83A01">
        <w:rPr>
          <w:rFonts w:ascii="Century" w:hAnsi="Century" w:cs="Miriam" w:hint="cs"/>
          <w:b/>
          <w:spacing w:val="0"/>
          <w:sz w:val="22"/>
          <w:szCs w:val="24"/>
          <w:rtl/>
        </w:rPr>
        <w:t>א' פרוקצ'יה</w:t>
      </w:r>
      <w:r w:rsidRPr="009353CA">
        <w:rPr>
          <w:rFonts w:hint="cs"/>
          <w:rtl/>
        </w:rPr>
        <w:t xml:space="preserve"> (</w:t>
      </w:r>
      <w:r w:rsidRPr="009353CA">
        <w:rPr>
          <w:rtl/>
        </w:rPr>
        <w:t>14.7.2004</w:t>
      </w:r>
      <w:r w:rsidRPr="009353CA">
        <w:rPr>
          <w:rFonts w:hint="cs"/>
          <w:rtl/>
        </w:rPr>
        <w:t xml:space="preserve">); </w:t>
      </w:r>
      <w:r w:rsidRPr="009353CA">
        <w:rPr>
          <w:rFonts w:hint="eastAsia"/>
          <w:rtl/>
        </w:rPr>
        <w:t>רע</w:t>
      </w:r>
      <w:r w:rsidRPr="009353CA">
        <w:rPr>
          <w:rtl/>
        </w:rPr>
        <w:t>"</w:t>
      </w:r>
      <w:r w:rsidRPr="009353CA">
        <w:rPr>
          <w:rFonts w:hint="eastAsia"/>
          <w:rtl/>
        </w:rPr>
        <w:t>א</w:t>
      </w:r>
      <w:r w:rsidRPr="009353CA">
        <w:rPr>
          <w:rtl/>
        </w:rPr>
        <w:t xml:space="preserve"> 8791</w:t>
      </w:r>
      <w:r w:rsidRPr="009353CA">
        <w:rPr>
          <w:rFonts w:hint="cs"/>
          <w:rtl/>
        </w:rPr>
        <w:t>/</w:t>
      </w:r>
      <w:r w:rsidRPr="009353CA">
        <w:rPr>
          <w:rtl/>
        </w:rPr>
        <w:t xml:space="preserve">00 </w:t>
      </w:r>
      <w:r w:rsidRPr="00B83A01">
        <w:rPr>
          <w:rFonts w:ascii="Century" w:hAnsi="Century" w:cs="Miriam" w:hint="eastAsia"/>
          <w:b/>
          <w:spacing w:val="0"/>
          <w:sz w:val="22"/>
          <w:szCs w:val="24"/>
          <w:rtl/>
        </w:rPr>
        <w:t>שלם</w:t>
      </w:r>
      <w:r w:rsidRPr="00B83A01">
        <w:rPr>
          <w:rFonts w:ascii="Century" w:hAnsi="Century" w:cs="Miriam"/>
          <w:b/>
          <w:spacing w:val="0"/>
          <w:sz w:val="22"/>
          <w:szCs w:val="24"/>
          <w:rtl/>
        </w:rPr>
        <w:t xml:space="preserve"> </w:t>
      </w:r>
      <w:r w:rsidRPr="00B83A01">
        <w:rPr>
          <w:rFonts w:ascii="Century" w:hAnsi="Century" w:cs="Miriam" w:hint="eastAsia"/>
          <w:b/>
          <w:spacing w:val="0"/>
          <w:sz w:val="22"/>
          <w:szCs w:val="24"/>
          <w:rtl/>
        </w:rPr>
        <w:t>נ</w:t>
      </w:r>
      <w:r w:rsidRPr="00B83A01">
        <w:rPr>
          <w:rFonts w:ascii="Century" w:hAnsi="Century" w:cs="Miriam"/>
          <w:b/>
          <w:spacing w:val="0"/>
          <w:sz w:val="22"/>
          <w:szCs w:val="24"/>
          <w:rtl/>
        </w:rPr>
        <w:t xml:space="preserve">' </w:t>
      </w:r>
      <w:proofErr w:type="spellStart"/>
      <w:r w:rsidRPr="00B83A01">
        <w:rPr>
          <w:rFonts w:ascii="Century" w:hAnsi="Century" w:cs="Miriam" w:hint="eastAsia"/>
          <w:b/>
          <w:spacing w:val="0"/>
          <w:sz w:val="22"/>
          <w:szCs w:val="24"/>
          <w:rtl/>
        </w:rPr>
        <w:t>טווינקו</w:t>
      </w:r>
      <w:proofErr w:type="spellEnd"/>
      <w:r w:rsidRPr="00B83A01">
        <w:rPr>
          <w:rFonts w:ascii="Century" w:hAnsi="Century" w:cs="Miriam"/>
          <w:b/>
          <w:spacing w:val="0"/>
          <w:sz w:val="22"/>
          <w:szCs w:val="24"/>
          <w:rtl/>
        </w:rPr>
        <w:t xml:space="preserve"> </w:t>
      </w:r>
      <w:r w:rsidRPr="00B83A01">
        <w:rPr>
          <w:rFonts w:ascii="Century" w:hAnsi="Century" w:cs="Miriam" w:hint="eastAsia"/>
          <w:b/>
          <w:spacing w:val="0"/>
          <w:sz w:val="22"/>
          <w:szCs w:val="24"/>
          <w:rtl/>
        </w:rPr>
        <w:t>בע</w:t>
      </w:r>
      <w:r w:rsidRPr="00B83A01">
        <w:rPr>
          <w:rFonts w:ascii="Century" w:hAnsi="Century" w:cs="Miriam"/>
          <w:b/>
          <w:spacing w:val="0"/>
          <w:sz w:val="22"/>
          <w:szCs w:val="24"/>
          <w:rtl/>
        </w:rPr>
        <w:t>"</w:t>
      </w:r>
      <w:r w:rsidRPr="00B83A01">
        <w:rPr>
          <w:rFonts w:ascii="Century" w:hAnsi="Century" w:cs="Miriam" w:hint="eastAsia"/>
          <w:b/>
          <w:spacing w:val="0"/>
          <w:sz w:val="22"/>
          <w:szCs w:val="24"/>
          <w:rtl/>
        </w:rPr>
        <w:t>מ</w:t>
      </w:r>
      <w:r w:rsidRPr="009353CA">
        <w:rPr>
          <w:rtl/>
        </w:rPr>
        <w:t xml:space="preserve">, </w:t>
      </w:r>
      <w:r>
        <w:rPr>
          <w:rFonts w:hint="cs"/>
          <w:rtl/>
        </w:rPr>
        <w:t xml:space="preserve">פ"ד </w:t>
      </w:r>
      <w:r w:rsidRPr="009353CA">
        <w:rPr>
          <w:rFonts w:hint="eastAsia"/>
          <w:rtl/>
        </w:rPr>
        <w:t>סב</w:t>
      </w:r>
      <w:r w:rsidRPr="009353CA">
        <w:rPr>
          <w:rtl/>
        </w:rPr>
        <w:t>(1) 165</w:t>
      </w:r>
      <w:r w:rsidRPr="009353CA">
        <w:rPr>
          <w:rFonts w:hint="cs"/>
          <w:rtl/>
        </w:rPr>
        <w:t xml:space="preserve">, 181 (2006); אריאל רוזן-צבי </w:t>
      </w:r>
      <w:r w:rsidRPr="00B83A01">
        <w:rPr>
          <w:rFonts w:ascii="Century" w:hAnsi="Century" w:cs="Miriam" w:hint="cs"/>
          <w:b/>
          <w:spacing w:val="0"/>
          <w:sz w:val="22"/>
          <w:szCs w:val="24"/>
          <w:rtl/>
        </w:rPr>
        <w:t>יחסי ממון בין בני זוג</w:t>
      </w:r>
      <w:r w:rsidRPr="009353CA">
        <w:rPr>
          <w:rFonts w:hint="cs"/>
          <w:rtl/>
        </w:rPr>
        <w:t xml:space="preserve"> 7, 54-52 (</w:t>
      </w:r>
      <w:proofErr w:type="spellStart"/>
      <w:r w:rsidRPr="009353CA">
        <w:rPr>
          <w:rFonts w:hint="cs"/>
          <w:rtl/>
        </w:rPr>
        <w:t>התשמ"ב</w:t>
      </w:r>
      <w:proofErr w:type="spellEnd"/>
      <w:r w:rsidRPr="009353CA">
        <w:rPr>
          <w:rFonts w:hint="cs"/>
          <w:rtl/>
        </w:rPr>
        <w:t xml:space="preserve">)). </w:t>
      </w:r>
    </w:p>
    <w:p w:rsidR="00917458" w:rsidRPr="00870398" w:rsidRDefault="00917458" w:rsidP="00917458">
      <w:pPr>
        <w:pStyle w:val="Ruller41"/>
      </w:pPr>
    </w:p>
    <w:p w:rsidR="00917458" w:rsidRPr="009353CA" w:rsidRDefault="00917458" w:rsidP="00917458">
      <w:pPr>
        <w:pStyle w:val="Ruller4"/>
        <w:rPr>
          <w:rtl/>
        </w:rPr>
      </w:pPr>
      <w:r>
        <w:rPr>
          <w:rFonts w:hint="cs"/>
          <w:rtl/>
        </w:rPr>
        <w:t xml:space="preserve">לסיום הדיון בנקודה זו, אוסיף ואודה כי הבעיה של משטוּר בן-הזוג על ידי משנהו, אשר מדאיגה את הנשיאה במידה לא מבוטלת של צדק, מדאיגה אותי פחות </w:t>
      </w:r>
      <w:proofErr w:type="spellStart"/>
      <w:r>
        <w:rPr>
          <w:rFonts w:hint="cs"/>
          <w:rtl/>
        </w:rPr>
        <w:t>ממשטוּר</w:t>
      </w:r>
      <w:proofErr w:type="spellEnd"/>
      <w:r>
        <w:rPr>
          <w:rFonts w:hint="cs"/>
          <w:rtl/>
        </w:rPr>
        <w:t xml:space="preserve"> החיים הזוגיים על ידי קביעת נורמות שיפוטיות כופות שמטרתן להנחיל לאזרחיות ולאזרחים את המידות הטובות ואת הערכים "הנכונים" בניהול החיים הזוגיים במתכונת אחידה של </w:t>
      </w:r>
      <w:r>
        <w:rPr>
          <w:rFonts w:asciiTheme="majorBidi" w:hAnsiTheme="majorBidi" w:cstheme="majorBidi"/>
        </w:rPr>
        <w:t>“</w:t>
      </w:r>
      <w:r w:rsidRPr="009137FF">
        <w:rPr>
          <w:rFonts w:asciiTheme="majorBidi" w:hAnsiTheme="majorBidi" w:cstheme="majorBidi"/>
        </w:rPr>
        <w:t>one size fits all</w:t>
      </w:r>
      <w:r>
        <w:rPr>
          <w:rFonts w:asciiTheme="majorBidi" w:hAnsiTheme="majorBidi" w:cstheme="majorBidi"/>
        </w:rPr>
        <w:t>”</w:t>
      </w:r>
      <w:r>
        <w:rPr>
          <w:rFonts w:hint="cs"/>
          <w:rtl/>
        </w:rPr>
        <w:t xml:space="preserve">. דומני כי ארגז הכלים של שופט בישראל אינו מכיל בתוכו את הסמכות המשפטית, המוסרית והאפיסטמית להורות לבעלת נכס (או לבעל נכס) להימנע מלהעמיד תנאי של נאמנות מינית להסכמתה לשתף את בן זוגה בזכויותיה באותו נכס </w:t>
      </w:r>
      <w:r>
        <w:rPr>
          <w:rtl/>
        </w:rPr>
        <w:t>–</w:t>
      </w:r>
      <w:r>
        <w:rPr>
          <w:rFonts w:hint="cs"/>
          <w:rtl/>
        </w:rPr>
        <w:t xml:space="preserve"> כל זוג יעצב וינהל את יחסיו ואת נכסיו לפי ראות עיניו.</w:t>
      </w:r>
    </w:p>
    <w:p w:rsidR="00917458" w:rsidRPr="009353CA" w:rsidRDefault="00917458" w:rsidP="00917458">
      <w:pPr>
        <w:pStyle w:val="Ruller41"/>
      </w:pPr>
    </w:p>
    <w:p w:rsidR="00917458" w:rsidRPr="009353CA" w:rsidRDefault="00917458" w:rsidP="00917458">
      <w:pPr>
        <w:pStyle w:val="Ruller4"/>
        <w:rPr>
          <w:rtl/>
        </w:rPr>
      </w:pPr>
      <w:r>
        <w:rPr>
          <w:rFonts w:hint="cs"/>
          <w:rtl/>
        </w:rPr>
        <w:t xml:space="preserve">במעבר חד לנושא אחר </w:t>
      </w:r>
      <w:r w:rsidRPr="009353CA">
        <w:rPr>
          <w:rtl/>
        </w:rPr>
        <w:t>–</w:t>
      </w:r>
      <w:r w:rsidRPr="009353CA">
        <w:rPr>
          <w:rFonts w:hint="cs"/>
          <w:rtl/>
        </w:rPr>
        <w:t xml:space="preserve"> ברצוני לשוב ולהדגיש, כי פסק דינה של הנשיאה, כמו פסק-דיני שלי בהליך הקודם וכאן, נסוב אך ורק על ברירת המחדל (ה-</w:t>
      </w:r>
      <w:r w:rsidRPr="009353CA">
        <w:rPr>
          <w:rFonts w:asciiTheme="majorBidi" w:hAnsiTheme="majorBidi" w:cstheme="majorBidi"/>
        </w:rPr>
        <w:t>default rule</w:t>
      </w:r>
      <w:r w:rsidRPr="009353CA">
        <w:rPr>
          <w:rFonts w:hint="cs"/>
          <w:rtl/>
        </w:rPr>
        <w:t xml:space="preserve">) שאותה בני הזוג חופשיים לשנות על ידי הסכם ממון אשר תואם את יחסיהם. הדיון הציבורי בפסק הדין שיצא מלפנינו בהליך הקודם העצים את המודעות בקרב הציבור </w:t>
      </w:r>
      <w:proofErr w:type="spellStart"/>
      <w:r w:rsidRPr="009353CA">
        <w:rPr>
          <w:rFonts w:hint="cs"/>
          <w:rtl/>
        </w:rPr>
        <w:t>לסוגייה</w:t>
      </w:r>
      <w:proofErr w:type="spellEnd"/>
      <w:r w:rsidRPr="009353CA">
        <w:rPr>
          <w:rFonts w:hint="cs"/>
          <w:rtl/>
        </w:rPr>
        <w:t xml:space="preserve"> הבלתי פשוטה שבה עסקינן. מודעות זו בלי ספק תקטין במידה רבה את מספר הנופלים ב"מלכודת קניין" ותגדיל במידה ניכרת את היזקקותם של בני הזוג הנישאים זו לזה במצב של אי-שוויון רכושי להסכמי ממון. מה ייכתב בהסכמים אלו </w:t>
      </w:r>
      <w:r w:rsidRPr="009353CA">
        <w:rPr>
          <w:rtl/>
        </w:rPr>
        <w:t>–</w:t>
      </w:r>
      <w:r w:rsidRPr="009353CA">
        <w:rPr>
          <w:rFonts w:hint="cs"/>
          <w:rtl/>
        </w:rPr>
        <w:t xml:space="preserve"> ימים יגידו; אך ככל שבידי לנבא, הנני צופה היזקקות נרחבת מצד בני זוג</w:t>
      </w:r>
      <w:r w:rsidRPr="009353CA">
        <w:rPr>
          <w:rFonts w:ascii="Century" w:hAnsi="Century" w:hint="cs"/>
          <w:sz w:val="22"/>
          <w:rtl/>
        </w:rPr>
        <w:t xml:space="preserve"> למנגנון השיתוף ההדרגתי,</w:t>
      </w:r>
      <w:r w:rsidRPr="009353CA">
        <w:rPr>
          <w:rFonts w:hint="cs"/>
          <w:rtl/>
        </w:rPr>
        <w:t xml:space="preserve"> שאותו אני מציע לקבוע כחלק מדיננו החל מיום 1.1.2022. רבים מבני הזוג הנישאים, </w:t>
      </w:r>
      <w:r w:rsidRPr="009353CA">
        <w:rPr>
          <w:rFonts w:hint="cs"/>
          <w:rtl/>
        </w:rPr>
        <w:lastRenderedPageBreak/>
        <w:t xml:space="preserve">אם כי לא כולם, ירצו לאמץ את כלל הצבירה של 1% לשנה, כמוצע על ידי, אשר במסגרתו יזכה בן הזוג לשותפות מלאה ושוות זכויות ברכושה האישי של בת זוגו בחלוף חמישים שנות נישואין. חלק מבני הזוג יבחרו בנוסחת שיתוף אחרת אשר תקצוב תקופה קצרה יותר או, לחלופין, ארוכה יותר </w:t>
      </w:r>
      <w:r>
        <w:rPr>
          <w:rFonts w:hint="cs"/>
          <w:rtl/>
        </w:rPr>
        <w:t xml:space="preserve">עד </w:t>
      </w:r>
      <w:r w:rsidRPr="009353CA">
        <w:rPr>
          <w:rFonts w:hint="cs"/>
          <w:rtl/>
        </w:rPr>
        <w:t xml:space="preserve">להגעתם לשיתוף שוויוני מלא ברכוש האישי שמחוץ לאיזון המשאבים. בני זוג אלה, אף הם יפסעו אפוא בשביל של שיתוף הדרגתי שאותו אני מבקש לסלול. רק מעטים מבני הזוג הנישאים (אם בכלל) ירצו לאמץ את המשטר הנוכחי אשר זכה לשם "דוקטרינת השיתוף הספציפי" ואשר, כאמור, מזכה את בן הזוג, באבחה אחת, ב-50% מהזכויות ברכושה האישי של בת זוגו בחלוף שנות נישואין ארוכות שמניינן לא נקצב מראש.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אם בהערכתי זו יש אמת, ראוי הוא שנחליף את דוקטרינת השיתוף הספציפי במתכונתה הנוכחית במנגנון השיתוף ההדרגתי, כמוצע על ידי (בלי או עם שינויים באחוז הצבירה השנתי שהצעתי). שינוי הלכה זה יחסוך מבני זוג רבים, וכן מהורים אשר רכשו דירה או בית לצאצאם, את הדאגה מפני "מלכודת קניין" ואת ההוצאות והמתח הנפשי אשר כרוכים בכריתתם של הסכמי ממון בגדרו של קשר בינאישי רב-חשיבות אשר מושתת על אהבה ונתינה. ברירת המחדל לעולם חייבת ללכת אחר הרוב (ראו: איל זמיר, </w:t>
      </w:r>
      <w:r w:rsidRPr="009353CA">
        <w:rPr>
          <w:rFonts w:ascii="Century" w:hAnsi="Century" w:cs="Miriam" w:hint="cs"/>
          <w:b/>
          <w:spacing w:val="0"/>
          <w:sz w:val="22"/>
          <w:szCs w:val="24"/>
          <w:rtl/>
        </w:rPr>
        <w:t>עיקרון ההתאמה בקיום חוזים</w:t>
      </w:r>
      <w:r w:rsidRPr="009353CA">
        <w:rPr>
          <w:rFonts w:hint="cs"/>
          <w:rtl/>
        </w:rPr>
        <w:t xml:space="preserve"> 148 (1990)). עיקרון זה מעוגן היטב בתאוריה משפטית שנטעה שורשים בארץ (</w:t>
      </w:r>
      <w:r>
        <w:rPr>
          <w:rFonts w:hint="cs"/>
          <w:rtl/>
        </w:rPr>
        <w:t xml:space="preserve">ראו: </w:t>
      </w:r>
      <w:r w:rsidRPr="009353CA">
        <w:rPr>
          <w:rFonts w:hint="cs"/>
          <w:rtl/>
        </w:rPr>
        <w:t xml:space="preserve">שם, בעמ' </w:t>
      </w:r>
      <w:r>
        <w:rPr>
          <w:rFonts w:hint="cs"/>
          <w:rtl/>
        </w:rPr>
        <w:t>149-148</w:t>
      </w:r>
      <w:r w:rsidRPr="009353CA">
        <w:rPr>
          <w:rFonts w:hint="cs"/>
          <w:rtl/>
        </w:rPr>
        <w:t xml:space="preserve">) ובעולם הגדול (ראו: </w:t>
      </w:r>
      <w:r w:rsidRPr="009353CA">
        <w:rPr>
          <w:rFonts w:asciiTheme="majorBidi" w:hAnsiTheme="majorBidi" w:cstheme="majorBidi"/>
        </w:rPr>
        <w:t xml:space="preserve">Ian Ayres &amp; Robert </w:t>
      </w:r>
      <w:proofErr w:type="spellStart"/>
      <w:r w:rsidRPr="009353CA">
        <w:rPr>
          <w:rFonts w:asciiTheme="majorBidi" w:hAnsiTheme="majorBidi" w:cstheme="majorBidi"/>
        </w:rPr>
        <w:t>Gertner</w:t>
      </w:r>
      <w:proofErr w:type="spellEnd"/>
      <w:r w:rsidRPr="009353CA">
        <w:rPr>
          <w:rFonts w:asciiTheme="majorBidi" w:hAnsiTheme="majorBidi" w:cstheme="majorBidi"/>
        </w:rPr>
        <w:t xml:space="preserve">, </w:t>
      </w:r>
      <w:r w:rsidRPr="009353CA">
        <w:rPr>
          <w:rFonts w:asciiTheme="majorBidi" w:hAnsiTheme="majorBidi" w:cstheme="majorBidi"/>
          <w:i/>
          <w:iCs/>
        </w:rPr>
        <w:t>Filling Gaps in Incomplete Contracts: An Economic Theory of Default Rules</w:t>
      </w:r>
      <w:r w:rsidRPr="009353CA">
        <w:rPr>
          <w:rFonts w:asciiTheme="majorBidi" w:hAnsiTheme="majorBidi" w:cstheme="majorBidi"/>
        </w:rPr>
        <w:t xml:space="preserve">, 99 </w:t>
      </w:r>
      <w:r w:rsidRPr="009353CA">
        <w:rPr>
          <w:rFonts w:asciiTheme="majorBidi" w:hAnsiTheme="majorBidi" w:cstheme="majorBidi"/>
          <w:smallCaps/>
        </w:rPr>
        <w:t>Yale L.J.</w:t>
      </w:r>
      <w:r w:rsidRPr="009353CA">
        <w:rPr>
          <w:rFonts w:asciiTheme="majorBidi" w:hAnsiTheme="majorBidi" w:cstheme="majorBidi"/>
        </w:rPr>
        <w:t xml:space="preserve"> 87, 89-91 (1989)</w:t>
      </w:r>
      <w:r w:rsidRPr="009353CA">
        <w:rPr>
          <w:rFonts w:hint="cs"/>
          <w:rtl/>
        </w:rPr>
        <w:t>); ואני מציע לחבריי לא לסטות ממנו.</w:t>
      </w:r>
    </w:p>
    <w:p w:rsidR="00917458" w:rsidRPr="009353CA" w:rsidRDefault="00917458" w:rsidP="00917458">
      <w:pPr>
        <w:pStyle w:val="Ruller41"/>
      </w:pPr>
    </w:p>
    <w:p w:rsidR="00917458" w:rsidRPr="0039413C" w:rsidRDefault="00917458" w:rsidP="00917458">
      <w:pPr>
        <w:pStyle w:val="Ruller4"/>
        <w:rPr>
          <w:rFonts w:ascii="Century" w:hAnsi="Century"/>
          <w:sz w:val="22"/>
        </w:rPr>
      </w:pPr>
      <w:r w:rsidRPr="009353CA">
        <w:rPr>
          <w:rFonts w:hint="cs"/>
          <w:rtl/>
        </w:rPr>
        <w:t xml:space="preserve">כאן המקום </w:t>
      </w:r>
      <w:r>
        <w:rPr>
          <w:rFonts w:ascii="Century" w:hAnsi="Century" w:hint="cs"/>
          <w:sz w:val="22"/>
          <w:rtl/>
        </w:rPr>
        <w:t xml:space="preserve">לעבור מהדיון </w:t>
      </w:r>
      <w:r>
        <w:rPr>
          <w:rFonts w:hint="cs"/>
          <w:rtl/>
        </w:rPr>
        <w:t>ב</w:t>
      </w:r>
      <w:r w:rsidRPr="009353CA">
        <w:rPr>
          <w:rFonts w:hint="cs"/>
          <w:rtl/>
        </w:rPr>
        <w:t xml:space="preserve">הלכה הקיימת לאפשרות לשכללה ולשפרה על ידי המעבר </w:t>
      </w:r>
      <w:r w:rsidRPr="002B62F1">
        <w:rPr>
          <w:rFonts w:ascii="Century" w:hAnsi="Century" w:hint="cs"/>
          <w:sz w:val="22"/>
          <w:rtl/>
        </w:rPr>
        <w:t xml:space="preserve">לשיתוף הדרגתי, כמוצע על ידי. בטרם אפרט את הצעתי, אציין כי </w:t>
      </w:r>
      <w:r>
        <w:rPr>
          <w:rFonts w:ascii="Century" w:hAnsi="Century" w:hint="cs"/>
          <w:sz w:val="22"/>
          <w:rtl/>
        </w:rPr>
        <w:t xml:space="preserve">אם הצעה זו תהא מקובלת על חבריי, </w:t>
      </w:r>
      <w:r w:rsidRPr="007D5BE8">
        <w:rPr>
          <w:rFonts w:ascii="Century" w:hAnsi="Century" w:hint="cs"/>
          <w:sz w:val="22"/>
          <w:rtl/>
        </w:rPr>
        <w:t xml:space="preserve">בעיית </w:t>
      </w:r>
      <w:proofErr w:type="spellStart"/>
      <w:r w:rsidRPr="007D5BE8">
        <w:rPr>
          <w:rFonts w:ascii="Century" w:hAnsi="Century" w:hint="cs"/>
          <w:sz w:val="22"/>
          <w:rtl/>
        </w:rPr>
        <w:t>המשטור</w:t>
      </w:r>
      <w:proofErr w:type="spellEnd"/>
      <w:r>
        <w:rPr>
          <w:rFonts w:ascii="Century" w:hAnsi="Century" w:hint="cs"/>
          <w:sz w:val="22"/>
          <w:rtl/>
        </w:rPr>
        <w:t>,</w:t>
      </w:r>
      <w:r w:rsidRPr="007D5BE8">
        <w:rPr>
          <w:rFonts w:ascii="Century" w:hAnsi="Century" w:hint="cs"/>
          <w:sz w:val="22"/>
          <w:rtl/>
        </w:rPr>
        <w:t xml:space="preserve"> עליה הצביעה הנשיאה בפסק דינה</w:t>
      </w:r>
      <w:r>
        <w:rPr>
          <w:rFonts w:ascii="Century" w:hAnsi="Century" w:hint="cs"/>
          <w:sz w:val="22"/>
          <w:rtl/>
        </w:rPr>
        <w:t>,</w:t>
      </w:r>
      <w:r w:rsidRPr="007D5BE8">
        <w:rPr>
          <w:rFonts w:ascii="Century" w:hAnsi="Century" w:hint="cs"/>
          <w:sz w:val="22"/>
          <w:rtl/>
        </w:rPr>
        <w:t xml:space="preserve"> ממילא תבוא על פתרונה ותיעלם מנוף משפטנו </w:t>
      </w:r>
      <w:r>
        <w:rPr>
          <w:rFonts w:ascii="Century" w:hAnsi="Century" w:hint="cs"/>
          <w:sz w:val="22"/>
          <w:rtl/>
        </w:rPr>
        <w:t>(</w:t>
      </w:r>
      <w:r w:rsidRPr="007D5BE8">
        <w:rPr>
          <w:rFonts w:ascii="Century" w:hAnsi="Century" w:hint="cs"/>
          <w:sz w:val="22"/>
          <w:rtl/>
        </w:rPr>
        <w:t>יחד עם כמה בעיות נוספות אשר טבועות בדוקטרינת השיתוף הספציפי במתכונתה הנוכחית</w:t>
      </w:r>
      <w:r>
        <w:rPr>
          <w:rFonts w:ascii="Century" w:hAnsi="Century" w:hint="cs"/>
          <w:sz w:val="22"/>
          <w:rtl/>
        </w:rPr>
        <w:t>)</w:t>
      </w:r>
      <w:r w:rsidRPr="007D5BE8">
        <w:rPr>
          <w:rFonts w:ascii="Century" w:hAnsi="Century" w:hint="cs"/>
          <w:sz w:val="22"/>
          <w:rtl/>
        </w:rPr>
        <w:t xml:space="preserve">. </w:t>
      </w:r>
    </w:p>
    <w:p w:rsidR="00917458" w:rsidRDefault="00917458" w:rsidP="00917458">
      <w:pPr>
        <w:pStyle w:val="Ruller4"/>
        <w:numPr>
          <w:ilvl w:val="0"/>
          <w:numId w:val="0"/>
        </w:numPr>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דוקטרינת השיתוף הספציפי: בחינה מחדש</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הרציונל של השיתוף הספציפי בנכסים</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t xml:space="preserve">להלכה אשר מזכה בת זוג בשיתוף ספציפי בנכסיו האישיים של בן זוגה, אחרי שנים ארוכות של חיי זוגיות משותפים, יש, לדעתי, רציונל מוצק. ואולם, רציונל זה הינו שונה מהרציונל ההסכמי עליו הושתתו הלכת </w:t>
      </w:r>
      <w:r w:rsidRPr="009353CA">
        <w:rPr>
          <w:rFonts w:ascii="Century" w:hAnsi="Century" w:cs="Miriam" w:hint="cs"/>
          <w:b/>
          <w:spacing w:val="0"/>
          <w:sz w:val="22"/>
          <w:szCs w:val="24"/>
          <w:rtl/>
        </w:rPr>
        <w:t>אבו רומי</w:t>
      </w:r>
      <w:r w:rsidRPr="009353CA">
        <w:rPr>
          <w:rFonts w:hint="cs"/>
          <w:rtl/>
        </w:rPr>
        <w:t xml:space="preserve"> ופסקי דין נוספים אשר באו </w:t>
      </w:r>
      <w:r w:rsidRPr="009353CA">
        <w:rPr>
          <w:rFonts w:hint="cs"/>
          <w:rtl/>
        </w:rPr>
        <w:lastRenderedPageBreak/>
        <w:t>בעקבותיה. לפי הרציונל ההסכמי, באין הסכמה מפורשת או משתמעת לשיתוף מצדו של בן הזוג בעל הנכסים, השיתוף אינו מתקיים ובת זוגו אינה זוכה לשום חלק בנכסיו (ראו למשל:</w:t>
      </w:r>
      <w:r w:rsidRPr="009353CA">
        <w:rPr>
          <w:rFonts w:hint="eastAsia"/>
          <w:rtl/>
        </w:rPr>
        <w:t xml:space="preserve"> </w:t>
      </w:r>
      <w:r w:rsidRPr="009353CA">
        <w:rPr>
          <w:rFonts w:hint="cs"/>
          <w:rtl/>
        </w:rPr>
        <w:t xml:space="preserve">עניין </w:t>
      </w:r>
      <w:r w:rsidRPr="009353CA">
        <w:rPr>
          <w:rFonts w:ascii="Century" w:hAnsi="Century" w:cs="Miriam" w:hint="eastAsia"/>
          <w:b/>
          <w:spacing w:val="0"/>
          <w:sz w:val="22"/>
          <w:szCs w:val="24"/>
          <w:rtl/>
        </w:rPr>
        <w:t>בריל</w:t>
      </w:r>
      <w:r w:rsidRPr="009353CA">
        <w:rPr>
          <w:rtl/>
        </w:rPr>
        <w:t xml:space="preserve">, </w:t>
      </w:r>
      <w:r w:rsidRPr="009353CA">
        <w:rPr>
          <w:rFonts w:hint="cs"/>
          <w:rtl/>
        </w:rPr>
        <w:t>בעמ' 717-716). כך הוא לגבי כלל הנכסים האישיים; וכך הוא גם, באופן ספציפי יותר, לגבי דירת מגורים של בני הזוג אשר הובאה על ידי אחד מהם אל תוך מסגרת הנישואין (ראו:</w:t>
      </w:r>
      <w:r w:rsidRPr="009353CA">
        <w:rPr>
          <w:rFonts w:ascii="Century" w:hAnsi="Century" w:cs="Miriam" w:hint="cs"/>
          <w:b/>
          <w:spacing w:val="0"/>
          <w:sz w:val="22"/>
          <w:szCs w:val="24"/>
          <w:rtl/>
        </w:rPr>
        <w:t xml:space="preserve"> </w:t>
      </w:r>
      <w:r w:rsidRPr="009353CA">
        <w:rPr>
          <w:rFonts w:hint="cs"/>
          <w:rtl/>
        </w:rPr>
        <w:t xml:space="preserve">הלכת </w:t>
      </w:r>
      <w:r w:rsidRPr="009353CA">
        <w:rPr>
          <w:rFonts w:ascii="Century" w:hAnsi="Century" w:cs="Miriam" w:hint="cs"/>
          <w:b/>
          <w:spacing w:val="0"/>
          <w:sz w:val="22"/>
          <w:szCs w:val="24"/>
          <w:rtl/>
        </w:rPr>
        <w:t>אבו רומי</w:t>
      </w:r>
      <w:r w:rsidRPr="009353CA">
        <w:rPr>
          <w:rFonts w:hint="cs"/>
          <w:rtl/>
        </w:rPr>
        <w:t>, פסקה 11). מסקנה פשוטה וברורה זו עולה גם מהאמור בסעיפים 4 ו-5 לחוק יחסי ממון, שכאמור קובעים כי אין בנישואין כשלעצמם כדי לשנות את המצב הקנייני שקדם להם או כדי להקנות לאחד מבני הזוג זכות כלשהי בנכס השייך למשנהו. במצב דברים זה, בן זוג המבקש לקבל לידיו זכויות שיתוף בנכסיה האישיים של בת זוגו תלוי במידה מכרעת בחסדיה. כדי שתהא לו זכות כלשהי בנכסי בת זוגו, בת הזוג צריכה להקנות לו זכות כאמור על ידי פעולת הקנייה רצונית. באין פעולת הקנייה כאמור, הזכות הנטענת לא תקום.</w:t>
      </w:r>
    </w:p>
    <w:p w:rsidR="00917458" w:rsidRPr="009353CA" w:rsidRDefault="00917458" w:rsidP="00917458">
      <w:pPr>
        <w:pStyle w:val="Ruller41"/>
      </w:pPr>
    </w:p>
    <w:p w:rsidR="00917458" w:rsidRPr="009353CA" w:rsidRDefault="00917458" w:rsidP="00917458">
      <w:pPr>
        <w:pStyle w:val="Ruller4"/>
        <w:numPr>
          <w:ilvl w:val="0"/>
          <w:numId w:val="0"/>
        </w:numPr>
        <w:rPr>
          <w:rtl/>
        </w:rPr>
      </w:pPr>
      <w:r>
        <w:rPr>
          <w:rtl/>
        </w:rPr>
        <w:tab/>
      </w:r>
      <w:r w:rsidRPr="009353CA">
        <w:rPr>
          <w:rFonts w:hint="cs"/>
          <w:rtl/>
        </w:rPr>
        <w:t xml:space="preserve">האם נכון הוא שכך יהיה?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סבורני שלא. חיי זוגיות ונישואין אינם דומים, על פי רוב, לשותפות עסקית. במסגרת יחסי זוגיות סבירים </w:t>
      </w:r>
      <w:r w:rsidRPr="009353CA">
        <w:rPr>
          <w:rtl/>
        </w:rPr>
        <w:t>–</w:t>
      </w:r>
      <w:r w:rsidRPr="009353CA">
        <w:rPr>
          <w:rFonts w:hint="cs"/>
          <w:rtl/>
        </w:rPr>
        <w:t xml:space="preserve"> קל וחומר, מוצלחים </w:t>
      </w:r>
      <w:r w:rsidRPr="009353CA">
        <w:rPr>
          <w:rtl/>
        </w:rPr>
        <w:t>–</w:t>
      </w:r>
      <w:r w:rsidRPr="009353CA">
        <w:rPr>
          <w:rFonts w:hint="cs"/>
          <w:rtl/>
        </w:rPr>
        <w:t xml:space="preserve"> כל אחד מבני הזוג עושה מאמצים מרובים, פיזיים ורגשיים כאחד, כדי לבנות עבור עצמו ועבור בן זוגו חיי משפחה בטוחים, מספקים ואיכותיים ככל שניתן, וגם כדי לסייע לבן זוגו לממש את מאווייו האישיים, המקצועיים והעסקיים. בלשון מטאפורית: כל אחד מבני הזוג בונה עבור משנהו את "הבית" במובן הרחב </w:t>
      </w:r>
      <w:r w:rsidRPr="009353CA">
        <w:rPr>
          <w:rtl/>
        </w:rPr>
        <w:t>–</w:t>
      </w:r>
      <w:r w:rsidRPr="009353CA">
        <w:rPr>
          <w:rFonts w:hint="cs"/>
          <w:rtl/>
        </w:rPr>
        <w:t xml:space="preserve"> התא המשפחתי שממנו הוא יוצא בבוקר ואליו הוא חוזר בערב כדי לקבל אהבה, אוזן קשבת, תמיכה ושיתוף. במסגרת זו, מצב נכסים בלתי שוויוני בין בני זוג עושה לבן הזוג ה</w:t>
      </w:r>
      <w:r>
        <w:rPr>
          <w:rFonts w:hint="cs"/>
          <w:rtl/>
        </w:rPr>
        <w:t>פחות עשיר</w:t>
      </w:r>
      <w:r w:rsidRPr="009353CA">
        <w:rPr>
          <w:rFonts w:hint="cs"/>
          <w:rtl/>
        </w:rPr>
        <w:t xml:space="preserve"> חוסר צדק. חוסר צדק זה </w:t>
      </w:r>
      <w:proofErr w:type="spellStart"/>
      <w:r w:rsidRPr="009353CA">
        <w:rPr>
          <w:rFonts w:hint="cs"/>
          <w:rtl/>
        </w:rPr>
        <w:t>צויין</w:t>
      </w:r>
      <w:proofErr w:type="spellEnd"/>
      <w:r w:rsidRPr="009353CA">
        <w:rPr>
          <w:rFonts w:hint="cs"/>
          <w:rtl/>
        </w:rPr>
        <w:t xml:space="preserve"> על ידי השופטת </w:t>
      </w:r>
      <w:r w:rsidRPr="009353CA">
        <w:rPr>
          <w:rFonts w:ascii="Century" w:hAnsi="Century" w:cs="Miriam" w:hint="cs"/>
          <w:b/>
          <w:spacing w:val="0"/>
          <w:sz w:val="22"/>
          <w:szCs w:val="24"/>
          <w:rtl/>
        </w:rPr>
        <w:t xml:space="preserve">ד' </w:t>
      </w:r>
      <w:proofErr w:type="spellStart"/>
      <w:r w:rsidRPr="009353CA">
        <w:rPr>
          <w:rFonts w:ascii="Century" w:hAnsi="Century" w:cs="Miriam" w:hint="cs"/>
          <w:b/>
          <w:spacing w:val="0"/>
          <w:sz w:val="22"/>
          <w:szCs w:val="24"/>
          <w:rtl/>
        </w:rPr>
        <w:t>דורנר</w:t>
      </w:r>
      <w:proofErr w:type="spellEnd"/>
      <w:r w:rsidRPr="009353CA">
        <w:rPr>
          <w:rFonts w:hint="cs"/>
          <w:rtl/>
        </w:rPr>
        <w:t xml:space="preserve"> בע"א </w:t>
      </w:r>
      <w:r w:rsidRPr="009353CA">
        <w:rPr>
          <w:rtl/>
        </w:rPr>
        <w:t>1915/91</w:t>
      </w:r>
      <w:r w:rsidRPr="009353CA">
        <w:rPr>
          <w:rFonts w:hint="cs"/>
          <w:rtl/>
        </w:rPr>
        <w:t xml:space="preserve"> </w:t>
      </w:r>
      <w:r w:rsidRPr="009353CA">
        <w:rPr>
          <w:rFonts w:ascii="Century" w:hAnsi="Century" w:cs="Miriam" w:hint="cs"/>
          <w:b/>
          <w:spacing w:val="0"/>
          <w:sz w:val="22"/>
          <w:szCs w:val="24"/>
          <w:rtl/>
        </w:rPr>
        <w:t>יעקובי נ' יעקובי</w:t>
      </w:r>
      <w:r w:rsidRPr="009353CA">
        <w:rPr>
          <w:rFonts w:hint="cs"/>
          <w:rtl/>
        </w:rPr>
        <w:t xml:space="preserve">, </w:t>
      </w:r>
      <w:r w:rsidRPr="009353CA">
        <w:rPr>
          <w:rFonts w:hint="eastAsia"/>
          <w:rtl/>
        </w:rPr>
        <w:t>פ</w:t>
      </w:r>
      <w:r w:rsidRPr="009353CA">
        <w:rPr>
          <w:rtl/>
        </w:rPr>
        <w:t>"</w:t>
      </w:r>
      <w:r w:rsidRPr="009353CA">
        <w:rPr>
          <w:rFonts w:hint="eastAsia"/>
          <w:rtl/>
        </w:rPr>
        <w:t>ד</w:t>
      </w:r>
      <w:r w:rsidRPr="009353CA">
        <w:rPr>
          <w:rtl/>
        </w:rPr>
        <w:t xml:space="preserve"> </w:t>
      </w:r>
      <w:r w:rsidRPr="009353CA">
        <w:rPr>
          <w:rFonts w:hint="eastAsia"/>
          <w:rtl/>
        </w:rPr>
        <w:t>מט</w:t>
      </w:r>
      <w:r w:rsidRPr="009353CA">
        <w:rPr>
          <w:rtl/>
        </w:rPr>
        <w:t>(3) 529</w:t>
      </w:r>
      <w:r w:rsidRPr="009353CA">
        <w:rPr>
          <w:rFonts w:hint="cs"/>
          <w:rtl/>
        </w:rPr>
        <w:t>, 61</w:t>
      </w:r>
      <w:r>
        <w:rPr>
          <w:rFonts w:hint="cs"/>
          <w:rtl/>
        </w:rPr>
        <w:t>1</w:t>
      </w:r>
      <w:r w:rsidRPr="009353CA">
        <w:rPr>
          <w:rFonts w:hint="cs"/>
          <w:rtl/>
        </w:rPr>
        <w:t xml:space="preserve">-609 (1995) (להלן: עניין </w:t>
      </w:r>
      <w:r w:rsidRPr="009353CA">
        <w:rPr>
          <w:rFonts w:ascii="Century" w:hAnsi="Century" w:cs="Miriam" w:hint="cs"/>
          <w:b/>
          <w:spacing w:val="0"/>
          <w:sz w:val="22"/>
          <w:szCs w:val="24"/>
          <w:rtl/>
        </w:rPr>
        <w:t>יעקובי</w:t>
      </w:r>
      <w:r w:rsidRPr="009353CA">
        <w:rPr>
          <w:rFonts w:hint="cs"/>
          <w:rtl/>
        </w:rPr>
        <w:t xml:space="preserve">). ברם, השופטת </w:t>
      </w:r>
      <w:proofErr w:type="spellStart"/>
      <w:r w:rsidRPr="009353CA">
        <w:rPr>
          <w:rFonts w:ascii="Century" w:hAnsi="Century" w:cs="Miriam" w:hint="cs"/>
          <w:b/>
          <w:spacing w:val="0"/>
          <w:sz w:val="22"/>
          <w:szCs w:val="24"/>
          <w:rtl/>
        </w:rPr>
        <w:t>דורנר</w:t>
      </w:r>
      <w:proofErr w:type="spellEnd"/>
      <w:r w:rsidRPr="009353CA">
        <w:rPr>
          <w:rFonts w:hint="cs"/>
          <w:rtl/>
        </w:rPr>
        <w:t xml:space="preserve"> לא הגדירה את טיבו ואת מהותו של אותו "חוסר צדק"; וצמד מילים זה נשאר לוט בערפל גם בפסקי הדין המאוחרים יותר, כדוגמת </w:t>
      </w:r>
      <w:r w:rsidRPr="009353CA">
        <w:rPr>
          <w:rFonts w:ascii="Century" w:hAnsi="Century" w:cs="Miriam" w:hint="cs"/>
          <w:b/>
          <w:spacing w:val="0"/>
          <w:sz w:val="22"/>
          <w:szCs w:val="24"/>
          <w:rtl/>
        </w:rPr>
        <w:t>אבו רומי</w:t>
      </w:r>
      <w:r w:rsidRPr="009353CA">
        <w:rPr>
          <w:rFonts w:hint="cs"/>
          <w:rtl/>
        </w:rPr>
        <w:t>.</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ערפל זה חובה עלינו להסיר על מנת למצוא תיקון נכון לחוסר הצדק ולעיוות הקנייני שהוא גורם.</w:t>
      </w:r>
    </w:p>
    <w:p w:rsidR="00917458" w:rsidRPr="009353CA" w:rsidRDefault="00917458" w:rsidP="00917458">
      <w:pPr>
        <w:pStyle w:val="Ruller41"/>
      </w:pPr>
    </w:p>
    <w:p w:rsidR="00917458" w:rsidRPr="009353CA" w:rsidRDefault="00917458" w:rsidP="00917458">
      <w:pPr>
        <w:pStyle w:val="Ruller4"/>
        <w:rPr>
          <w:rFonts w:ascii="Century" w:hAnsi="Century"/>
          <w:sz w:val="22"/>
          <w:rtl/>
        </w:rPr>
      </w:pPr>
      <w:r w:rsidRPr="009353CA">
        <w:rPr>
          <w:rFonts w:ascii="Century" w:hAnsi="Century" w:cs="Miriam" w:hint="cs"/>
          <w:b/>
          <w:spacing w:val="0"/>
          <w:sz w:val="22"/>
          <w:szCs w:val="24"/>
          <w:rtl/>
        </w:rPr>
        <w:t>הנני סבור, כי חוסר הצדק שבו עסקינן הוא ההנאה הבלתי שוויונית אשר מופקת על ידי בני הזוג, במרוצת החיים הזוגיים, ממאמציהם המשותפים בבנייתו ובטיפוחו של "הבית" במובן הרחב, במצב של חוסר שוויון בנכסים.</w:t>
      </w:r>
      <w:r w:rsidRPr="009353CA">
        <w:rPr>
          <w:rFonts w:hint="cs"/>
          <w:rtl/>
        </w:rPr>
        <w:t xml:space="preserve"> כאשר בן הזוג המחזיק בנכסים אישיים, </w:t>
      </w:r>
      <w:r w:rsidRPr="009353CA">
        <w:rPr>
          <w:rFonts w:hint="cs"/>
          <w:rtl/>
        </w:rPr>
        <w:lastRenderedPageBreak/>
        <w:t xml:space="preserve">שמחוץ לאיזון המשאבים, מצליח לשמור על נכסים אלו ולהשביחם בין היתר בזכות "הבית" הטוב שבנה בשיתוף עם בת זוגו, נוצרת תוצאה קניינית מעוותת: </w:t>
      </w:r>
      <w:r w:rsidRPr="009353CA">
        <w:rPr>
          <w:rFonts w:ascii="Century" w:hAnsi="Century" w:cs="Miriam" w:hint="cs"/>
          <w:b/>
          <w:spacing w:val="0"/>
          <w:sz w:val="22"/>
          <w:szCs w:val="24"/>
          <w:rtl/>
        </w:rPr>
        <w:t>פירות מאמציהם השווים של בני הזוג אינם מתחלקים ביניהם שווה-בשווה במקרה של פירוד וגירושין כאשר בת הזוג חסרת הנכסים אינה זוכה לשום תמורה בעד מאמציה אשר הושקעו, בין במישרין ובין בעקיפין, בשמירה על נכסיו האישיים של בן זוגה ובהשבחתם.</w:t>
      </w:r>
      <w:r w:rsidRPr="009353CA">
        <w:rPr>
          <w:rFonts w:hint="cs"/>
          <w:rtl/>
        </w:rPr>
        <w:t xml:space="preserve"> זאת, מאחר שכל אחד מבני הזוג מקבל לידיו, בעקבות הפירוד, את מחצית הנכסים המשותפים המוגדרים כבני איזון בחוק יחסי ממון; בת הזוג איננה מקבלת שום תמורה בעד מאמציה, אשר, כאמור, אפשרו לבן זוגה לשמור על נכסיו האישיים ולהשביחם; ואילו בן הזוג בעל הנכסים נוטל עמו את נכסיו האישיים </w:t>
      </w:r>
      <w:r w:rsidRPr="009353CA">
        <w:rPr>
          <w:rFonts w:ascii="Century" w:hAnsi="Century" w:cs="Miriam" w:hint="cs"/>
          <w:b/>
          <w:spacing w:val="0"/>
          <w:sz w:val="22"/>
          <w:szCs w:val="24"/>
          <w:rtl/>
        </w:rPr>
        <w:t xml:space="preserve">תוך שהוא מנכס לעצמו מאמצים אלה של בת זוגו, כאילו היו שלו, מבלי </w:t>
      </w:r>
      <w:proofErr w:type="spellStart"/>
      <w:r w:rsidRPr="009353CA">
        <w:rPr>
          <w:rFonts w:ascii="Century" w:hAnsi="Century" w:cs="Miriam" w:hint="cs"/>
          <w:b/>
          <w:spacing w:val="0"/>
          <w:sz w:val="22"/>
          <w:szCs w:val="24"/>
          <w:rtl/>
        </w:rPr>
        <w:t>לפצותה</w:t>
      </w:r>
      <w:proofErr w:type="spellEnd"/>
      <w:r w:rsidRPr="009353CA">
        <w:rPr>
          <w:rFonts w:ascii="Century" w:hAnsi="Century" w:cs="Miriam" w:hint="cs"/>
          <w:b/>
          <w:spacing w:val="0"/>
          <w:sz w:val="22"/>
          <w:szCs w:val="24"/>
          <w:rtl/>
        </w:rPr>
        <w:t xml:space="preserve"> עליהם</w:t>
      </w:r>
      <w:r w:rsidRPr="009353CA">
        <w:rPr>
          <w:rFonts w:hint="cs"/>
          <w:rtl/>
        </w:rPr>
        <w:t xml:space="preserve">. מבחינה כלכלית, עיוות זה כמוהו כעשיית עושר על חשבון הזולת, והוא אף דומה להטלת מס בסכום אחיד על בעלי נכסים ועל חסרי נכסים, כאשר חלק מכספי המסים מתועל להספקת הגנה על קניינם הפרטי של כלל התושבים. הווה אומר: המשטר המשפטי שאינו מפצה את בת הזוג בגין תרומתה לשמירה או להשבחה של נכסי בן זוגה כמוהו כמס רגרסיבי שנגבה מאדם עני כדי להטיב את מצבו של אדם עשיר. בהמשך דבריי, אקרא לעיוות זה בשם </w:t>
      </w:r>
      <w:bookmarkStart w:id="8" w:name="_Hlk53178128"/>
      <w:r w:rsidRPr="009353CA">
        <w:rPr>
          <w:rFonts w:ascii="Century" w:hAnsi="Century" w:cs="Miriam" w:hint="cs"/>
          <w:b/>
          <w:spacing w:val="0"/>
          <w:sz w:val="22"/>
          <w:szCs w:val="24"/>
          <w:rtl/>
        </w:rPr>
        <w:t>"ניכוס המאמץ העודף של בת הזוג"</w:t>
      </w:r>
      <w:bookmarkEnd w:id="8"/>
      <w:r w:rsidRPr="009353CA">
        <w:rPr>
          <w:rFonts w:hint="cs"/>
          <w:rtl/>
        </w:rPr>
        <w:t xml:space="preserve">. אציין את המובן מאליו: עיוות כאמור נוצר גם כשאישה נוטלת עמה את כלל נכסיה האישיים בגירושיה מבן זוגה מבלי </w:t>
      </w:r>
      <w:proofErr w:type="spellStart"/>
      <w:r w:rsidRPr="009353CA">
        <w:rPr>
          <w:rFonts w:hint="cs"/>
          <w:rtl/>
        </w:rPr>
        <w:t>לפצותו</w:t>
      </w:r>
      <w:proofErr w:type="spellEnd"/>
      <w:r w:rsidRPr="009353CA">
        <w:rPr>
          <w:rFonts w:hint="cs"/>
          <w:rtl/>
        </w:rPr>
        <w:t xml:space="preserve"> על מאמציו אשר תרמו לשמירתם ולהשבחתם של הנכסים (ראו והשוו:</w:t>
      </w:r>
      <w:r w:rsidRPr="009353CA">
        <w:rPr>
          <w:rFonts w:asciiTheme="majorBidi" w:hAnsiTheme="majorBidi" w:cstheme="majorBidi"/>
        </w:rPr>
        <w:t xml:space="preserve">Shari </w:t>
      </w:r>
      <w:proofErr w:type="spellStart"/>
      <w:r w:rsidRPr="009353CA">
        <w:rPr>
          <w:rFonts w:asciiTheme="majorBidi" w:hAnsiTheme="majorBidi" w:cstheme="majorBidi"/>
        </w:rPr>
        <w:t>Motro</w:t>
      </w:r>
      <w:proofErr w:type="spellEnd"/>
      <w:r w:rsidRPr="009353CA">
        <w:rPr>
          <w:rFonts w:asciiTheme="majorBidi" w:hAnsiTheme="majorBidi" w:cstheme="majorBidi"/>
        </w:rPr>
        <w:t xml:space="preserve">, </w:t>
      </w:r>
      <w:r w:rsidRPr="009353CA">
        <w:rPr>
          <w:rFonts w:asciiTheme="majorBidi" w:hAnsiTheme="majorBidi" w:cstheme="majorBidi"/>
          <w:i/>
          <w:iCs/>
        </w:rPr>
        <w:t>Labor, Luck and Love: Reconsidering the Sanctity of Separate Property</w:t>
      </w:r>
      <w:r w:rsidRPr="009353CA">
        <w:rPr>
          <w:rFonts w:asciiTheme="majorBidi" w:hAnsiTheme="majorBidi" w:cstheme="majorBidi"/>
        </w:rPr>
        <w:t xml:space="preserve">, 102 </w:t>
      </w:r>
      <w:r w:rsidRPr="009353CA">
        <w:rPr>
          <w:rFonts w:asciiTheme="majorBidi" w:hAnsiTheme="majorBidi" w:cstheme="majorBidi"/>
          <w:smallCaps/>
        </w:rPr>
        <w:t>Nw. U. L. Rev.</w:t>
      </w:r>
      <w:r w:rsidRPr="009353CA">
        <w:rPr>
          <w:rFonts w:asciiTheme="majorBidi" w:hAnsiTheme="majorBidi" w:cstheme="majorBidi"/>
        </w:rPr>
        <w:t xml:space="preserve"> 1623, 1637-1640 (2008)</w:t>
      </w:r>
      <w:r w:rsidRPr="009353CA">
        <w:rPr>
          <w:rFonts w:asciiTheme="majorBidi" w:hAnsiTheme="majorBidi" w:cstheme="majorBidi" w:hint="cs"/>
          <w:rtl/>
        </w:rPr>
        <w:t xml:space="preserve"> </w:t>
      </w:r>
      <w:r w:rsidRPr="009353CA">
        <w:rPr>
          <w:rFonts w:ascii="Century" w:hAnsi="Century" w:hint="cs"/>
          <w:sz w:val="22"/>
          <w:rtl/>
        </w:rPr>
        <w:t xml:space="preserve">(להלן: </w:t>
      </w:r>
      <w:r w:rsidRPr="009353CA">
        <w:rPr>
          <w:rFonts w:ascii="Century" w:hAnsi="Century" w:cs="Miriam" w:hint="cs"/>
          <w:b/>
          <w:spacing w:val="0"/>
          <w:sz w:val="22"/>
          <w:szCs w:val="24"/>
          <w:rtl/>
        </w:rPr>
        <w:t xml:space="preserve">שרי </w:t>
      </w:r>
      <w:proofErr w:type="spellStart"/>
      <w:r w:rsidRPr="009353CA">
        <w:rPr>
          <w:rFonts w:ascii="Century" w:hAnsi="Century" w:cs="Miriam" w:hint="cs"/>
          <w:b/>
          <w:spacing w:val="0"/>
          <w:sz w:val="22"/>
          <w:szCs w:val="24"/>
          <w:rtl/>
        </w:rPr>
        <w:t>מוטרו</w:t>
      </w:r>
      <w:proofErr w:type="spellEnd"/>
      <w:r w:rsidRPr="009353CA">
        <w:rPr>
          <w:rFonts w:ascii="Century" w:hAnsi="Century" w:hint="cs"/>
          <w:sz w:val="22"/>
          <w:rtl/>
        </w:rPr>
        <w:t xml:space="preserve">)). </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דוקטרינת השיתוף הספציפי הקימה מנגנון שיתוף הסכמי אשר מייחס לבן הזוג בעל הנכסים כוונה להקנות לבת זוגו, אחרי שנים רבות של חיים משותפים, את מחצית הזכויות בנכסיו האישיים, כל אימת שכוונה כאמור הוצהרה על ידי בן הזוג או השתמעה מהתנהלותו במהלך הנישואין. מנגנון זה מכיל בתוכו אנומאליה כלכלית ומשפטית שזיהיתיה כניכוס המאמץ העודף של בת הזוג. </w:t>
      </w:r>
      <w:r w:rsidRPr="009353CA">
        <w:rPr>
          <w:rFonts w:ascii="Century" w:hAnsi="Century" w:cs="Miriam" w:hint="cs"/>
          <w:b/>
          <w:spacing w:val="0"/>
          <w:sz w:val="22"/>
          <w:szCs w:val="24"/>
          <w:rtl/>
        </w:rPr>
        <w:t>תוצאה אנומאלית זו ראוי למנוע באמצעות מנגנון משפטי שאיננו תלוי בכוונותיו הטובות, והפחות טובות, של בן הזוג בעל הנכסים האישיים, אשר יכול שירצה ויכול שלא ירצה לשתף את בת זוגו בנכסיו.</w:t>
      </w:r>
      <w:r w:rsidRPr="009353CA">
        <w:rPr>
          <w:rFonts w:hint="cs"/>
          <w:rtl/>
        </w:rPr>
        <w:t xml:space="preserve"> דוקטרינת השיתוף הספציפי לוקה בכך שאיננה מונעת את ניכוס המאמץ העודף של בת הזוג כאשר זו אינה מצליחה להוכיח שבן זוגה, היוצא מהנישואין עם כלל נכסיו האישיים, התכוון לשתפה בהם ונתן ביטוי חיצוני לכוונתו. לטעמי, התיקון הדרוש אינו יכול לבוא בדמותו של כלל משפטי רחב אשר מקנה לשופטים ולדיינים את הכוח לעשות "צדק קנייני" בין בני הזוג המתגרשים לפי ראות עיניהם. התיקון הדרוש צריך להיעשות במסגרתו של כלל משפטי </w:t>
      </w:r>
      <w:r w:rsidRPr="009353CA">
        <w:rPr>
          <w:rFonts w:hint="cs"/>
          <w:rtl/>
        </w:rPr>
        <w:lastRenderedPageBreak/>
        <w:t xml:space="preserve">ממוקד אשר יחייב את בן הזוג בעל הנכסים לשלם לבת זוגו, במסגרת הסדר גירושין, תמורה הולמת </w:t>
      </w:r>
      <w:r w:rsidRPr="009353CA">
        <w:rPr>
          <w:rtl/>
        </w:rPr>
        <w:t>–</w:t>
      </w:r>
      <w:r w:rsidRPr="009353CA">
        <w:rPr>
          <w:rFonts w:hint="cs"/>
          <w:rtl/>
        </w:rPr>
        <w:t xml:space="preserve"> או תשלום איזון </w:t>
      </w:r>
      <w:r w:rsidRPr="009353CA">
        <w:rPr>
          <w:rtl/>
        </w:rPr>
        <w:t>–</w:t>
      </w:r>
      <w:r w:rsidRPr="009353CA">
        <w:rPr>
          <w:rFonts w:hint="cs"/>
          <w:rtl/>
        </w:rPr>
        <w:t xml:space="preserve"> בגין המאמץ העודף שלה. </w:t>
      </w:r>
    </w:p>
    <w:p w:rsidR="00917458" w:rsidRPr="009353CA" w:rsidRDefault="00917458" w:rsidP="00917458">
      <w:pPr>
        <w:pStyle w:val="Ruller4"/>
        <w:numPr>
          <w:ilvl w:val="0"/>
          <w:numId w:val="0"/>
        </w:numPr>
      </w:pPr>
    </w:p>
    <w:p w:rsidR="00917458" w:rsidRPr="009353CA" w:rsidRDefault="00917458" w:rsidP="00917458">
      <w:pPr>
        <w:pStyle w:val="Ruller4"/>
        <w:rPr>
          <w:rtl/>
        </w:rPr>
      </w:pPr>
      <w:r w:rsidRPr="009353CA">
        <w:rPr>
          <w:rFonts w:hint="cs"/>
          <w:rtl/>
        </w:rPr>
        <w:t xml:space="preserve">דוקטרינת השיתוף הספציפי טעונה אפוא החלפה בכלל שיתוף ממוקד, אשר ימנע את </w:t>
      </w:r>
      <w:r w:rsidRPr="009353CA">
        <w:rPr>
          <w:rFonts w:hint="eastAsia"/>
          <w:rtl/>
        </w:rPr>
        <w:t>ניכוס</w:t>
      </w:r>
      <w:r w:rsidRPr="009353CA">
        <w:rPr>
          <w:rtl/>
        </w:rPr>
        <w:t xml:space="preserve"> </w:t>
      </w:r>
      <w:r w:rsidRPr="009353CA">
        <w:rPr>
          <w:rFonts w:hint="eastAsia"/>
          <w:rtl/>
        </w:rPr>
        <w:t>המאמץ</w:t>
      </w:r>
      <w:r w:rsidRPr="009353CA">
        <w:rPr>
          <w:rtl/>
        </w:rPr>
        <w:t xml:space="preserve"> </w:t>
      </w:r>
      <w:r w:rsidRPr="009353CA">
        <w:rPr>
          <w:rFonts w:hint="eastAsia"/>
          <w:rtl/>
        </w:rPr>
        <w:t>העודף</w:t>
      </w:r>
      <w:r w:rsidRPr="009353CA">
        <w:rPr>
          <w:rtl/>
        </w:rPr>
        <w:t xml:space="preserve"> </w:t>
      </w:r>
      <w:r w:rsidRPr="009353CA">
        <w:rPr>
          <w:rFonts w:hint="eastAsia"/>
          <w:rtl/>
        </w:rPr>
        <w:t>של</w:t>
      </w:r>
      <w:r w:rsidRPr="009353CA">
        <w:rPr>
          <w:rtl/>
        </w:rPr>
        <w:t xml:space="preserve"> </w:t>
      </w:r>
      <w:r w:rsidRPr="009353CA">
        <w:rPr>
          <w:rFonts w:hint="eastAsia"/>
          <w:rtl/>
        </w:rPr>
        <w:t>בת</w:t>
      </w:r>
      <w:r w:rsidRPr="009353CA">
        <w:rPr>
          <w:rtl/>
        </w:rPr>
        <w:t xml:space="preserve"> </w:t>
      </w:r>
      <w:r w:rsidRPr="009353CA">
        <w:rPr>
          <w:rFonts w:hint="eastAsia"/>
          <w:rtl/>
        </w:rPr>
        <w:t>הזוג</w:t>
      </w:r>
      <w:r w:rsidRPr="009353CA">
        <w:rPr>
          <w:rFonts w:hint="cs"/>
          <w:rtl/>
        </w:rPr>
        <w:t xml:space="preserve"> על ידי בן הזוג בעל הנכסים האישיים. כלל זה צריך לקבוע נוסחה יציבה אשר תבטיח לבת הזוג פיצוי הולם ומידתי וימנע פיצוי יתר. נוסחה זו, שכאמור תתבסס על שיתוף הדרגתי במהלך החיים הזוגיים </w:t>
      </w:r>
      <w:r w:rsidRPr="009353CA">
        <w:rPr>
          <w:rtl/>
        </w:rPr>
        <w:t>–</w:t>
      </w:r>
      <w:r w:rsidRPr="009353CA">
        <w:rPr>
          <w:rFonts w:hint="cs"/>
          <w:rtl/>
        </w:rPr>
        <w:t xml:space="preserve"> </w:t>
      </w:r>
      <w:r w:rsidRPr="009353CA">
        <w:rPr>
          <w:rFonts w:ascii="Century" w:hAnsi="Century" w:cs="Miriam" w:hint="cs"/>
          <w:b/>
          <w:spacing w:val="0"/>
          <w:sz w:val="22"/>
          <w:szCs w:val="24"/>
          <w:rtl/>
        </w:rPr>
        <w:t>אשר נועד למנוע התעשרות של בן הזוג בעל הנכסים האישיים על חשבון בת זוגו ולהגן על אינטרס ההסתמכות שלה</w:t>
      </w:r>
      <w:r w:rsidRPr="009353CA">
        <w:rPr>
          <w:rFonts w:hint="cs"/>
          <w:rtl/>
        </w:rPr>
        <w:t xml:space="preserve"> </w:t>
      </w:r>
      <w:r w:rsidRPr="009353CA">
        <w:rPr>
          <w:rtl/>
        </w:rPr>
        <w:t>–</w:t>
      </w:r>
      <w:r w:rsidRPr="009353CA">
        <w:rPr>
          <w:rFonts w:hint="cs"/>
          <w:rtl/>
        </w:rPr>
        <w:t xml:space="preserve"> תוצע ותוסבר על ידי בהמשך דבריי. בטרם אעשה כן, אעמוד על מגרעותיה הנוספות של דוקטרינת השיתוף הספציפי, שלטעמי מחייבות את החלפתה בנוסחת שיתוף אחרת.</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מגרעותיה של </w:t>
      </w:r>
      <w:r w:rsidRPr="009353CA">
        <w:rPr>
          <w:rFonts w:ascii="Century" w:hAnsi="Century" w:cs="Miriam" w:hint="eastAsia"/>
          <w:b/>
          <w:spacing w:val="0"/>
          <w:szCs w:val="24"/>
          <w:rtl/>
        </w:rPr>
        <w:t>דוקטרינת</w:t>
      </w:r>
      <w:r w:rsidRPr="009353CA">
        <w:rPr>
          <w:rFonts w:ascii="Century" w:hAnsi="Century" w:cs="Miriam"/>
          <w:b/>
          <w:spacing w:val="0"/>
          <w:szCs w:val="24"/>
          <w:rtl/>
        </w:rPr>
        <w:t xml:space="preserve"> </w:t>
      </w:r>
      <w:r w:rsidRPr="009353CA">
        <w:rPr>
          <w:rFonts w:ascii="Century" w:hAnsi="Century" w:cs="Miriam" w:hint="eastAsia"/>
          <w:b/>
          <w:spacing w:val="0"/>
          <w:szCs w:val="24"/>
          <w:rtl/>
        </w:rPr>
        <w:t>השיתוף</w:t>
      </w:r>
      <w:r w:rsidRPr="009353CA">
        <w:rPr>
          <w:rFonts w:ascii="Century" w:hAnsi="Century" w:cs="Miriam"/>
          <w:b/>
          <w:spacing w:val="0"/>
          <w:szCs w:val="24"/>
          <w:rtl/>
        </w:rPr>
        <w:t xml:space="preserve"> </w:t>
      </w:r>
      <w:r w:rsidRPr="009353CA">
        <w:rPr>
          <w:rFonts w:ascii="Century" w:hAnsi="Century" w:cs="Miriam" w:hint="eastAsia"/>
          <w:b/>
          <w:spacing w:val="0"/>
          <w:szCs w:val="24"/>
          <w:rtl/>
        </w:rPr>
        <w:t>הספציפי</w:t>
      </w:r>
      <w:r w:rsidRPr="009353CA">
        <w:rPr>
          <w:rFonts w:ascii="Century" w:hAnsi="Century" w:cs="Miriam" w:hint="cs"/>
          <w:b/>
          <w:spacing w:val="0"/>
          <w:szCs w:val="24"/>
          <w:rtl/>
        </w:rPr>
        <w:t xml:space="preserve"> ונוסחת השיתוף שלה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הנני סבור כי דוקטרינת השיתוף הספציפי </w:t>
      </w:r>
      <w:r w:rsidRPr="009353CA">
        <w:rPr>
          <w:rFonts w:ascii="Century" w:hAnsi="Century" w:hint="cs"/>
          <w:sz w:val="22"/>
          <w:rtl/>
        </w:rPr>
        <w:t xml:space="preserve">לוקה </w:t>
      </w:r>
      <w:r w:rsidRPr="009353CA">
        <w:rPr>
          <w:rFonts w:hint="cs"/>
          <w:rtl/>
        </w:rPr>
        <w:t xml:space="preserve">בשבעה פגמים יסודיים ובשל כך עלינו לשנותה, כפי שאפרט להלן.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ואלה הם שבעת הפגמים של דוקטרינת השיתוף הספציפי: </w:t>
      </w:r>
    </w:p>
    <w:p w:rsidR="00917458" w:rsidRPr="009353CA" w:rsidRDefault="00917458" w:rsidP="00917458">
      <w:pPr>
        <w:pStyle w:val="Ruller41"/>
        <w:rPr>
          <w:rtl/>
        </w:rPr>
      </w:pPr>
      <w:bookmarkStart w:id="9" w:name="_Hlk52049343"/>
    </w:p>
    <w:p w:rsidR="00917458" w:rsidRPr="009353CA" w:rsidRDefault="00917458" w:rsidP="00917458">
      <w:pPr>
        <w:pStyle w:val="Ruller41"/>
        <w:numPr>
          <w:ilvl w:val="0"/>
          <w:numId w:val="24"/>
        </w:numPr>
      </w:pPr>
      <w:bookmarkStart w:id="10" w:name="_Hlk61038522"/>
      <w:r w:rsidRPr="009353CA">
        <w:rPr>
          <w:rFonts w:hint="cs"/>
          <w:rtl/>
        </w:rPr>
        <w:t xml:space="preserve">חוסר ההתאמה בין הרציונל של השיתוף הספציפי לבין הנוסחה שנקבעה עבורו בפסיקה. </w:t>
      </w:r>
    </w:p>
    <w:p w:rsidR="00917458" w:rsidRPr="009353CA" w:rsidRDefault="00917458" w:rsidP="00917458">
      <w:pPr>
        <w:pStyle w:val="Ruller41"/>
        <w:ind w:left="720"/>
      </w:pPr>
    </w:p>
    <w:p w:rsidR="00917458" w:rsidRPr="009353CA" w:rsidRDefault="00917458" w:rsidP="00917458">
      <w:pPr>
        <w:pStyle w:val="Ruller41"/>
        <w:numPr>
          <w:ilvl w:val="0"/>
          <w:numId w:val="24"/>
        </w:numPr>
      </w:pPr>
      <w:bookmarkStart w:id="11" w:name="_Hlk55373130"/>
      <w:r w:rsidRPr="009353CA">
        <w:rPr>
          <w:rFonts w:hint="cs"/>
          <w:rtl/>
        </w:rPr>
        <w:t>חוסר ודאות באשר לזמן ההתגבשות של השיתוף הספציפי ושאר התנאים שבהם בן זוג רוכש את מחצית הזכויות בנכסה האישי של בת זוגו.</w:t>
      </w:r>
      <w:bookmarkEnd w:id="11"/>
    </w:p>
    <w:p w:rsidR="00917458" w:rsidRPr="009353CA" w:rsidRDefault="00917458" w:rsidP="00917458">
      <w:pPr>
        <w:pStyle w:val="Ruller41"/>
        <w:ind w:left="720"/>
      </w:pPr>
    </w:p>
    <w:p w:rsidR="00917458" w:rsidRPr="009353CA" w:rsidRDefault="00917458" w:rsidP="00917458">
      <w:pPr>
        <w:pStyle w:val="Ruller41"/>
        <w:numPr>
          <w:ilvl w:val="0"/>
          <w:numId w:val="24"/>
        </w:numPr>
      </w:pPr>
      <w:r w:rsidRPr="009353CA">
        <w:rPr>
          <w:rFonts w:hint="cs"/>
          <w:rtl/>
        </w:rPr>
        <w:t xml:space="preserve">היותה של רכישת הזכויות כאמור רכישה </w:t>
      </w:r>
      <w:proofErr w:type="spellStart"/>
      <w:r w:rsidRPr="009353CA">
        <w:rPr>
          <w:rFonts w:hint="cs"/>
          <w:rtl/>
        </w:rPr>
        <w:t>מיידית</w:t>
      </w:r>
      <w:proofErr w:type="spellEnd"/>
      <w:r w:rsidRPr="009353CA">
        <w:rPr>
          <w:rFonts w:hint="cs"/>
          <w:rtl/>
        </w:rPr>
        <w:t xml:space="preserve"> באבחה אחת, והתמריצים המעוותים להתנהלותו של כל אחד מבני הזוג ביחסיו עם בן או בת זוגו, אשר נובעים מכך.</w:t>
      </w:r>
    </w:p>
    <w:p w:rsidR="00917458" w:rsidRPr="009353CA" w:rsidRDefault="00917458" w:rsidP="00917458">
      <w:pPr>
        <w:pStyle w:val="Ruller41"/>
        <w:ind w:left="720"/>
      </w:pPr>
    </w:p>
    <w:p w:rsidR="00917458" w:rsidRPr="009353CA" w:rsidRDefault="00917458" w:rsidP="00917458">
      <w:pPr>
        <w:pStyle w:val="Ruller41"/>
        <w:numPr>
          <w:ilvl w:val="0"/>
          <w:numId w:val="24"/>
        </w:numPr>
      </w:pPr>
      <w:r w:rsidRPr="009353CA">
        <w:rPr>
          <w:rFonts w:hint="cs"/>
          <w:rtl/>
        </w:rPr>
        <w:t>העדר התאמה בין רכישת הזכויות כאמור לבין רצונם הטיפוסי והשכיח של בני הזוג הנישאים במצב של חוסר שוויון רכושי.</w:t>
      </w:r>
    </w:p>
    <w:p w:rsidR="00917458" w:rsidRPr="009353CA" w:rsidRDefault="00917458" w:rsidP="00917458">
      <w:pPr>
        <w:pStyle w:val="Ruller41"/>
        <w:ind w:left="720"/>
      </w:pPr>
    </w:p>
    <w:p w:rsidR="00917458" w:rsidRPr="009353CA" w:rsidRDefault="00917458" w:rsidP="00917458">
      <w:pPr>
        <w:pStyle w:val="Ruller41"/>
        <w:numPr>
          <w:ilvl w:val="0"/>
          <w:numId w:val="24"/>
        </w:numPr>
      </w:pPr>
      <w:r w:rsidRPr="009353CA">
        <w:rPr>
          <w:rFonts w:hint="cs"/>
          <w:rtl/>
        </w:rPr>
        <w:lastRenderedPageBreak/>
        <w:t>פועלה של דוקטרינת השיתוף הספציפי כ"מלכודת קניין" עבור בני הזוג הנישאים והוריהם, שאינם מודעים לקיומה ולכלליה.</w:t>
      </w:r>
    </w:p>
    <w:p w:rsidR="00917458" w:rsidRPr="009353CA" w:rsidRDefault="00917458" w:rsidP="00917458">
      <w:pPr>
        <w:pStyle w:val="Ruller41"/>
        <w:ind w:left="720"/>
      </w:pPr>
    </w:p>
    <w:p w:rsidR="00917458" w:rsidRPr="009353CA" w:rsidRDefault="00917458" w:rsidP="00917458">
      <w:pPr>
        <w:pStyle w:val="Ruller41"/>
        <w:numPr>
          <w:ilvl w:val="0"/>
          <w:numId w:val="24"/>
        </w:numPr>
      </w:pPr>
      <w:r w:rsidRPr="009353CA">
        <w:rPr>
          <w:rFonts w:hint="cs"/>
          <w:rtl/>
        </w:rPr>
        <w:t>קשיים מעשיים ועלויות עסקה כבדות, במובנן הרחב, אשר נופלים על שכמו של כל אחד מבני הזוג הנישאים במצב של חוסר שוויון רכושי.</w:t>
      </w:r>
    </w:p>
    <w:p w:rsidR="00917458" w:rsidRPr="009353CA" w:rsidRDefault="00917458" w:rsidP="00917458">
      <w:pPr>
        <w:pStyle w:val="Ruller41"/>
        <w:ind w:left="720"/>
      </w:pPr>
    </w:p>
    <w:p w:rsidR="00917458" w:rsidRPr="009353CA" w:rsidRDefault="00917458" w:rsidP="00917458">
      <w:pPr>
        <w:pStyle w:val="Ruller41"/>
        <w:numPr>
          <w:ilvl w:val="0"/>
          <w:numId w:val="24"/>
        </w:numPr>
        <w:rPr>
          <w:rtl/>
        </w:rPr>
      </w:pPr>
      <w:r w:rsidRPr="009353CA">
        <w:rPr>
          <w:rFonts w:hint="cs"/>
          <w:rtl/>
        </w:rPr>
        <w:t>סתירה בין דוקטרינת השיתוף הספציפי לבין דרישות הכתב שבחוק יחסי ממון ובסעיף 8 לחוק המקרקעין</w:t>
      </w:r>
      <w:bookmarkEnd w:id="9"/>
      <w:r w:rsidRPr="009353CA">
        <w:rPr>
          <w:rFonts w:hint="cs"/>
          <w:rtl/>
        </w:rPr>
        <w:t>.</w:t>
      </w:r>
    </w:p>
    <w:bookmarkEnd w:id="10"/>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t xml:space="preserve">על כל אלה אעמוד כעת </w:t>
      </w:r>
      <w:r w:rsidRPr="009353CA">
        <w:rPr>
          <w:rtl/>
        </w:rPr>
        <w:t>–</w:t>
      </w:r>
      <w:r w:rsidRPr="009353CA">
        <w:rPr>
          <w:rFonts w:hint="cs"/>
          <w:rtl/>
        </w:rPr>
        <w:t xml:space="preserve"> בטרם אפרט את הצעתי להחליף את דוקטרינת השיתוף הספציפי בנוסחת השיתוף ההדרגתי בנכסים. אקדים ואבהיר כי בסופו של יום נושא דיוננו הוא קביעתה של </w:t>
      </w:r>
      <w:r w:rsidRPr="009353CA">
        <w:rPr>
          <w:rFonts w:ascii="Century" w:hAnsi="Century" w:cs="Miriam" w:hint="cs"/>
          <w:b/>
          <w:spacing w:val="0"/>
          <w:sz w:val="22"/>
          <w:szCs w:val="24"/>
          <w:rtl/>
        </w:rPr>
        <w:t>ברירת מחדל</w:t>
      </w:r>
      <w:r w:rsidRPr="009353CA">
        <w:rPr>
          <w:rFonts w:hint="cs"/>
          <w:rtl/>
        </w:rPr>
        <w:t xml:space="preserve"> (</w:t>
      </w:r>
      <w:r w:rsidRPr="009353CA">
        <w:rPr>
          <w:rFonts w:asciiTheme="majorBidi" w:hAnsiTheme="majorBidi" w:cstheme="majorBidi"/>
          <w:szCs w:val="24"/>
        </w:rPr>
        <w:t>default rule</w:t>
      </w:r>
      <w:r w:rsidRPr="009353CA">
        <w:rPr>
          <w:rFonts w:hint="cs"/>
          <w:rtl/>
        </w:rPr>
        <w:t xml:space="preserve">) בעניין רכושו האישי של כל אחד מבני הזוג, שאותה ניתן לשנות על ידי הסכמה אחרת בהסכם ממון אשר נערך בהתאם לחוק יחסי ממון. הסכמה זו יכול שתקבע את שיתופו, את שיתופו בתנאים, או את אי-שיתופו של בן הזוג ברכושה האישי של בת זוגו. </w:t>
      </w:r>
      <w:r w:rsidRPr="009353CA">
        <w:rPr>
          <w:rFonts w:ascii="Century" w:hAnsi="Century" w:cs="Miriam" w:hint="cs"/>
          <w:b/>
          <w:spacing w:val="0"/>
          <w:sz w:val="22"/>
          <w:szCs w:val="24"/>
          <w:rtl/>
        </w:rPr>
        <w:t xml:space="preserve">ברירת מחדל כאמור צריך אפוא שתוגדר באופן אשר יקל </w:t>
      </w:r>
      <w:r w:rsidRPr="009353CA">
        <w:rPr>
          <w:rFonts w:ascii="Century" w:hAnsi="Century" w:cs="Miriam"/>
          <w:b/>
          <w:spacing w:val="0"/>
          <w:sz w:val="22"/>
          <w:szCs w:val="24"/>
          <w:rtl/>
        </w:rPr>
        <w:t>–</w:t>
      </w:r>
      <w:r w:rsidRPr="009353CA">
        <w:rPr>
          <w:rFonts w:ascii="Century" w:hAnsi="Century" w:cs="Miriam" w:hint="cs"/>
          <w:b/>
          <w:spacing w:val="0"/>
          <w:sz w:val="22"/>
          <w:szCs w:val="24"/>
          <w:rtl/>
        </w:rPr>
        <w:t xml:space="preserve"> ולא יקשה </w:t>
      </w:r>
      <w:r w:rsidRPr="009353CA">
        <w:rPr>
          <w:rFonts w:ascii="Century" w:hAnsi="Century" w:cs="Miriam"/>
          <w:b/>
          <w:spacing w:val="0"/>
          <w:sz w:val="22"/>
          <w:szCs w:val="24"/>
          <w:rtl/>
        </w:rPr>
        <w:t>–</w:t>
      </w:r>
      <w:r w:rsidRPr="009353CA">
        <w:rPr>
          <w:rFonts w:ascii="Century" w:hAnsi="Century" w:cs="Miriam" w:hint="cs"/>
          <w:b/>
          <w:spacing w:val="0"/>
          <w:sz w:val="22"/>
          <w:szCs w:val="24"/>
          <w:rtl/>
        </w:rPr>
        <w:t xml:space="preserve"> על בני זוג הנישאים זה לזו במצב של חוסר שוויון רכושי להגיע להסכמה הדדית בנוגע לזכויות ברכושם האישי. </w:t>
      </w:r>
      <w:r w:rsidRPr="009353CA">
        <w:rPr>
          <w:rFonts w:hint="cs"/>
          <w:rtl/>
        </w:rPr>
        <w:t>כדי להגיע לתוצאה זו, ברירת המחדל חייבת לשקף את מה שרוב בני הזוג היו מסכימים ביניהם בגדרו של משא ומתן כן והגון (ראו:</w:t>
      </w:r>
      <w:r>
        <w:rPr>
          <w:rFonts w:hint="cs"/>
          <w:rtl/>
        </w:rPr>
        <w:t xml:space="preserve"> </w:t>
      </w:r>
      <w:r w:rsidRPr="009353CA">
        <w:rPr>
          <w:rFonts w:hint="cs"/>
          <w:rtl/>
        </w:rPr>
        <w:t xml:space="preserve">ליפשיץ </w:t>
      </w:r>
      <w:r w:rsidRPr="009353CA">
        <w:rPr>
          <w:rFonts w:ascii="Century" w:hAnsi="Century" w:cs="Miriam" w:hint="eastAsia"/>
          <w:b/>
          <w:spacing w:val="0"/>
          <w:sz w:val="22"/>
          <w:szCs w:val="24"/>
          <w:rtl/>
        </w:rPr>
        <w:t>השיתוף</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הזוגי</w:t>
      </w:r>
      <w:r w:rsidRPr="009353CA">
        <w:rPr>
          <w:rFonts w:hint="cs"/>
          <w:rtl/>
        </w:rPr>
        <w:t>, בעמ' 40).</w:t>
      </w:r>
      <w:r w:rsidRPr="009353CA">
        <w:t xml:space="preserve">  </w:t>
      </w:r>
    </w:p>
    <w:p w:rsidR="00917458" w:rsidRPr="009353CA" w:rsidRDefault="00917458" w:rsidP="00917458">
      <w:pPr>
        <w:pStyle w:val="Ruller41"/>
        <w:rPr>
          <w:rtl/>
        </w:rPr>
      </w:pPr>
    </w:p>
    <w:p w:rsidR="00917458" w:rsidRPr="009353CA" w:rsidRDefault="00917458" w:rsidP="00917458">
      <w:pPr>
        <w:pStyle w:val="Ruller41"/>
      </w:pPr>
      <w:r w:rsidRPr="009353CA">
        <w:rPr>
          <w:rFonts w:ascii="Century" w:hAnsi="Century" w:cs="Miriam" w:hint="cs"/>
          <w:b/>
          <w:spacing w:val="0"/>
          <w:szCs w:val="24"/>
          <w:rtl/>
        </w:rPr>
        <w:t>חוסר ההתאמה בין הרציונל של השיתוף הספציפי לבין הנוסחה שנקבעה עבורו בפסיקה</w:t>
      </w:r>
      <w:r w:rsidRPr="009353CA">
        <w:rPr>
          <w:rFonts w:hint="cs"/>
          <w:rtl/>
        </w:rPr>
        <w:t xml:space="preserve"> </w:t>
      </w:r>
    </w:p>
    <w:p w:rsidR="00917458" w:rsidRPr="009353CA" w:rsidRDefault="00917458" w:rsidP="00917458">
      <w:pPr>
        <w:pStyle w:val="Ruller41"/>
        <w:rPr>
          <w:rFonts w:ascii="Century" w:hAnsi="Century" w:cs="Miriam"/>
          <w:b/>
          <w:spacing w:val="0"/>
          <w:szCs w:val="24"/>
          <w:rtl/>
        </w:rPr>
      </w:pPr>
    </w:p>
    <w:p w:rsidR="00917458" w:rsidRPr="009353CA" w:rsidRDefault="00917458" w:rsidP="00917458">
      <w:pPr>
        <w:pStyle w:val="Ruller4"/>
        <w:rPr>
          <w:rtl/>
        </w:rPr>
      </w:pPr>
      <w:r w:rsidRPr="009353CA">
        <w:rPr>
          <w:rFonts w:hint="cs"/>
          <w:rtl/>
        </w:rPr>
        <w:t>על אחד מהיבטיו של חוסר התאמה כאמור כבר עמדתי לעיל: דוקטרינת השיתוף הספציפי לא מונעת את ניכוס המאמץ העודף של בת הזוג כאשר היא אינה מצליחה להוכיח שבן זוגה, היוצא מהנישואין עם כלל נכסיו האישיים, התכוון לשתפה בהם באופן מלא או חלקי.</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היבט אחר של חוסר התאמה כאמור הוא המעבר החד של בת הזוג מ-0% ל-50% בזכויות בנכסיו האישיים של בן זוגה. מעבר זה מנוגד לרציונל של השיתוף הספציפי אשר מבוסס על </w:t>
      </w:r>
      <w:r w:rsidRPr="009353CA">
        <w:rPr>
          <w:rFonts w:ascii="Century" w:hAnsi="Century" w:cs="Miriam" w:hint="cs"/>
          <w:b/>
          <w:spacing w:val="0"/>
          <w:sz w:val="22"/>
          <w:szCs w:val="24"/>
          <w:rtl/>
        </w:rPr>
        <w:t>צבירה הדרגתית</w:t>
      </w:r>
      <w:r w:rsidRPr="009353CA">
        <w:rPr>
          <w:rFonts w:hint="cs"/>
          <w:rtl/>
        </w:rPr>
        <w:t xml:space="preserve"> של זכויות על ידי בת הזוג בנכסי בן זוגה במהלך שנות הנישואין. נניח שבאין אינדיקציה אחרת, מעבר זה מתרחש, לפי כלליה של דוקטרינת השיתוף הספציפי, אחרי 30 שנות נישואין או אחרי תקופה דומה (ראו והשוו: </w:t>
      </w:r>
      <w:r w:rsidRPr="009353CA">
        <w:rPr>
          <w:rFonts w:ascii="Century" w:hAnsi="Century" w:hint="eastAsia"/>
          <w:sz w:val="22"/>
          <w:rtl/>
        </w:rPr>
        <w:t>ע</w:t>
      </w:r>
      <w:r w:rsidRPr="009353CA">
        <w:rPr>
          <w:rFonts w:ascii="Century" w:hAnsi="Century" w:hint="cs"/>
          <w:sz w:val="22"/>
          <w:rtl/>
        </w:rPr>
        <w:t>"</w:t>
      </w:r>
      <w:r w:rsidRPr="009353CA">
        <w:rPr>
          <w:rFonts w:ascii="Century" w:hAnsi="Century" w:hint="eastAsia"/>
          <w:sz w:val="22"/>
          <w:rtl/>
        </w:rPr>
        <w:t>א</w:t>
      </w:r>
      <w:r w:rsidRPr="009353CA">
        <w:rPr>
          <w:rFonts w:ascii="Century" w:hAnsi="Century"/>
          <w:sz w:val="22"/>
          <w:rtl/>
        </w:rPr>
        <w:t xml:space="preserve"> 806/93‏ </w:t>
      </w:r>
      <w:r w:rsidRPr="009353CA">
        <w:rPr>
          <w:rFonts w:ascii="Century" w:hAnsi="Century"/>
          <w:sz w:val="22"/>
          <w:cs/>
        </w:rPr>
        <w:t>‎</w:t>
      </w:r>
      <w:r w:rsidRPr="009353CA">
        <w:rPr>
          <w:rFonts w:ascii="Century" w:hAnsi="Century"/>
          <w:sz w:val="22"/>
        </w:rPr>
        <w:t xml:space="preserve"> </w:t>
      </w:r>
      <w:r w:rsidRPr="009353CA">
        <w:rPr>
          <w:rFonts w:ascii="Century" w:hAnsi="Century" w:cs="Miriam" w:hint="eastAsia"/>
          <w:b/>
          <w:spacing w:val="0"/>
          <w:sz w:val="22"/>
          <w:szCs w:val="24"/>
          <w:rtl/>
        </w:rPr>
        <w:t>הדרי</w:t>
      </w:r>
      <w:r w:rsidRPr="009353CA">
        <w:rPr>
          <w:rFonts w:ascii="Century" w:hAnsi="Century" w:cs="Miriam" w:hint="eastAsia"/>
          <w:b/>
          <w:spacing w:val="0"/>
          <w:sz w:val="22"/>
          <w:szCs w:val="24"/>
          <w:cs/>
        </w:rPr>
        <w:t>‎</w:t>
      </w:r>
      <w:r w:rsidRPr="009353CA">
        <w:rPr>
          <w:rFonts w:ascii="Century" w:hAnsi="Century" w:cs="Miriam"/>
          <w:b/>
          <w:spacing w:val="0"/>
          <w:sz w:val="22"/>
          <w:szCs w:val="24"/>
        </w:rPr>
        <w:t xml:space="preserve"> </w:t>
      </w:r>
      <w:r w:rsidRPr="009353CA">
        <w:rPr>
          <w:rFonts w:ascii="Century" w:hAnsi="Century" w:cs="Miriam"/>
          <w:b/>
          <w:spacing w:val="0"/>
          <w:sz w:val="22"/>
          <w:szCs w:val="24"/>
          <w:cs/>
        </w:rPr>
        <w:t>‎</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הדרי</w:t>
      </w:r>
      <w:r w:rsidRPr="009353CA">
        <w:rPr>
          <w:rFonts w:ascii="Century" w:hAnsi="Century"/>
          <w:sz w:val="22"/>
          <w:rtl/>
        </w:rPr>
        <w:t xml:space="preserve">, </w:t>
      </w:r>
      <w:r w:rsidRPr="009353CA">
        <w:rPr>
          <w:rFonts w:ascii="Century" w:hAnsi="Century" w:hint="eastAsia"/>
          <w:sz w:val="22"/>
          <w:rtl/>
        </w:rPr>
        <w:t>פ</w:t>
      </w:r>
      <w:r>
        <w:rPr>
          <w:rFonts w:ascii="Century" w:hAnsi="Century" w:hint="cs"/>
          <w:sz w:val="22"/>
          <w:rtl/>
        </w:rPr>
        <w:t>"</w:t>
      </w:r>
      <w:r w:rsidRPr="009353CA">
        <w:rPr>
          <w:rFonts w:ascii="Century" w:hAnsi="Century" w:hint="eastAsia"/>
          <w:sz w:val="22"/>
          <w:rtl/>
        </w:rPr>
        <w:t>ד</w:t>
      </w:r>
      <w:r w:rsidRPr="009353CA">
        <w:rPr>
          <w:rFonts w:ascii="Century" w:hAnsi="Century"/>
          <w:sz w:val="22"/>
          <w:rtl/>
        </w:rPr>
        <w:t xml:space="preserve"> </w:t>
      </w:r>
      <w:r w:rsidRPr="009353CA">
        <w:rPr>
          <w:rFonts w:ascii="Century" w:hAnsi="Century" w:hint="eastAsia"/>
          <w:sz w:val="22"/>
          <w:rtl/>
        </w:rPr>
        <w:t>מח</w:t>
      </w:r>
      <w:r w:rsidRPr="009353CA">
        <w:rPr>
          <w:rFonts w:ascii="Century" w:hAnsi="Century"/>
          <w:sz w:val="22"/>
          <w:rtl/>
        </w:rPr>
        <w:t>(3) 685</w:t>
      </w:r>
      <w:r w:rsidRPr="009353CA">
        <w:rPr>
          <w:rFonts w:ascii="Century" w:hAnsi="Century" w:hint="cs"/>
          <w:sz w:val="22"/>
          <w:rtl/>
        </w:rPr>
        <w:t>, 692 (1994)</w:t>
      </w:r>
      <w:r w:rsidRPr="00106F85">
        <w:rPr>
          <w:rFonts w:ascii="Century" w:hAnsi="Century"/>
          <w:sz w:val="22"/>
          <w:rtl/>
        </w:rPr>
        <w:t>;</w:t>
      </w:r>
      <w:r w:rsidRPr="009353CA">
        <w:rPr>
          <w:rFonts w:ascii="Century" w:hAnsi="Century" w:cs="Miriam" w:hint="cs"/>
          <w:b/>
          <w:spacing w:val="0"/>
          <w:sz w:val="22"/>
          <w:szCs w:val="24"/>
          <w:rtl/>
        </w:rPr>
        <w:t xml:space="preserve"> </w:t>
      </w:r>
      <w:r w:rsidRPr="009353CA">
        <w:rPr>
          <w:rFonts w:ascii="Century" w:hAnsi="Century" w:cs="Miriam" w:hint="eastAsia"/>
          <w:b/>
          <w:spacing w:val="0"/>
          <w:sz w:val="22"/>
          <w:szCs w:val="24"/>
          <w:rtl/>
        </w:rPr>
        <w:t>בע</w:t>
      </w:r>
      <w:r w:rsidRPr="009353CA">
        <w:rPr>
          <w:rFonts w:ascii="Century" w:hAnsi="Century" w:cs="Miriam"/>
          <w:b/>
          <w:spacing w:val="0"/>
          <w:sz w:val="22"/>
          <w:szCs w:val="24"/>
          <w:rtl/>
        </w:rPr>
        <w:t>"</w:t>
      </w:r>
      <w:r w:rsidRPr="009353CA">
        <w:rPr>
          <w:rFonts w:ascii="Century" w:hAnsi="Century" w:cs="Miriam" w:hint="eastAsia"/>
          <w:b/>
          <w:spacing w:val="0"/>
          <w:sz w:val="22"/>
          <w:szCs w:val="24"/>
          <w:rtl/>
        </w:rPr>
        <w:t>מ</w:t>
      </w:r>
      <w:r w:rsidRPr="009353CA">
        <w:rPr>
          <w:rFonts w:ascii="Century" w:hAnsi="Century" w:cs="Miriam"/>
          <w:b/>
          <w:spacing w:val="0"/>
          <w:sz w:val="22"/>
          <w:szCs w:val="24"/>
          <w:rtl/>
        </w:rPr>
        <w:t xml:space="preserve"> 1398/11</w:t>
      </w:r>
      <w:r w:rsidRPr="009353CA">
        <w:rPr>
          <w:rFonts w:ascii="Century" w:hAnsi="Century" w:hint="cs"/>
          <w:sz w:val="22"/>
          <w:rtl/>
        </w:rPr>
        <w:t xml:space="preserve">, פסקה 2 לדברי </w:t>
      </w:r>
      <w:r w:rsidRPr="009353CA">
        <w:rPr>
          <w:rFonts w:ascii="Century" w:hAnsi="Century" w:hint="cs"/>
          <w:sz w:val="22"/>
          <w:rtl/>
        </w:rPr>
        <w:lastRenderedPageBreak/>
        <w:t xml:space="preserve">השופט </w:t>
      </w:r>
      <w:r w:rsidRPr="009353CA">
        <w:rPr>
          <w:rFonts w:ascii="Century" w:hAnsi="Century" w:cs="Miriam" w:hint="cs"/>
          <w:b/>
          <w:spacing w:val="0"/>
          <w:sz w:val="22"/>
          <w:szCs w:val="24"/>
          <w:rtl/>
        </w:rPr>
        <w:t>י' עמית</w:t>
      </w:r>
      <w:r w:rsidRPr="009353CA">
        <w:rPr>
          <w:rFonts w:hint="cs"/>
          <w:rtl/>
        </w:rPr>
        <w:t>). מהי ההצדקה לכך שבת הזוג לא תקבל שום חלק בנכסי בן זוגה אחרי 25 שנות נישואין, שבסופן הקשר הזוגי הסתיים? ומדוע שיתופה של בת הזוג בנכסיו האישיים של בן זוגה אחרי 30 שנות נישואין יגיע כדי 50%, להבדיל מחלק קטן יותר, כגון 30% או 40%? דוקטרינת השיתוף הספציפי לא מתייחסת לשאלות אלה וממילא לא נותנת להן תשובה המניחה את הדעת.</w:t>
      </w:r>
    </w:p>
    <w:p w:rsidR="00917458" w:rsidRPr="009353CA" w:rsidRDefault="00917458" w:rsidP="00917458">
      <w:pPr>
        <w:pStyle w:val="Ruller41"/>
        <w:rPr>
          <w:rFonts w:ascii="Century" w:hAnsi="Century" w:cs="Miriam"/>
          <w:b/>
          <w:spacing w:val="0"/>
          <w:szCs w:val="24"/>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eastAsia"/>
          <w:b/>
          <w:spacing w:val="0"/>
          <w:szCs w:val="24"/>
          <w:rtl/>
        </w:rPr>
        <w:t>חוסר</w:t>
      </w:r>
      <w:r w:rsidRPr="009353CA">
        <w:rPr>
          <w:rFonts w:ascii="Century" w:hAnsi="Century" w:cs="Miriam"/>
          <w:b/>
          <w:spacing w:val="0"/>
          <w:szCs w:val="24"/>
          <w:rtl/>
        </w:rPr>
        <w:t xml:space="preserve"> </w:t>
      </w:r>
      <w:r w:rsidRPr="009353CA">
        <w:rPr>
          <w:rFonts w:ascii="Century" w:hAnsi="Century" w:cs="Miriam" w:hint="eastAsia"/>
          <w:b/>
          <w:spacing w:val="0"/>
          <w:szCs w:val="24"/>
          <w:rtl/>
        </w:rPr>
        <w:t>ודאות</w:t>
      </w:r>
      <w:r w:rsidRPr="009353CA">
        <w:rPr>
          <w:rFonts w:ascii="Century" w:hAnsi="Century" w:cs="Miriam"/>
          <w:b/>
          <w:spacing w:val="0"/>
          <w:szCs w:val="24"/>
          <w:rtl/>
        </w:rPr>
        <w:t xml:space="preserve"> </w:t>
      </w:r>
      <w:r w:rsidRPr="009353CA">
        <w:rPr>
          <w:rFonts w:ascii="Century" w:hAnsi="Century" w:cs="Miriam" w:hint="eastAsia"/>
          <w:b/>
          <w:spacing w:val="0"/>
          <w:szCs w:val="24"/>
          <w:rtl/>
        </w:rPr>
        <w:t>באשר</w:t>
      </w:r>
      <w:r w:rsidRPr="009353CA">
        <w:rPr>
          <w:rFonts w:ascii="Century" w:hAnsi="Century" w:cs="Miriam"/>
          <w:b/>
          <w:spacing w:val="0"/>
          <w:szCs w:val="24"/>
          <w:rtl/>
        </w:rPr>
        <w:t xml:space="preserve"> </w:t>
      </w:r>
      <w:r w:rsidRPr="009353CA">
        <w:rPr>
          <w:rFonts w:ascii="Century" w:hAnsi="Century" w:cs="Miriam" w:hint="eastAsia"/>
          <w:b/>
          <w:spacing w:val="0"/>
          <w:szCs w:val="24"/>
          <w:rtl/>
        </w:rPr>
        <w:t>לזמן</w:t>
      </w:r>
      <w:r w:rsidRPr="009353CA">
        <w:rPr>
          <w:rFonts w:ascii="Century" w:hAnsi="Century" w:cs="Miriam"/>
          <w:b/>
          <w:spacing w:val="0"/>
          <w:szCs w:val="24"/>
          <w:rtl/>
        </w:rPr>
        <w:t xml:space="preserve"> </w:t>
      </w:r>
      <w:r w:rsidRPr="009353CA">
        <w:rPr>
          <w:rFonts w:ascii="Century" w:hAnsi="Century" w:cs="Miriam" w:hint="eastAsia"/>
          <w:b/>
          <w:spacing w:val="0"/>
          <w:szCs w:val="24"/>
          <w:rtl/>
        </w:rPr>
        <w:t>ההתגבשות</w:t>
      </w:r>
      <w:r w:rsidRPr="009353CA">
        <w:rPr>
          <w:rFonts w:ascii="Century" w:hAnsi="Century" w:cs="Miriam"/>
          <w:b/>
          <w:spacing w:val="0"/>
          <w:szCs w:val="24"/>
          <w:rtl/>
        </w:rPr>
        <w:t xml:space="preserve"> </w:t>
      </w:r>
      <w:r w:rsidRPr="009353CA">
        <w:rPr>
          <w:rFonts w:ascii="Century" w:hAnsi="Century" w:cs="Miriam" w:hint="eastAsia"/>
          <w:b/>
          <w:spacing w:val="0"/>
          <w:szCs w:val="24"/>
          <w:rtl/>
        </w:rPr>
        <w:t>של</w:t>
      </w:r>
      <w:r w:rsidRPr="009353CA">
        <w:rPr>
          <w:rFonts w:ascii="Century" w:hAnsi="Century" w:cs="Miriam"/>
          <w:b/>
          <w:spacing w:val="0"/>
          <w:szCs w:val="24"/>
          <w:rtl/>
        </w:rPr>
        <w:t xml:space="preserve"> </w:t>
      </w:r>
      <w:r w:rsidRPr="009353CA">
        <w:rPr>
          <w:rFonts w:ascii="Century" w:hAnsi="Century" w:cs="Miriam" w:hint="eastAsia"/>
          <w:b/>
          <w:spacing w:val="0"/>
          <w:szCs w:val="24"/>
          <w:rtl/>
        </w:rPr>
        <w:t>השיתוף</w:t>
      </w:r>
      <w:r w:rsidRPr="009353CA">
        <w:rPr>
          <w:rFonts w:ascii="Century" w:hAnsi="Century" w:cs="Miriam"/>
          <w:b/>
          <w:spacing w:val="0"/>
          <w:szCs w:val="24"/>
          <w:rtl/>
        </w:rPr>
        <w:t xml:space="preserve"> </w:t>
      </w:r>
      <w:r w:rsidRPr="009353CA">
        <w:rPr>
          <w:rFonts w:ascii="Century" w:hAnsi="Century" w:cs="Miriam" w:hint="eastAsia"/>
          <w:b/>
          <w:spacing w:val="0"/>
          <w:szCs w:val="24"/>
          <w:rtl/>
        </w:rPr>
        <w:t>הספציפי</w:t>
      </w:r>
      <w:r w:rsidRPr="009353CA">
        <w:rPr>
          <w:rFonts w:ascii="Century" w:hAnsi="Century" w:cs="Miriam"/>
          <w:b/>
          <w:spacing w:val="0"/>
          <w:szCs w:val="24"/>
          <w:rtl/>
        </w:rPr>
        <w:t xml:space="preserve"> </w:t>
      </w:r>
      <w:r w:rsidRPr="009353CA">
        <w:rPr>
          <w:rFonts w:ascii="Century" w:hAnsi="Century" w:cs="Miriam" w:hint="eastAsia"/>
          <w:b/>
          <w:spacing w:val="0"/>
          <w:szCs w:val="24"/>
          <w:rtl/>
        </w:rPr>
        <w:t>ושאר</w:t>
      </w:r>
      <w:r w:rsidRPr="009353CA">
        <w:rPr>
          <w:rFonts w:ascii="Century" w:hAnsi="Century" w:cs="Miriam"/>
          <w:b/>
          <w:spacing w:val="0"/>
          <w:szCs w:val="24"/>
          <w:rtl/>
        </w:rPr>
        <w:t xml:space="preserve"> </w:t>
      </w:r>
      <w:r w:rsidRPr="009353CA">
        <w:rPr>
          <w:rFonts w:ascii="Century" w:hAnsi="Century" w:cs="Miriam" w:hint="eastAsia"/>
          <w:b/>
          <w:spacing w:val="0"/>
          <w:szCs w:val="24"/>
          <w:rtl/>
        </w:rPr>
        <w:t>התנאים</w:t>
      </w:r>
      <w:r w:rsidRPr="009353CA">
        <w:rPr>
          <w:rFonts w:ascii="Century" w:hAnsi="Century" w:cs="Miriam"/>
          <w:b/>
          <w:spacing w:val="0"/>
          <w:szCs w:val="24"/>
          <w:rtl/>
        </w:rPr>
        <w:t xml:space="preserve"> </w:t>
      </w:r>
      <w:r w:rsidRPr="009353CA">
        <w:rPr>
          <w:rFonts w:ascii="Century" w:hAnsi="Century" w:cs="Miriam" w:hint="eastAsia"/>
          <w:b/>
          <w:spacing w:val="0"/>
          <w:szCs w:val="24"/>
          <w:rtl/>
        </w:rPr>
        <w:t>שבהם</w:t>
      </w:r>
      <w:r w:rsidRPr="009353CA">
        <w:rPr>
          <w:rFonts w:ascii="Century" w:hAnsi="Century" w:cs="Miriam"/>
          <w:b/>
          <w:spacing w:val="0"/>
          <w:szCs w:val="24"/>
          <w:rtl/>
        </w:rPr>
        <w:t xml:space="preserve"> </w:t>
      </w:r>
      <w:r w:rsidRPr="009353CA">
        <w:rPr>
          <w:rFonts w:ascii="Century" w:hAnsi="Century" w:cs="Miriam" w:hint="eastAsia"/>
          <w:b/>
          <w:spacing w:val="0"/>
          <w:szCs w:val="24"/>
          <w:rtl/>
        </w:rPr>
        <w:t>בן</w:t>
      </w:r>
      <w:r w:rsidRPr="009353CA">
        <w:rPr>
          <w:rFonts w:ascii="Century" w:hAnsi="Century" w:cs="Miriam"/>
          <w:b/>
          <w:spacing w:val="0"/>
          <w:szCs w:val="24"/>
          <w:rtl/>
        </w:rPr>
        <w:t xml:space="preserve"> </w:t>
      </w:r>
      <w:r w:rsidRPr="009353CA">
        <w:rPr>
          <w:rFonts w:ascii="Century" w:hAnsi="Century" w:cs="Miriam" w:hint="eastAsia"/>
          <w:b/>
          <w:spacing w:val="0"/>
          <w:szCs w:val="24"/>
          <w:rtl/>
        </w:rPr>
        <w:t>זוג</w:t>
      </w:r>
      <w:r w:rsidRPr="009353CA">
        <w:rPr>
          <w:rFonts w:ascii="Century" w:hAnsi="Century" w:cs="Miriam"/>
          <w:b/>
          <w:spacing w:val="0"/>
          <w:szCs w:val="24"/>
          <w:rtl/>
        </w:rPr>
        <w:t xml:space="preserve"> </w:t>
      </w:r>
      <w:r w:rsidRPr="009353CA">
        <w:rPr>
          <w:rFonts w:ascii="Century" w:hAnsi="Century" w:cs="Miriam" w:hint="eastAsia"/>
          <w:b/>
          <w:spacing w:val="0"/>
          <w:szCs w:val="24"/>
          <w:rtl/>
        </w:rPr>
        <w:t>רוכש</w:t>
      </w:r>
      <w:r w:rsidRPr="009353CA">
        <w:rPr>
          <w:rFonts w:ascii="Century" w:hAnsi="Century" w:cs="Miriam"/>
          <w:b/>
          <w:spacing w:val="0"/>
          <w:szCs w:val="24"/>
          <w:rtl/>
        </w:rPr>
        <w:t xml:space="preserve"> </w:t>
      </w:r>
      <w:r w:rsidRPr="009353CA">
        <w:rPr>
          <w:rFonts w:ascii="Century" w:hAnsi="Century" w:cs="Miriam" w:hint="eastAsia"/>
          <w:b/>
          <w:spacing w:val="0"/>
          <w:szCs w:val="24"/>
          <w:rtl/>
        </w:rPr>
        <w:t>את</w:t>
      </w:r>
      <w:r w:rsidRPr="009353CA">
        <w:rPr>
          <w:rFonts w:ascii="Century" w:hAnsi="Century" w:cs="Miriam"/>
          <w:b/>
          <w:spacing w:val="0"/>
          <w:szCs w:val="24"/>
          <w:rtl/>
        </w:rPr>
        <w:t xml:space="preserve"> </w:t>
      </w:r>
      <w:r w:rsidRPr="009353CA">
        <w:rPr>
          <w:rFonts w:ascii="Century" w:hAnsi="Century" w:cs="Miriam" w:hint="eastAsia"/>
          <w:b/>
          <w:spacing w:val="0"/>
          <w:szCs w:val="24"/>
          <w:rtl/>
        </w:rPr>
        <w:t>מחצית</w:t>
      </w:r>
      <w:r w:rsidRPr="009353CA">
        <w:rPr>
          <w:rFonts w:ascii="Century" w:hAnsi="Century" w:cs="Miriam"/>
          <w:b/>
          <w:spacing w:val="0"/>
          <w:szCs w:val="24"/>
          <w:rtl/>
        </w:rPr>
        <w:t xml:space="preserve"> </w:t>
      </w:r>
      <w:r w:rsidRPr="009353CA">
        <w:rPr>
          <w:rFonts w:ascii="Century" w:hAnsi="Century" w:cs="Miriam" w:hint="eastAsia"/>
          <w:b/>
          <w:spacing w:val="0"/>
          <w:szCs w:val="24"/>
          <w:rtl/>
        </w:rPr>
        <w:t>הזכויות</w:t>
      </w:r>
      <w:r w:rsidRPr="009353CA">
        <w:rPr>
          <w:rFonts w:ascii="Century" w:hAnsi="Century" w:cs="Miriam"/>
          <w:b/>
          <w:spacing w:val="0"/>
          <w:szCs w:val="24"/>
          <w:rtl/>
        </w:rPr>
        <w:t xml:space="preserve"> </w:t>
      </w:r>
      <w:r w:rsidRPr="009353CA">
        <w:rPr>
          <w:rFonts w:ascii="Century" w:hAnsi="Century" w:cs="Miriam" w:hint="eastAsia"/>
          <w:b/>
          <w:spacing w:val="0"/>
          <w:szCs w:val="24"/>
          <w:rtl/>
        </w:rPr>
        <w:t>בנכסה</w:t>
      </w:r>
      <w:r w:rsidRPr="009353CA">
        <w:rPr>
          <w:rFonts w:ascii="Century" w:hAnsi="Century" w:cs="Miriam"/>
          <w:b/>
          <w:spacing w:val="0"/>
          <w:szCs w:val="24"/>
          <w:rtl/>
        </w:rPr>
        <w:t xml:space="preserve"> </w:t>
      </w:r>
      <w:r w:rsidRPr="009353CA">
        <w:rPr>
          <w:rFonts w:ascii="Century" w:hAnsi="Century" w:cs="Miriam" w:hint="eastAsia"/>
          <w:b/>
          <w:spacing w:val="0"/>
          <w:szCs w:val="24"/>
          <w:rtl/>
        </w:rPr>
        <w:t>האישי</w:t>
      </w:r>
      <w:r w:rsidRPr="009353CA">
        <w:rPr>
          <w:rFonts w:ascii="Century" w:hAnsi="Century" w:cs="Miriam"/>
          <w:b/>
          <w:spacing w:val="0"/>
          <w:szCs w:val="24"/>
          <w:rtl/>
        </w:rPr>
        <w:t xml:space="preserve"> </w:t>
      </w:r>
      <w:r w:rsidRPr="009353CA">
        <w:rPr>
          <w:rFonts w:ascii="Century" w:hAnsi="Century" w:cs="Miriam" w:hint="eastAsia"/>
          <w:b/>
          <w:spacing w:val="0"/>
          <w:szCs w:val="24"/>
          <w:rtl/>
        </w:rPr>
        <w:t>של</w:t>
      </w:r>
      <w:r w:rsidRPr="009353CA">
        <w:rPr>
          <w:rFonts w:ascii="Century" w:hAnsi="Century" w:cs="Miriam"/>
          <w:b/>
          <w:spacing w:val="0"/>
          <w:szCs w:val="24"/>
          <w:rtl/>
        </w:rPr>
        <w:t xml:space="preserve"> </w:t>
      </w:r>
      <w:r w:rsidRPr="009353CA">
        <w:rPr>
          <w:rFonts w:ascii="Century" w:hAnsi="Century" w:cs="Miriam" w:hint="eastAsia"/>
          <w:b/>
          <w:spacing w:val="0"/>
          <w:szCs w:val="24"/>
          <w:rtl/>
        </w:rPr>
        <w:t>בת</w:t>
      </w:r>
      <w:r w:rsidRPr="009353CA">
        <w:rPr>
          <w:rFonts w:ascii="Century" w:hAnsi="Century" w:cs="Miriam"/>
          <w:b/>
          <w:spacing w:val="0"/>
          <w:szCs w:val="24"/>
          <w:rtl/>
        </w:rPr>
        <w:t xml:space="preserve"> </w:t>
      </w:r>
      <w:r w:rsidRPr="009353CA">
        <w:rPr>
          <w:rFonts w:ascii="Century" w:hAnsi="Century" w:cs="Miriam" w:hint="eastAsia"/>
          <w:b/>
          <w:spacing w:val="0"/>
          <w:szCs w:val="24"/>
          <w:rtl/>
        </w:rPr>
        <w:t>זוגו</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t xml:space="preserve">דוקטרינת השיתוף הספציפי לא הגדירה את מאפייניו של "קו הרוביקון" שבן הזוג צריך לחצות על מנת לקבל שותפות שוות זכויות בנכסיה האישיים של בת זוגו. חוסר ודאות זה מעולם לא הוסר. בעניין </w:t>
      </w:r>
      <w:r w:rsidRPr="009353CA">
        <w:rPr>
          <w:rFonts w:ascii="Century" w:hAnsi="Century" w:cs="Miriam" w:hint="cs"/>
          <w:b/>
          <w:spacing w:val="0"/>
          <w:sz w:val="22"/>
          <w:szCs w:val="24"/>
          <w:rtl/>
        </w:rPr>
        <w:t>אבו רומי</w:t>
      </w:r>
      <w:r w:rsidRPr="009353CA">
        <w:rPr>
          <w:rFonts w:hint="cs"/>
          <w:rtl/>
        </w:rPr>
        <w:t xml:space="preserve"> נקבע כי אין מניעה עקרונית לכך שבן זוג יטען מכוחו של דין כללי כי בידיו זכויות בדירת מגורים הרשומה על שם בן</w:t>
      </w:r>
      <w:r>
        <w:rPr>
          <w:rFonts w:hint="cs"/>
          <w:rtl/>
        </w:rPr>
        <w:t xml:space="preserve"> </w:t>
      </w:r>
      <w:r w:rsidRPr="009353CA">
        <w:rPr>
          <w:rFonts w:hint="cs"/>
          <w:rtl/>
        </w:rPr>
        <w:t xml:space="preserve">הזוג האחר, אשר הייתה בבעלותו של אותו בן זוג רשום ערב הנישואין. השופטת </w:t>
      </w:r>
      <w:r w:rsidRPr="009353CA">
        <w:rPr>
          <w:rFonts w:ascii="Century" w:hAnsi="Century" w:cs="Miriam" w:hint="cs"/>
          <w:b/>
          <w:spacing w:val="0"/>
          <w:sz w:val="22"/>
          <w:szCs w:val="24"/>
          <w:rtl/>
        </w:rPr>
        <w:t xml:space="preserve">ט' </w:t>
      </w:r>
      <w:proofErr w:type="spellStart"/>
      <w:r w:rsidRPr="009353CA">
        <w:rPr>
          <w:rFonts w:ascii="Century" w:hAnsi="Century" w:cs="Miriam" w:hint="cs"/>
          <w:b/>
          <w:spacing w:val="0"/>
          <w:sz w:val="22"/>
          <w:szCs w:val="24"/>
          <w:rtl/>
        </w:rPr>
        <w:t>שטרסברג</w:t>
      </w:r>
      <w:proofErr w:type="spellEnd"/>
      <w:r w:rsidRPr="009353CA">
        <w:rPr>
          <w:rFonts w:ascii="Century" w:hAnsi="Century" w:cs="Miriam" w:hint="cs"/>
          <w:b/>
          <w:spacing w:val="0"/>
          <w:sz w:val="22"/>
          <w:szCs w:val="24"/>
          <w:rtl/>
        </w:rPr>
        <w:t>-כהן</w:t>
      </w:r>
      <w:r w:rsidRPr="009353CA">
        <w:rPr>
          <w:rFonts w:hint="cs"/>
          <w:rtl/>
        </w:rPr>
        <w:t xml:space="preserve"> הבהירה בהקשר זה, כי כאשר השיתוף נטען על בסיס הדין הכללי נדרשת הוכחה פוזיטיבית לכוונת השיתוף, ואין להסתפק בעצם קיומם של חיי נישואים משותפים:</w:t>
      </w:r>
    </w:p>
    <w:p w:rsidR="00917458" w:rsidRPr="009353CA" w:rsidRDefault="00917458" w:rsidP="00917458">
      <w:pPr>
        <w:pStyle w:val="Ruller41"/>
        <w:rPr>
          <w:rtl/>
        </w:rPr>
      </w:pPr>
    </w:p>
    <w:p w:rsidR="00917458" w:rsidRPr="009353CA" w:rsidRDefault="00917458" w:rsidP="00917458">
      <w:pPr>
        <w:pStyle w:val="Ruller5"/>
      </w:pPr>
      <w:r w:rsidRPr="009353CA">
        <w:rPr>
          <w:rFonts w:hint="cs"/>
          <w:rtl/>
        </w:rPr>
        <w:t xml:space="preserve">"[...] </w:t>
      </w:r>
      <w:r w:rsidRPr="009353CA">
        <w:rPr>
          <w:rFonts w:hint="eastAsia"/>
          <w:rtl/>
        </w:rPr>
        <w:t>סעיף</w:t>
      </w:r>
      <w:r w:rsidRPr="009353CA">
        <w:rPr>
          <w:rtl/>
        </w:rPr>
        <w:t xml:space="preserve"> 4 </w:t>
      </w:r>
      <w:r w:rsidRPr="009353CA">
        <w:rPr>
          <w:rFonts w:hint="eastAsia"/>
          <w:rtl/>
        </w:rPr>
        <w:t>לחוק</w:t>
      </w:r>
      <w:r w:rsidRPr="009353CA">
        <w:rPr>
          <w:rtl/>
        </w:rPr>
        <w:t xml:space="preserve"> </w:t>
      </w:r>
      <w:r w:rsidRPr="009353CA">
        <w:rPr>
          <w:rFonts w:hint="eastAsia"/>
          <w:rtl/>
        </w:rPr>
        <w:t>יחסי</w:t>
      </w:r>
      <w:r w:rsidRPr="009353CA">
        <w:rPr>
          <w:rtl/>
        </w:rPr>
        <w:t xml:space="preserve"> </w:t>
      </w:r>
      <w:r w:rsidRPr="009353CA">
        <w:rPr>
          <w:rFonts w:hint="eastAsia"/>
          <w:rtl/>
        </w:rPr>
        <w:t>ממון</w:t>
      </w:r>
      <w:r w:rsidRPr="009353CA">
        <w:rPr>
          <w:rtl/>
        </w:rPr>
        <w:t xml:space="preserve"> </w:t>
      </w:r>
      <w:r w:rsidRPr="009353CA">
        <w:rPr>
          <w:rFonts w:hint="eastAsia"/>
          <w:rtl/>
        </w:rPr>
        <w:t>קובע</w:t>
      </w:r>
      <w:r w:rsidRPr="009353CA">
        <w:rPr>
          <w:rtl/>
        </w:rPr>
        <w:t xml:space="preserve"> </w:t>
      </w:r>
      <w:r w:rsidRPr="009353CA">
        <w:rPr>
          <w:rFonts w:hint="eastAsia"/>
          <w:rtl/>
        </w:rPr>
        <w:t>מפורשות</w:t>
      </w:r>
      <w:r w:rsidRPr="009353CA">
        <w:rPr>
          <w:rtl/>
        </w:rPr>
        <w:t xml:space="preserve"> </w:t>
      </w:r>
      <w:r w:rsidRPr="009353CA">
        <w:rPr>
          <w:rFonts w:hint="eastAsia"/>
          <w:rtl/>
        </w:rPr>
        <w:t>כי</w:t>
      </w:r>
      <w:r w:rsidRPr="009353CA">
        <w:rPr>
          <w:rtl/>
        </w:rPr>
        <w:t xml:space="preserve"> </w:t>
      </w:r>
      <w:r w:rsidRPr="009353CA">
        <w:rPr>
          <w:rFonts w:hint="cs"/>
          <w:rtl/>
        </w:rPr>
        <w:t>'</w:t>
      </w:r>
      <w:r w:rsidRPr="009353CA">
        <w:rPr>
          <w:rFonts w:hint="eastAsia"/>
          <w:rtl/>
        </w:rPr>
        <w:t>אין</w:t>
      </w:r>
      <w:r w:rsidRPr="009353CA">
        <w:rPr>
          <w:rtl/>
        </w:rPr>
        <w:t xml:space="preserve"> </w:t>
      </w:r>
      <w:r w:rsidRPr="009353CA">
        <w:rPr>
          <w:rFonts w:ascii="Century" w:hAnsi="Century" w:cs="Miriam" w:hint="eastAsia"/>
          <w:b/>
          <w:sz w:val="24"/>
          <w:szCs w:val="24"/>
          <w:rtl/>
        </w:rPr>
        <w:t>בכריתת</w:t>
      </w:r>
      <w:r w:rsidRPr="009353CA">
        <w:rPr>
          <w:rtl/>
        </w:rPr>
        <w:t xml:space="preserve"> </w:t>
      </w:r>
      <w:r w:rsidRPr="009353CA">
        <w:rPr>
          <w:rFonts w:hint="eastAsia"/>
          <w:rtl/>
        </w:rPr>
        <w:t>הנישואין</w:t>
      </w:r>
      <w:r w:rsidRPr="009353CA">
        <w:rPr>
          <w:rtl/>
        </w:rPr>
        <w:t xml:space="preserve"> </w:t>
      </w:r>
      <w:r w:rsidRPr="009353CA">
        <w:rPr>
          <w:rFonts w:hint="eastAsia"/>
          <w:rtl/>
        </w:rPr>
        <w:t>או</w:t>
      </w:r>
      <w:r w:rsidRPr="009353CA">
        <w:rPr>
          <w:rtl/>
        </w:rPr>
        <w:t xml:space="preserve"> </w:t>
      </w:r>
      <w:r w:rsidRPr="009353CA">
        <w:rPr>
          <w:rFonts w:ascii="Century" w:hAnsi="Century" w:cs="Miriam" w:hint="eastAsia"/>
          <w:b/>
          <w:sz w:val="24"/>
          <w:szCs w:val="24"/>
          <w:rtl/>
        </w:rPr>
        <w:t>בקיומם</w:t>
      </w:r>
      <w:r w:rsidRPr="009353CA">
        <w:rPr>
          <w:rtl/>
        </w:rPr>
        <w:t xml:space="preserve"> </w:t>
      </w:r>
      <w:r w:rsidRPr="009353CA">
        <w:rPr>
          <w:rFonts w:hint="eastAsia"/>
          <w:rtl/>
        </w:rPr>
        <w:t>כשלעצמם</w:t>
      </w:r>
      <w:r w:rsidRPr="009353CA">
        <w:rPr>
          <w:rtl/>
        </w:rPr>
        <w:t xml:space="preserve"> </w:t>
      </w:r>
      <w:r w:rsidRPr="009353CA">
        <w:rPr>
          <w:rFonts w:hint="eastAsia"/>
          <w:rtl/>
        </w:rPr>
        <w:t>כדי</w:t>
      </w:r>
      <w:r w:rsidRPr="009353CA">
        <w:rPr>
          <w:rtl/>
        </w:rPr>
        <w:t xml:space="preserve"> </w:t>
      </w:r>
      <w:r w:rsidRPr="009353CA">
        <w:rPr>
          <w:rFonts w:hint="eastAsia"/>
          <w:rtl/>
        </w:rPr>
        <w:t>לפגוע</w:t>
      </w:r>
      <w:r w:rsidRPr="009353CA">
        <w:rPr>
          <w:rtl/>
        </w:rPr>
        <w:t xml:space="preserve"> </w:t>
      </w:r>
      <w:r w:rsidRPr="009353CA">
        <w:rPr>
          <w:rFonts w:hint="eastAsia"/>
          <w:rtl/>
        </w:rPr>
        <w:t>בקני</w:t>
      </w:r>
      <w:r w:rsidRPr="009353CA">
        <w:rPr>
          <w:rFonts w:hint="cs"/>
          <w:rtl/>
        </w:rPr>
        <w:t>י</w:t>
      </w:r>
      <w:r w:rsidRPr="009353CA">
        <w:rPr>
          <w:rFonts w:hint="eastAsia"/>
          <w:rtl/>
        </w:rPr>
        <w:t>נים</w:t>
      </w:r>
      <w:r w:rsidRPr="009353CA">
        <w:rPr>
          <w:rtl/>
        </w:rPr>
        <w:t xml:space="preserve"> </w:t>
      </w:r>
      <w:r w:rsidRPr="009353CA">
        <w:rPr>
          <w:rFonts w:hint="eastAsia"/>
          <w:rtl/>
        </w:rPr>
        <w:t>של</w:t>
      </w:r>
      <w:r w:rsidRPr="009353CA">
        <w:rPr>
          <w:rtl/>
        </w:rPr>
        <w:t xml:space="preserve"> </w:t>
      </w:r>
      <w:r w:rsidRPr="009353CA">
        <w:rPr>
          <w:rFonts w:hint="eastAsia"/>
          <w:rtl/>
        </w:rPr>
        <w:t>בני</w:t>
      </w:r>
      <w:r w:rsidRPr="009353CA">
        <w:rPr>
          <w:rtl/>
        </w:rPr>
        <w:t xml:space="preserve"> </w:t>
      </w:r>
      <w:r w:rsidRPr="009353CA">
        <w:rPr>
          <w:rFonts w:hint="eastAsia"/>
          <w:rtl/>
        </w:rPr>
        <w:t>הזוג</w:t>
      </w:r>
      <w:r w:rsidRPr="009353CA">
        <w:rPr>
          <w:rtl/>
        </w:rPr>
        <w:t xml:space="preserve">, </w:t>
      </w:r>
      <w:r w:rsidRPr="009353CA">
        <w:rPr>
          <w:rFonts w:hint="eastAsia"/>
          <w:rtl/>
        </w:rPr>
        <w:t>להקנות</w:t>
      </w:r>
      <w:r w:rsidRPr="009353CA">
        <w:rPr>
          <w:rtl/>
        </w:rPr>
        <w:t xml:space="preserve"> </w:t>
      </w:r>
      <w:r w:rsidRPr="009353CA">
        <w:rPr>
          <w:rFonts w:hint="eastAsia"/>
          <w:rtl/>
        </w:rPr>
        <w:t>לאחד</w:t>
      </w:r>
      <w:r w:rsidRPr="009353CA">
        <w:rPr>
          <w:rtl/>
        </w:rPr>
        <w:t xml:space="preserve"> </w:t>
      </w:r>
      <w:r w:rsidRPr="009353CA">
        <w:rPr>
          <w:rFonts w:hint="eastAsia"/>
          <w:rtl/>
        </w:rPr>
        <w:t>מהם</w:t>
      </w:r>
      <w:r w:rsidRPr="009353CA">
        <w:rPr>
          <w:rtl/>
        </w:rPr>
        <w:t xml:space="preserve"> </w:t>
      </w:r>
      <w:r w:rsidRPr="009353CA">
        <w:rPr>
          <w:rFonts w:hint="eastAsia"/>
          <w:rtl/>
        </w:rPr>
        <w:t>זכויות</w:t>
      </w:r>
      <w:r w:rsidRPr="009353CA">
        <w:rPr>
          <w:rtl/>
        </w:rPr>
        <w:t xml:space="preserve"> </w:t>
      </w:r>
      <w:r w:rsidRPr="009353CA">
        <w:rPr>
          <w:rFonts w:hint="eastAsia"/>
          <w:rtl/>
        </w:rPr>
        <w:t>בנכסי</w:t>
      </w:r>
      <w:r w:rsidRPr="009353CA">
        <w:rPr>
          <w:rtl/>
        </w:rPr>
        <w:t xml:space="preserve"> </w:t>
      </w:r>
      <w:r w:rsidRPr="009353CA">
        <w:rPr>
          <w:rFonts w:hint="eastAsia"/>
          <w:rtl/>
        </w:rPr>
        <w:t>השני</w:t>
      </w:r>
      <w:r w:rsidRPr="009353CA">
        <w:rPr>
          <w:rtl/>
        </w:rPr>
        <w:t xml:space="preserve"> </w:t>
      </w:r>
      <w:r w:rsidRPr="009353CA">
        <w:rPr>
          <w:rFonts w:hint="eastAsia"/>
          <w:rtl/>
        </w:rPr>
        <w:t>או</w:t>
      </w:r>
      <w:r w:rsidRPr="009353CA">
        <w:rPr>
          <w:rtl/>
        </w:rPr>
        <w:t xml:space="preserve"> </w:t>
      </w:r>
      <w:r w:rsidRPr="009353CA">
        <w:rPr>
          <w:rFonts w:hint="eastAsia"/>
          <w:rtl/>
        </w:rPr>
        <w:t>להטיל</w:t>
      </w:r>
      <w:r w:rsidRPr="009353CA">
        <w:rPr>
          <w:rtl/>
        </w:rPr>
        <w:t xml:space="preserve"> </w:t>
      </w:r>
      <w:r w:rsidRPr="009353CA">
        <w:rPr>
          <w:rFonts w:hint="eastAsia"/>
          <w:rtl/>
        </w:rPr>
        <w:t>עליו</w:t>
      </w:r>
      <w:r w:rsidRPr="009353CA">
        <w:rPr>
          <w:rtl/>
        </w:rPr>
        <w:t xml:space="preserve"> </w:t>
      </w:r>
      <w:r w:rsidRPr="009353CA">
        <w:rPr>
          <w:rFonts w:hint="eastAsia"/>
          <w:rtl/>
        </w:rPr>
        <w:t>אחריות</w:t>
      </w:r>
      <w:r w:rsidRPr="009353CA">
        <w:rPr>
          <w:rtl/>
        </w:rPr>
        <w:t xml:space="preserve"> </w:t>
      </w:r>
      <w:r w:rsidRPr="009353CA">
        <w:rPr>
          <w:rFonts w:hint="eastAsia"/>
          <w:rtl/>
        </w:rPr>
        <w:t>לחובות</w:t>
      </w:r>
      <w:r w:rsidRPr="009353CA">
        <w:rPr>
          <w:rtl/>
        </w:rPr>
        <w:t xml:space="preserve"> </w:t>
      </w:r>
      <w:r w:rsidRPr="009353CA">
        <w:rPr>
          <w:rFonts w:hint="eastAsia"/>
          <w:rtl/>
        </w:rPr>
        <w:t>השני</w:t>
      </w:r>
      <w:r w:rsidRPr="009353CA">
        <w:rPr>
          <w:rFonts w:hint="cs"/>
          <w:rtl/>
        </w:rPr>
        <w:t>'</w:t>
      </w:r>
      <w:r w:rsidRPr="009353CA">
        <w:rPr>
          <w:rtl/>
        </w:rPr>
        <w:t xml:space="preserve">. </w:t>
      </w:r>
      <w:r w:rsidRPr="009353CA">
        <w:rPr>
          <w:rFonts w:hint="eastAsia"/>
          <w:rtl/>
        </w:rPr>
        <w:t>על</w:t>
      </w:r>
      <w:r w:rsidRPr="009353CA">
        <w:rPr>
          <w:rtl/>
        </w:rPr>
        <w:t>-</w:t>
      </w:r>
      <w:r w:rsidRPr="009353CA">
        <w:rPr>
          <w:rFonts w:hint="eastAsia"/>
          <w:rtl/>
        </w:rPr>
        <w:t>מנת</w:t>
      </w:r>
      <w:r w:rsidRPr="009353CA">
        <w:rPr>
          <w:rtl/>
        </w:rPr>
        <w:t xml:space="preserve"> </w:t>
      </w:r>
      <w:r w:rsidRPr="009353CA">
        <w:rPr>
          <w:rFonts w:hint="eastAsia"/>
          <w:rtl/>
        </w:rPr>
        <w:t>שתוקנינה</w:t>
      </w:r>
      <w:r w:rsidRPr="009353CA">
        <w:rPr>
          <w:rtl/>
        </w:rPr>
        <w:t xml:space="preserve"> </w:t>
      </w:r>
      <w:r w:rsidRPr="009353CA">
        <w:rPr>
          <w:rFonts w:hint="eastAsia"/>
          <w:rtl/>
        </w:rPr>
        <w:t>זכויות</w:t>
      </w:r>
      <w:r w:rsidRPr="009353CA">
        <w:rPr>
          <w:rtl/>
        </w:rPr>
        <w:t xml:space="preserve"> </w:t>
      </w:r>
      <w:r w:rsidRPr="009353CA">
        <w:rPr>
          <w:rFonts w:hint="eastAsia"/>
          <w:rtl/>
        </w:rPr>
        <w:t>בדירת</w:t>
      </w:r>
      <w:r w:rsidRPr="009353CA">
        <w:rPr>
          <w:rtl/>
        </w:rPr>
        <w:t xml:space="preserve"> </w:t>
      </w:r>
      <w:r w:rsidRPr="009353CA">
        <w:rPr>
          <w:rFonts w:hint="eastAsia"/>
          <w:rtl/>
        </w:rPr>
        <w:t>מגורים</w:t>
      </w:r>
      <w:r w:rsidRPr="009353CA">
        <w:rPr>
          <w:rtl/>
        </w:rPr>
        <w:t xml:space="preserve"> </w:t>
      </w:r>
      <w:r w:rsidRPr="009353CA">
        <w:rPr>
          <w:rFonts w:hint="eastAsia"/>
          <w:rtl/>
        </w:rPr>
        <w:t>הרשומה</w:t>
      </w:r>
      <w:r w:rsidRPr="009353CA">
        <w:rPr>
          <w:rtl/>
        </w:rPr>
        <w:t xml:space="preserve"> </w:t>
      </w:r>
      <w:r w:rsidRPr="009353CA">
        <w:rPr>
          <w:rFonts w:hint="eastAsia"/>
          <w:rtl/>
        </w:rPr>
        <w:t>על</w:t>
      </w:r>
      <w:r w:rsidRPr="009353CA">
        <w:rPr>
          <w:rtl/>
        </w:rPr>
        <w:t xml:space="preserve"> </w:t>
      </w:r>
      <w:r w:rsidRPr="009353CA">
        <w:rPr>
          <w:rFonts w:hint="eastAsia"/>
          <w:rtl/>
        </w:rPr>
        <w:t>שם</w:t>
      </w:r>
      <w:r w:rsidRPr="009353CA">
        <w:rPr>
          <w:rtl/>
        </w:rPr>
        <w:t xml:space="preserve"> </w:t>
      </w:r>
      <w:r w:rsidRPr="009353CA">
        <w:rPr>
          <w:rFonts w:hint="eastAsia"/>
          <w:rtl/>
        </w:rPr>
        <w:t>בן</w:t>
      </w:r>
      <w:r w:rsidRPr="009353CA">
        <w:rPr>
          <w:rtl/>
        </w:rPr>
        <w:t>-</w:t>
      </w:r>
      <w:r w:rsidRPr="009353CA">
        <w:rPr>
          <w:rFonts w:hint="eastAsia"/>
          <w:rtl/>
        </w:rPr>
        <w:t>הזוג</w:t>
      </w:r>
      <w:r w:rsidRPr="009353CA">
        <w:rPr>
          <w:rtl/>
        </w:rPr>
        <w:t xml:space="preserve"> </w:t>
      </w:r>
      <w:r w:rsidRPr="009353CA">
        <w:rPr>
          <w:rFonts w:hint="eastAsia"/>
          <w:rtl/>
        </w:rPr>
        <w:t>האחד</w:t>
      </w:r>
      <w:r w:rsidRPr="009353CA">
        <w:rPr>
          <w:rtl/>
        </w:rPr>
        <w:t xml:space="preserve"> </w:t>
      </w:r>
      <w:r w:rsidRPr="009353CA">
        <w:rPr>
          <w:rFonts w:hint="eastAsia"/>
          <w:rtl/>
        </w:rPr>
        <w:t>לבן</w:t>
      </w:r>
      <w:r w:rsidRPr="009353CA">
        <w:rPr>
          <w:rtl/>
        </w:rPr>
        <w:t xml:space="preserve"> </w:t>
      </w:r>
      <w:r w:rsidRPr="009353CA">
        <w:rPr>
          <w:rFonts w:hint="eastAsia"/>
          <w:rtl/>
        </w:rPr>
        <w:t>הזוג</w:t>
      </w:r>
      <w:r w:rsidRPr="009353CA">
        <w:rPr>
          <w:rtl/>
        </w:rPr>
        <w:t xml:space="preserve"> </w:t>
      </w:r>
      <w:r w:rsidRPr="009353CA">
        <w:rPr>
          <w:rFonts w:hint="eastAsia"/>
          <w:rtl/>
        </w:rPr>
        <w:t>האחר</w:t>
      </w:r>
      <w:r w:rsidRPr="009353CA">
        <w:rPr>
          <w:rtl/>
        </w:rPr>
        <w:t xml:space="preserve">, </w:t>
      </w:r>
      <w:r w:rsidRPr="009353CA">
        <w:rPr>
          <w:rFonts w:hint="eastAsia"/>
          <w:rtl/>
        </w:rPr>
        <w:t>על</w:t>
      </w:r>
      <w:r w:rsidRPr="009353CA">
        <w:rPr>
          <w:rtl/>
        </w:rPr>
        <w:t xml:space="preserve"> </w:t>
      </w:r>
      <w:r w:rsidRPr="009353CA">
        <w:rPr>
          <w:rFonts w:hint="eastAsia"/>
          <w:rtl/>
        </w:rPr>
        <w:t>האחרון</w:t>
      </w:r>
      <w:r w:rsidRPr="009353CA">
        <w:rPr>
          <w:rtl/>
        </w:rPr>
        <w:t xml:space="preserve"> </w:t>
      </w:r>
      <w:r w:rsidRPr="009353CA">
        <w:rPr>
          <w:rFonts w:hint="eastAsia"/>
          <w:rtl/>
        </w:rPr>
        <w:t>להראות</w:t>
      </w:r>
      <w:r w:rsidRPr="009353CA">
        <w:rPr>
          <w:rtl/>
        </w:rPr>
        <w:t xml:space="preserve"> </w:t>
      </w:r>
      <w:r w:rsidRPr="009353CA">
        <w:rPr>
          <w:rFonts w:hint="eastAsia"/>
          <w:rtl/>
        </w:rPr>
        <w:t>נסיבות</w:t>
      </w:r>
      <w:r w:rsidRPr="009353CA">
        <w:rPr>
          <w:rtl/>
        </w:rPr>
        <w:t xml:space="preserve"> </w:t>
      </w:r>
      <w:r w:rsidRPr="009353CA">
        <w:rPr>
          <w:rFonts w:hint="eastAsia"/>
          <w:rtl/>
        </w:rPr>
        <w:t>עובדתיות</w:t>
      </w:r>
      <w:r w:rsidRPr="009353CA">
        <w:rPr>
          <w:rtl/>
        </w:rPr>
        <w:t xml:space="preserve">, </w:t>
      </w:r>
      <w:r w:rsidRPr="009353CA">
        <w:rPr>
          <w:rFonts w:hint="eastAsia"/>
          <w:rtl/>
        </w:rPr>
        <w:t>נוסף</w:t>
      </w:r>
      <w:r w:rsidRPr="009353CA">
        <w:rPr>
          <w:rtl/>
        </w:rPr>
        <w:t xml:space="preserve"> </w:t>
      </w:r>
      <w:r w:rsidRPr="009353CA">
        <w:rPr>
          <w:rFonts w:hint="eastAsia"/>
          <w:rtl/>
        </w:rPr>
        <w:t>על</w:t>
      </w:r>
      <w:r w:rsidRPr="009353CA">
        <w:rPr>
          <w:rtl/>
        </w:rPr>
        <w:t xml:space="preserve"> </w:t>
      </w:r>
      <w:r w:rsidRPr="009353CA">
        <w:rPr>
          <w:rFonts w:hint="eastAsia"/>
          <w:rtl/>
        </w:rPr>
        <w:t>עצם</w:t>
      </w:r>
      <w:r w:rsidRPr="009353CA">
        <w:rPr>
          <w:rtl/>
        </w:rPr>
        <w:t xml:space="preserve"> </w:t>
      </w:r>
      <w:r w:rsidRPr="009353CA">
        <w:rPr>
          <w:rFonts w:hint="eastAsia"/>
          <w:rtl/>
        </w:rPr>
        <w:t>קיום</w:t>
      </w:r>
      <w:r w:rsidRPr="009353CA">
        <w:rPr>
          <w:rtl/>
        </w:rPr>
        <w:t xml:space="preserve"> </w:t>
      </w:r>
      <w:r w:rsidRPr="009353CA">
        <w:rPr>
          <w:rFonts w:hint="eastAsia"/>
          <w:rtl/>
        </w:rPr>
        <w:t>הנישואין</w:t>
      </w:r>
      <w:r w:rsidRPr="009353CA">
        <w:rPr>
          <w:rtl/>
        </w:rPr>
        <w:t xml:space="preserve">, </w:t>
      </w:r>
      <w:r w:rsidRPr="009353CA">
        <w:rPr>
          <w:rFonts w:hint="eastAsia"/>
          <w:rtl/>
        </w:rPr>
        <w:t>שמהן</w:t>
      </w:r>
      <w:r w:rsidRPr="009353CA">
        <w:rPr>
          <w:rtl/>
        </w:rPr>
        <w:t xml:space="preserve"> </w:t>
      </w:r>
      <w:r w:rsidRPr="009353CA">
        <w:rPr>
          <w:rFonts w:hint="eastAsia"/>
          <w:rtl/>
        </w:rPr>
        <w:t>ניתן</w:t>
      </w:r>
      <w:r w:rsidRPr="009353CA">
        <w:rPr>
          <w:rtl/>
        </w:rPr>
        <w:t xml:space="preserve"> </w:t>
      </w:r>
      <w:r w:rsidRPr="009353CA">
        <w:rPr>
          <w:rFonts w:hint="eastAsia"/>
          <w:rtl/>
        </w:rPr>
        <w:t>להסיק</w:t>
      </w:r>
      <w:r w:rsidRPr="009353CA">
        <w:rPr>
          <w:rtl/>
        </w:rPr>
        <w:t xml:space="preserve"> – </w:t>
      </w:r>
      <w:r w:rsidRPr="009353CA">
        <w:rPr>
          <w:rFonts w:hint="eastAsia"/>
          <w:rtl/>
        </w:rPr>
        <w:t>מכוח</w:t>
      </w:r>
      <w:r w:rsidRPr="009353CA">
        <w:rPr>
          <w:rtl/>
        </w:rPr>
        <w:t xml:space="preserve"> </w:t>
      </w:r>
      <w:r w:rsidRPr="009353CA">
        <w:rPr>
          <w:rFonts w:hint="eastAsia"/>
          <w:rtl/>
        </w:rPr>
        <w:t>הדין</w:t>
      </w:r>
      <w:r w:rsidRPr="009353CA">
        <w:rPr>
          <w:rtl/>
        </w:rPr>
        <w:t xml:space="preserve"> </w:t>
      </w:r>
      <w:r w:rsidRPr="009353CA">
        <w:rPr>
          <w:rFonts w:hint="eastAsia"/>
          <w:rtl/>
        </w:rPr>
        <w:t>הכללי</w:t>
      </w:r>
      <w:r w:rsidRPr="009353CA">
        <w:rPr>
          <w:rtl/>
        </w:rPr>
        <w:t xml:space="preserve"> – </w:t>
      </w:r>
      <w:r w:rsidRPr="009353CA">
        <w:rPr>
          <w:rFonts w:hint="eastAsia"/>
          <w:rtl/>
        </w:rPr>
        <w:t>הקניית</w:t>
      </w:r>
      <w:r w:rsidRPr="009353CA">
        <w:rPr>
          <w:rtl/>
        </w:rPr>
        <w:t xml:space="preserve"> </w:t>
      </w:r>
      <w:r w:rsidRPr="009353CA">
        <w:rPr>
          <w:rFonts w:hint="eastAsia"/>
          <w:rtl/>
        </w:rPr>
        <w:t>זכויות</w:t>
      </w:r>
      <w:r w:rsidRPr="009353CA">
        <w:rPr>
          <w:rtl/>
        </w:rPr>
        <w:t xml:space="preserve"> </w:t>
      </w:r>
      <w:r w:rsidRPr="009353CA">
        <w:rPr>
          <w:rFonts w:hint="eastAsia"/>
          <w:rtl/>
        </w:rPr>
        <w:t>בדירת</w:t>
      </w:r>
      <w:r w:rsidRPr="009353CA">
        <w:rPr>
          <w:rtl/>
        </w:rPr>
        <w:t xml:space="preserve"> </w:t>
      </w:r>
      <w:r w:rsidRPr="009353CA">
        <w:rPr>
          <w:rFonts w:hint="eastAsia"/>
          <w:rtl/>
        </w:rPr>
        <w:t>המגורים</w:t>
      </w:r>
      <w:r>
        <w:rPr>
          <w:rFonts w:hint="cs"/>
          <w:rtl/>
        </w:rPr>
        <w:t xml:space="preserve"> [</w:t>
      </w:r>
      <w:r w:rsidRPr="009353CA">
        <w:rPr>
          <w:rFonts w:hint="cs"/>
          <w:rtl/>
        </w:rPr>
        <w:t>...</w:t>
      </w:r>
      <w:r>
        <w:rPr>
          <w:rFonts w:hint="cs"/>
          <w:rtl/>
        </w:rPr>
        <w:t>]</w:t>
      </w:r>
      <w:r w:rsidRPr="009353CA">
        <w:rPr>
          <w:rFonts w:hint="cs"/>
          <w:rtl/>
        </w:rPr>
        <w:t>" (</w:t>
      </w:r>
      <w:r w:rsidRPr="009353CA">
        <w:rPr>
          <w:rFonts w:ascii="Century" w:hAnsi="Century" w:hint="cs"/>
          <w:rtl/>
        </w:rPr>
        <w:t>שם,</w:t>
      </w:r>
      <w:r w:rsidRPr="009353CA">
        <w:rPr>
          <w:rFonts w:ascii="Century" w:hAnsi="Century" w:cs="Miriam" w:hint="cs"/>
          <w:b/>
          <w:rtl/>
        </w:rPr>
        <w:t xml:space="preserve"> </w:t>
      </w:r>
      <w:r w:rsidRPr="009353CA">
        <w:rPr>
          <w:rFonts w:ascii="Century" w:hAnsi="Century" w:hint="cs"/>
          <w:rtl/>
        </w:rPr>
        <w:t xml:space="preserve">בפסקה 10) </w:t>
      </w:r>
      <w:r w:rsidRPr="009353CA">
        <w:rPr>
          <w:rFonts w:hint="cs"/>
          <w:rtl/>
        </w:rPr>
        <w:t xml:space="preserve">(ההדגשות במקור </w:t>
      </w:r>
      <w:r w:rsidRPr="009353CA">
        <w:rPr>
          <w:rtl/>
        </w:rPr>
        <w:t>–</w:t>
      </w:r>
      <w:r w:rsidRPr="009353CA">
        <w:rPr>
          <w:rFonts w:hint="cs"/>
          <w:rtl/>
        </w:rPr>
        <w:t xml:space="preserve"> א.ש).</w:t>
      </w:r>
    </w:p>
    <w:p w:rsidR="00917458" w:rsidRPr="009353CA" w:rsidRDefault="00917458" w:rsidP="00917458">
      <w:pPr>
        <w:pStyle w:val="Ruller41"/>
        <w:rPr>
          <w:rtl/>
        </w:rPr>
      </w:pPr>
      <w:r w:rsidRPr="009353CA">
        <w:rPr>
          <w:rFonts w:ascii="FrankRuehl" w:hAnsi="FrankRuehl"/>
          <w:color w:val="000000"/>
          <w:rtl/>
        </w:rPr>
        <w:br/>
      </w:r>
      <w:r w:rsidRPr="009353CA">
        <w:rPr>
          <w:rtl/>
        </w:rPr>
        <w:tab/>
      </w:r>
      <w:r w:rsidRPr="009353CA">
        <w:rPr>
          <w:rFonts w:hint="cs"/>
          <w:rtl/>
        </w:rPr>
        <w:t>באותה פרשה, בצד ההכרה העקרונית בשיתוף מכוח הדין הכללי, נקבע כי כוונת השיתוף הנדרשת לא הוכחה, ועל כן לא הוענקו לאישה זכויות בדירת המגורים שבמחלוקת.</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t xml:space="preserve">פסקי הדין שיצאו מלפנינו אחרי פסק הדין בעניין </w:t>
      </w:r>
      <w:r w:rsidRPr="009353CA">
        <w:rPr>
          <w:rFonts w:ascii="Century" w:hAnsi="Century" w:cs="Miriam" w:hint="cs"/>
          <w:b/>
          <w:spacing w:val="0"/>
          <w:sz w:val="22"/>
          <w:szCs w:val="24"/>
          <w:rtl/>
        </w:rPr>
        <w:t>אבו רומי</w:t>
      </w:r>
      <w:r w:rsidRPr="009353CA">
        <w:rPr>
          <w:rFonts w:hint="cs"/>
          <w:rtl/>
        </w:rPr>
        <w:t xml:space="preserve"> לא היו אחידים ולא קבעו כללים ברורים בעניין השיתוף (ראו: </w:t>
      </w:r>
      <w:r w:rsidRPr="009353CA">
        <w:rPr>
          <w:rFonts w:ascii="Century" w:hAnsi="Century" w:hint="cs"/>
          <w:sz w:val="22"/>
          <w:rtl/>
        </w:rPr>
        <w:t>ליפשי</w:t>
      </w:r>
      <w:r w:rsidRPr="009353CA">
        <w:rPr>
          <w:rFonts w:ascii="Century" w:hAnsi="Century" w:hint="eastAsia"/>
          <w:sz w:val="22"/>
          <w:rtl/>
        </w:rPr>
        <w:t>ץ</w:t>
      </w:r>
      <w:r w:rsidRPr="009353CA">
        <w:rPr>
          <w:rFonts w:hint="cs"/>
          <w:rtl/>
        </w:rPr>
        <w:t xml:space="preserve"> </w:t>
      </w:r>
      <w:r w:rsidRPr="009353CA">
        <w:rPr>
          <w:rFonts w:ascii="Century" w:hAnsi="Century" w:cs="Miriam" w:hint="cs"/>
          <w:b/>
          <w:spacing w:val="0"/>
          <w:sz w:val="22"/>
          <w:szCs w:val="24"/>
          <w:rtl/>
        </w:rPr>
        <w:t>החלת השיתוף הספציפי</w:t>
      </w:r>
      <w:r w:rsidRPr="009353CA">
        <w:rPr>
          <w:rFonts w:hint="cs"/>
          <w:rtl/>
        </w:rPr>
        <w:t xml:space="preserve">, בעמ' 6). במקרים מסוימים, מעֶבֶר לחיי זוגיות ושיתוף ולחיי נישואים ממושכים, נדרשה אינדיקציה פוזיטיבית ממשית לקיומה של כוונת שיתוף בנכס הספציפי (ראו: בג"ץ 1727/07 </w:t>
      </w:r>
      <w:r w:rsidRPr="009353CA">
        <w:rPr>
          <w:rFonts w:ascii="Century" w:hAnsi="Century" w:cs="Miriam" w:hint="cs"/>
          <w:b/>
          <w:spacing w:val="0"/>
          <w:sz w:val="22"/>
          <w:szCs w:val="24"/>
          <w:rtl/>
        </w:rPr>
        <w:t xml:space="preserve">פלוני נ' בית הדין הרבני הגדול לערעורים </w:t>
      </w:r>
      <w:r w:rsidRPr="009353CA">
        <w:rPr>
          <w:rFonts w:hint="cs"/>
          <w:rtl/>
        </w:rPr>
        <w:t xml:space="preserve">(19.3.2007); בג"ץ 2533/11 </w:t>
      </w:r>
      <w:r w:rsidRPr="009353CA">
        <w:rPr>
          <w:rFonts w:ascii="Century" w:hAnsi="Century" w:cs="Miriam" w:hint="cs"/>
          <w:b/>
          <w:spacing w:val="0"/>
          <w:sz w:val="22"/>
          <w:szCs w:val="24"/>
          <w:rtl/>
        </w:rPr>
        <w:t xml:space="preserve">פלונית </w:t>
      </w:r>
      <w:r w:rsidRPr="009353CA">
        <w:rPr>
          <w:rFonts w:ascii="Century" w:hAnsi="Century" w:cs="Miriam" w:hint="cs"/>
          <w:b/>
          <w:spacing w:val="0"/>
          <w:sz w:val="22"/>
          <w:szCs w:val="24"/>
          <w:rtl/>
        </w:rPr>
        <w:lastRenderedPageBreak/>
        <w:t>נ' בית הדין הרבני הגדול לערעורים</w:t>
      </w:r>
      <w:r w:rsidRPr="009353CA">
        <w:rPr>
          <w:rFonts w:hint="cs"/>
          <w:rtl/>
        </w:rPr>
        <w:t xml:space="preserve"> (26.10.2011)); ואילו במקרים אחרים, הסתפקנו בעדויות כלליות על אורח החיים השיתופי שבני הזוג ניהלו בהיבטים שונים של חייהם (ראו: </w:t>
      </w:r>
      <w:r w:rsidRPr="009353CA">
        <w:rPr>
          <w:rFonts w:hint="eastAsia"/>
          <w:rtl/>
        </w:rPr>
        <w:t>בג</w:t>
      </w:r>
      <w:r w:rsidRPr="009353CA">
        <w:rPr>
          <w:rFonts w:hint="cs"/>
          <w:rtl/>
        </w:rPr>
        <w:t>"</w:t>
      </w:r>
      <w:r w:rsidRPr="009353CA">
        <w:rPr>
          <w:rFonts w:hint="eastAsia"/>
          <w:rtl/>
        </w:rPr>
        <w:t>ץ</w:t>
      </w:r>
      <w:r w:rsidRPr="009353CA">
        <w:rPr>
          <w:rtl/>
        </w:rPr>
        <w:t xml:space="preserve"> 5416/09 ‏ ‏</w:t>
      </w:r>
      <w:r w:rsidRPr="009353CA">
        <w:rPr>
          <w:rFonts w:ascii="Century" w:hAnsi="Century" w:cs="Miriam" w:hint="eastAsia"/>
          <w:b/>
          <w:spacing w:val="0"/>
          <w:sz w:val="22"/>
          <w:szCs w:val="24"/>
          <w:rtl/>
        </w:rPr>
        <w:t>פלונית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פלוני</w:t>
      </w:r>
      <w:r w:rsidRPr="009353CA">
        <w:rPr>
          <w:rtl/>
        </w:rPr>
        <w:t xml:space="preserve">, </w:t>
      </w:r>
      <w:r w:rsidRPr="009353CA">
        <w:rPr>
          <w:rFonts w:hint="eastAsia"/>
          <w:rtl/>
        </w:rPr>
        <w:t>פ</w:t>
      </w:r>
      <w:r>
        <w:rPr>
          <w:rFonts w:hint="cs"/>
          <w:rtl/>
        </w:rPr>
        <w:t>"</w:t>
      </w:r>
      <w:r w:rsidRPr="009353CA">
        <w:rPr>
          <w:rFonts w:hint="eastAsia"/>
          <w:rtl/>
        </w:rPr>
        <w:t>ד</w:t>
      </w:r>
      <w:r w:rsidRPr="009353CA">
        <w:rPr>
          <w:rtl/>
        </w:rPr>
        <w:t xml:space="preserve"> </w:t>
      </w:r>
      <w:proofErr w:type="spellStart"/>
      <w:r w:rsidRPr="009353CA">
        <w:rPr>
          <w:rFonts w:hint="eastAsia"/>
          <w:rtl/>
        </w:rPr>
        <w:t>סג</w:t>
      </w:r>
      <w:proofErr w:type="spellEnd"/>
      <w:r w:rsidRPr="009353CA">
        <w:rPr>
          <w:rtl/>
        </w:rPr>
        <w:t>(3) 484</w:t>
      </w:r>
      <w:r w:rsidRPr="009353CA">
        <w:rPr>
          <w:rFonts w:hint="cs"/>
          <w:rtl/>
        </w:rPr>
        <w:t xml:space="preserve"> (2010)).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על חוסר אחידות זה עמד השופט </w:t>
      </w:r>
      <w:r w:rsidRPr="009353CA">
        <w:rPr>
          <w:rFonts w:ascii="Century" w:hAnsi="Century" w:cs="Miriam" w:hint="cs"/>
          <w:b/>
          <w:spacing w:val="0"/>
          <w:sz w:val="22"/>
          <w:szCs w:val="24"/>
          <w:rtl/>
        </w:rPr>
        <w:t>א' רובינשטיין</w:t>
      </w:r>
      <w:r w:rsidRPr="009353CA">
        <w:rPr>
          <w:rFonts w:hint="cs"/>
          <w:rtl/>
        </w:rPr>
        <w:t xml:space="preserve"> (כתוארו אז) </w:t>
      </w:r>
      <w:proofErr w:type="spellStart"/>
      <w:r w:rsidRPr="009353CA">
        <w:rPr>
          <w:rFonts w:hint="cs"/>
          <w:rtl/>
        </w:rPr>
        <w:t>בבע"מ</w:t>
      </w:r>
      <w:proofErr w:type="spellEnd"/>
      <w:r w:rsidRPr="009353CA">
        <w:rPr>
          <w:rFonts w:hint="cs"/>
          <w:rtl/>
        </w:rPr>
        <w:t xml:space="preserve"> 10734/06</w:t>
      </w:r>
      <w:r w:rsidRPr="009353CA">
        <w:t xml:space="preserve"> </w:t>
      </w:r>
      <w:r w:rsidRPr="009353CA">
        <w:rPr>
          <w:rFonts w:ascii="Century" w:hAnsi="Century" w:cs="Miriam" w:hint="cs"/>
          <w:b/>
          <w:spacing w:val="0"/>
          <w:sz w:val="22"/>
          <w:szCs w:val="24"/>
          <w:rtl/>
        </w:rPr>
        <w:t>פלוני נ' פלונית</w:t>
      </w:r>
      <w:r w:rsidRPr="009353CA">
        <w:rPr>
          <w:rFonts w:hint="cs"/>
          <w:rtl/>
        </w:rPr>
        <w:t xml:space="preserve"> (14.3.2007), בפסקה ה' לפסק דינו:</w:t>
      </w:r>
    </w:p>
    <w:p w:rsidR="00917458" w:rsidRPr="009353CA" w:rsidRDefault="00917458" w:rsidP="00917458">
      <w:pPr>
        <w:pStyle w:val="Ruller41"/>
        <w:rPr>
          <w:rtl/>
        </w:rPr>
      </w:pPr>
    </w:p>
    <w:p w:rsidR="00917458" w:rsidRPr="009353CA" w:rsidRDefault="00917458" w:rsidP="00917458">
      <w:pPr>
        <w:pStyle w:val="Ruller5"/>
        <w:rPr>
          <w:rtl/>
        </w:rPr>
      </w:pPr>
      <w:r w:rsidRPr="009353CA">
        <w:rPr>
          <w:rFonts w:hint="cs"/>
          <w:rtl/>
        </w:rPr>
        <w:t xml:space="preserve">"[...] </w:t>
      </w:r>
      <w:r w:rsidRPr="009353CA">
        <w:rPr>
          <w:rtl/>
        </w:rPr>
        <w:t xml:space="preserve">אודה, כי </w:t>
      </w:r>
      <w:r w:rsidRPr="009353CA">
        <w:rPr>
          <w:rFonts w:hint="cs"/>
          <w:rtl/>
        </w:rPr>
        <w:t>'</w:t>
      </w:r>
      <w:r w:rsidRPr="009353CA">
        <w:rPr>
          <w:rtl/>
        </w:rPr>
        <w:t>גבולות הגזרה</w:t>
      </w:r>
      <w:r w:rsidRPr="009353CA">
        <w:rPr>
          <w:rFonts w:hint="cs"/>
          <w:rtl/>
        </w:rPr>
        <w:t>'</w:t>
      </w:r>
      <w:r w:rsidRPr="009353CA">
        <w:rPr>
          <w:rtl/>
        </w:rPr>
        <w:t xml:space="preserve"> אינם חדים, אך כך מטבע הדברים: אי אפשר לקבוע מראש כללים ברורים באשר לכל האפשרויות שמזמנת המציאות האנושית. לכן גם מתלבטים בתי המשפט ממקרה למקרה, באשר לנכס הספציפי בו מדובר וכוונת הצדדים לגביו. הפרשנות בה דיברנו יסודה בשיקולי הגינות במקרים שבהם הכף נוטה, במכלול ההשקעות בנכס, בהתנהגות הצדדים הכרוכה בו, לעבר השיתוף. מובן כי הדברים אינם נטולים בעייתיות, כיוון שלעתים קשה לכמת את ההשקעות ואת "ההתנהגות ההשקעתית", אך לכן יש לנהוג זהירות ביישום, ואולם כאמור קשה לקבוע מראש את גבולותיו המדויקים לכל מקרה</w:t>
      </w:r>
      <w:r w:rsidRPr="009353CA">
        <w:rPr>
          <w:rFonts w:hint="cs"/>
          <w:rtl/>
        </w:rPr>
        <w:t xml:space="preserve"> [...]".</w:t>
      </w:r>
    </w:p>
    <w:p w:rsidR="00917458" w:rsidRPr="009353CA" w:rsidRDefault="00917458" w:rsidP="00917458">
      <w:pPr>
        <w:pStyle w:val="af6"/>
        <w:bidi/>
        <w:spacing w:before="0" w:beforeAutospacing="0" w:after="240" w:afterAutospacing="0" w:line="360" w:lineRule="auto"/>
        <w:jc w:val="both"/>
        <w:rPr>
          <w:rFonts w:ascii="Garamond" w:hAnsi="Garamond" w:cs="FrankRuehl"/>
          <w:spacing w:val="10"/>
          <w:szCs w:val="28"/>
          <w:rtl/>
        </w:rPr>
      </w:pPr>
      <w:r w:rsidRPr="009353CA">
        <w:rPr>
          <w:rFonts w:ascii="FrankRuehl" w:hAnsi="FrankRuehl" w:cs="FrankRuehl"/>
          <w:color w:val="000000"/>
          <w:sz w:val="28"/>
          <w:szCs w:val="28"/>
          <w:rtl/>
        </w:rPr>
        <w:tab/>
      </w:r>
    </w:p>
    <w:p w:rsidR="00917458" w:rsidRPr="009353CA" w:rsidRDefault="00917458" w:rsidP="00917458">
      <w:pPr>
        <w:pStyle w:val="Ruller4"/>
        <w:rPr>
          <w:rFonts w:ascii="FrankRuehl" w:hAnsi="FrankRuehl"/>
          <w:color w:val="000000"/>
          <w:sz w:val="28"/>
        </w:rPr>
      </w:pPr>
      <w:proofErr w:type="spellStart"/>
      <w:r w:rsidRPr="009353CA">
        <w:rPr>
          <w:rFonts w:hint="cs"/>
          <w:rtl/>
        </w:rPr>
        <w:t>בבע"מ</w:t>
      </w:r>
      <w:proofErr w:type="spellEnd"/>
      <w:r w:rsidRPr="009353CA">
        <w:rPr>
          <w:rFonts w:hint="cs"/>
          <w:rtl/>
        </w:rPr>
        <w:t xml:space="preserve"> 5939/04 </w:t>
      </w:r>
      <w:r w:rsidRPr="009353CA">
        <w:rPr>
          <w:rFonts w:ascii="Century" w:hAnsi="Century" w:cs="Miriam" w:hint="cs"/>
          <w:b/>
          <w:szCs w:val="24"/>
          <w:rtl/>
        </w:rPr>
        <w:t>פלוני נ' פלונית</w:t>
      </w:r>
      <w:r w:rsidRPr="009353CA">
        <w:rPr>
          <w:rFonts w:hint="cs"/>
          <w:rtl/>
        </w:rPr>
        <w:t xml:space="preserve">, פ"ד נט(1) 665, 671 (2004), </w:t>
      </w:r>
      <w:r>
        <w:rPr>
          <w:rFonts w:hint="cs"/>
          <w:rtl/>
        </w:rPr>
        <w:t>העניק</w:t>
      </w:r>
      <w:r w:rsidRPr="009353CA">
        <w:rPr>
          <w:rFonts w:hint="cs"/>
          <w:rtl/>
        </w:rPr>
        <w:t xml:space="preserve"> השופט </w:t>
      </w:r>
      <w:r w:rsidRPr="009353CA">
        <w:rPr>
          <w:rFonts w:ascii="Century" w:hAnsi="Century" w:cs="Miriam" w:hint="cs"/>
          <w:b/>
          <w:spacing w:val="0"/>
          <w:sz w:val="22"/>
          <w:szCs w:val="24"/>
          <w:rtl/>
        </w:rPr>
        <w:t>רובינשטיין</w:t>
      </w:r>
      <w:r w:rsidRPr="009353CA">
        <w:rPr>
          <w:rFonts w:hint="cs"/>
          <w:rtl/>
        </w:rPr>
        <w:t xml:space="preserve"> </w:t>
      </w:r>
      <w:r>
        <w:rPr>
          <w:rFonts w:hint="cs"/>
          <w:rtl/>
        </w:rPr>
        <w:t xml:space="preserve">את </w:t>
      </w:r>
      <w:r w:rsidRPr="009353CA">
        <w:rPr>
          <w:rFonts w:hint="cs"/>
          <w:rtl/>
        </w:rPr>
        <w:t>התייחסות</w:t>
      </w:r>
      <w:r>
        <w:rPr>
          <w:rFonts w:hint="cs"/>
          <w:rtl/>
        </w:rPr>
        <w:t>ו</w:t>
      </w:r>
      <w:r w:rsidRPr="009353CA">
        <w:rPr>
          <w:rFonts w:hint="cs"/>
          <w:rtl/>
        </w:rPr>
        <w:t xml:space="preserve"> </w:t>
      </w:r>
      <w:r>
        <w:rPr>
          <w:rFonts w:hint="cs"/>
          <w:rtl/>
        </w:rPr>
        <w:t>ה</w:t>
      </w:r>
      <w:r w:rsidRPr="009353CA">
        <w:rPr>
          <w:rFonts w:hint="cs"/>
          <w:rtl/>
        </w:rPr>
        <w:t>ממוקדת ל</w:t>
      </w:r>
      <w:r w:rsidRPr="009353CA">
        <w:rPr>
          <w:rFonts w:ascii="FrankRuehl" w:hAnsi="FrankRuehl" w:hint="cs"/>
          <w:color w:val="000000"/>
          <w:sz w:val="28"/>
          <w:rtl/>
        </w:rPr>
        <w:t xml:space="preserve">שיתופה האפשרי של בת הזוג בדירת מגוריהם של בני הזוג אשר הובאה אל תוך מסגרת הנישואין על ידי בן זוגה. בעניין זה אמר השופט </w:t>
      </w:r>
      <w:r w:rsidRPr="00C64103">
        <w:rPr>
          <w:rFonts w:ascii="Century" w:hAnsi="Century" w:cs="Miriam" w:hint="cs"/>
          <w:b/>
          <w:spacing w:val="0"/>
          <w:sz w:val="22"/>
          <w:szCs w:val="24"/>
          <w:rtl/>
        </w:rPr>
        <w:t>רובינשטיין</w:t>
      </w:r>
      <w:r w:rsidRPr="00C64103">
        <w:rPr>
          <w:rFonts w:ascii="FrankRuehl" w:hAnsi="FrankRuehl" w:hint="cs"/>
          <w:color w:val="000000"/>
          <w:sz w:val="28"/>
          <w:rtl/>
        </w:rPr>
        <w:t xml:space="preserve"> דברים</w:t>
      </w:r>
      <w:r w:rsidRPr="009353CA">
        <w:rPr>
          <w:rFonts w:ascii="FrankRuehl" w:hAnsi="FrankRuehl" w:hint="cs"/>
          <w:color w:val="000000"/>
          <w:sz w:val="28"/>
          <w:rtl/>
        </w:rPr>
        <w:t xml:space="preserve"> אלה:</w:t>
      </w:r>
    </w:p>
    <w:p w:rsidR="00917458" w:rsidRPr="009353CA" w:rsidRDefault="00917458" w:rsidP="00917458">
      <w:pPr>
        <w:pStyle w:val="Ruller4"/>
        <w:numPr>
          <w:ilvl w:val="0"/>
          <w:numId w:val="0"/>
        </w:numPr>
        <w:rPr>
          <w:rtl/>
        </w:rPr>
      </w:pPr>
    </w:p>
    <w:p w:rsidR="00917458" w:rsidRPr="009353CA" w:rsidRDefault="00917458" w:rsidP="00917458">
      <w:pPr>
        <w:pStyle w:val="Ruller5"/>
        <w:rPr>
          <w:rtl/>
        </w:rPr>
      </w:pPr>
      <w:r w:rsidRPr="009353CA">
        <w:rPr>
          <w:rFonts w:hint="cs"/>
          <w:rtl/>
        </w:rPr>
        <w:t xml:space="preserve">"[...] </w:t>
      </w:r>
      <w:r w:rsidRPr="009353CA">
        <w:rPr>
          <w:rtl/>
        </w:rPr>
        <w:t xml:space="preserve">רוח העידן, פתיחת הדלתות לגישה שאינה </w:t>
      </w:r>
      <w:r w:rsidRPr="009353CA">
        <w:rPr>
          <w:rFonts w:hint="cs"/>
          <w:rtl/>
        </w:rPr>
        <w:t>'</w:t>
      </w:r>
      <w:r w:rsidRPr="009353CA">
        <w:rPr>
          <w:rtl/>
        </w:rPr>
        <w:t>פורמאלית</w:t>
      </w:r>
      <w:r w:rsidRPr="009353CA">
        <w:rPr>
          <w:rFonts w:hint="cs"/>
          <w:rtl/>
        </w:rPr>
        <w:t>'</w:t>
      </w:r>
      <w:r w:rsidRPr="009353CA">
        <w:rPr>
          <w:rtl/>
        </w:rPr>
        <w:t xml:space="preserve"> בלבד הנאחזת ברישום הנכס, אלא בוחנת מצבים חברתיים ואישיים למהותם, מרחפת על פני הפסיקה זה שנים באשר לשיתוף הנכסים גם לגבי נכסים שנרכשו לפני הנישואין, ובייחוד דירת המגורים. ועם זאת בין המנסחים את גישתם על בסיס רעיוני ערכי ובין המייסדים אותה על בסיס הסכמי יסכימו לדידי למצער כי בסופו של יום אין מנוס מבדיקת נסיבותיו של כל מקרה לגופו כראוי</w:t>
      </w:r>
      <w:r w:rsidRPr="009353CA">
        <w:rPr>
          <w:rFonts w:hint="cs"/>
          <w:rtl/>
        </w:rPr>
        <w:t xml:space="preserve">." </w:t>
      </w:r>
    </w:p>
    <w:p w:rsidR="00917458" w:rsidRPr="009353CA" w:rsidRDefault="00917458" w:rsidP="00917458">
      <w:pPr>
        <w:pStyle w:val="af6"/>
        <w:bidi/>
        <w:spacing w:before="0" w:beforeAutospacing="0" w:after="240" w:afterAutospacing="0" w:line="360" w:lineRule="auto"/>
        <w:jc w:val="both"/>
        <w:rPr>
          <w:rFonts w:ascii="Century" w:hAnsi="Century" w:cs="FrankRuehl"/>
          <w:spacing w:val="10"/>
          <w:sz w:val="22"/>
          <w:szCs w:val="28"/>
          <w:rtl/>
        </w:rPr>
      </w:pPr>
    </w:p>
    <w:p w:rsidR="00917458" w:rsidRPr="009353CA" w:rsidRDefault="00917458" w:rsidP="00917458">
      <w:pPr>
        <w:pStyle w:val="Ruller4"/>
        <w:rPr>
          <w:rtl/>
        </w:rPr>
      </w:pPr>
      <w:r w:rsidRPr="009353CA">
        <w:rPr>
          <w:rFonts w:hint="cs"/>
          <w:rtl/>
        </w:rPr>
        <w:t>גישה זו של "כל מקרה לגופו" פורשה בהרחבה בע"מ (</w:t>
      </w:r>
      <w:r>
        <w:rPr>
          <w:rFonts w:hint="cs"/>
          <w:rtl/>
        </w:rPr>
        <w:t>מחוזי ירושלים</w:t>
      </w:r>
      <w:r w:rsidRPr="009353CA">
        <w:rPr>
          <w:rFonts w:hint="cs"/>
          <w:rtl/>
        </w:rPr>
        <w:t xml:space="preserve">) 818/05 </w:t>
      </w:r>
      <w:r w:rsidRPr="009353CA">
        <w:rPr>
          <w:rFonts w:ascii="Century" w:hAnsi="Century" w:cs="Miriam" w:hint="cs"/>
          <w:b/>
          <w:spacing w:val="0"/>
          <w:sz w:val="22"/>
          <w:szCs w:val="24"/>
          <w:rtl/>
        </w:rPr>
        <w:t xml:space="preserve">פלונית נ' פלוני </w:t>
      </w:r>
      <w:r w:rsidRPr="009353CA">
        <w:rPr>
          <w:rFonts w:hint="cs"/>
          <w:rtl/>
        </w:rPr>
        <w:t xml:space="preserve">(8.5.2006), שם קבע השופט </w:t>
      </w:r>
      <w:r w:rsidRPr="009353CA">
        <w:rPr>
          <w:rFonts w:ascii="Century" w:hAnsi="Century" w:cs="Miriam" w:hint="cs"/>
          <w:b/>
          <w:spacing w:val="0"/>
          <w:sz w:val="22"/>
          <w:szCs w:val="24"/>
          <w:rtl/>
        </w:rPr>
        <w:t xml:space="preserve">י' שפירא </w:t>
      </w:r>
      <w:r w:rsidRPr="009353CA">
        <w:rPr>
          <w:rFonts w:hint="cs"/>
          <w:rtl/>
        </w:rPr>
        <w:t>כדלקמן:</w:t>
      </w:r>
    </w:p>
    <w:p w:rsidR="00917458" w:rsidRPr="009353CA" w:rsidRDefault="00917458" w:rsidP="00917458">
      <w:pPr>
        <w:pStyle w:val="Ruller41"/>
        <w:rPr>
          <w:rtl/>
        </w:rPr>
      </w:pPr>
    </w:p>
    <w:p w:rsidR="00917458" w:rsidRPr="009353CA" w:rsidRDefault="00917458" w:rsidP="00917458">
      <w:pPr>
        <w:pStyle w:val="Ruller5"/>
        <w:rPr>
          <w:rtl/>
        </w:rPr>
      </w:pPr>
      <w:r w:rsidRPr="009353CA">
        <w:rPr>
          <w:rFonts w:hint="cs"/>
          <w:rtl/>
        </w:rPr>
        <w:t xml:space="preserve">"[...] </w:t>
      </w:r>
      <w:r w:rsidRPr="009353CA">
        <w:rPr>
          <w:rFonts w:hint="eastAsia"/>
          <w:rtl/>
        </w:rPr>
        <w:t>אמור</w:t>
      </w:r>
      <w:r w:rsidRPr="009353CA">
        <w:rPr>
          <w:rtl/>
        </w:rPr>
        <w:t xml:space="preserve"> </w:t>
      </w:r>
      <w:r w:rsidRPr="009353CA">
        <w:rPr>
          <w:rFonts w:hint="eastAsia"/>
          <w:rtl/>
        </w:rPr>
        <w:t>מעתה</w:t>
      </w:r>
      <w:r w:rsidRPr="009353CA">
        <w:rPr>
          <w:rtl/>
        </w:rPr>
        <w:t xml:space="preserve">, </w:t>
      </w:r>
      <w:r w:rsidRPr="009353CA">
        <w:rPr>
          <w:rFonts w:hint="eastAsia"/>
          <w:rtl/>
        </w:rPr>
        <w:t>בן</w:t>
      </w:r>
      <w:r w:rsidRPr="009353CA">
        <w:rPr>
          <w:rtl/>
        </w:rPr>
        <w:t xml:space="preserve"> </w:t>
      </w:r>
      <w:r w:rsidRPr="009353CA">
        <w:rPr>
          <w:rFonts w:hint="eastAsia"/>
          <w:rtl/>
        </w:rPr>
        <w:t>זוג</w:t>
      </w:r>
      <w:r w:rsidRPr="009353CA">
        <w:rPr>
          <w:rtl/>
        </w:rPr>
        <w:t xml:space="preserve"> </w:t>
      </w:r>
      <w:r w:rsidRPr="009353CA">
        <w:rPr>
          <w:rFonts w:hint="eastAsia"/>
          <w:rtl/>
        </w:rPr>
        <w:t>שהביא</w:t>
      </w:r>
      <w:r w:rsidRPr="009353CA">
        <w:rPr>
          <w:rtl/>
        </w:rPr>
        <w:t xml:space="preserve"> </w:t>
      </w:r>
      <w:proofErr w:type="spellStart"/>
      <w:r w:rsidRPr="009353CA">
        <w:rPr>
          <w:rFonts w:hint="eastAsia"/>
          <w:rtl/>
        </w:rPr>
        <w:t>עימו</w:t>
      </w:r>
      <w:proofErr w:type="spellEnd"/>
      <w:r w:rsidRPr="009353CA">
        <w:rPr>
          <w:rtl/>
        </w:rPr>
        <w:t xml:space="preserve"> </w:t>
      </w:r>
      <w:r w:rsidRPr="009353CA">
        <w:rPr>
          <w:rFonts w:hint="eastAsia"/>
          <w:rtl/>
        </w:rPr>
        <w:t>לנישואין</w:t>
      </w:r>
      <w:r w:rsidRPr="009353CA">
        <w:rPr>
          <w:rtl/>
        </w:rPr>
        <w:t xml:space="preserve"> </w:t>
      </w:r>
      <w:r w:rsidRPr="009353CA">
        <w:rPr>
          <w:rFonts w:hint="eastAsia"/>
          <w:rtl/>
        </w:rPr>
        <w:t>דירה</w:t>
      </w:r>
      <w:r w:rsidRPr="009353CA">
        <w:rPr>
          <w:rtl/>
        </w:rPr>
        <w:t xml:space="preserve">, </w:t>
      </w:r>
      <w:r w:rsidRPr="009353CA">
        <w:rPr>
          <w:rFonts w:hint="eastAsia"/>
          <w:rtl/>
        </w:rPr>
        <w:t>בה</w:t>
      </w:r>
      <w:r w:rsidRPr="009353CA">
        <w:rPr>
          <w:rtl/>
        </w:rPr>
        <w:t xml:space="preserve"> </w:t>
      </w:r>
      <w:r w:rsidRPr="009353CA">
        <w:rPr>
          <w:rFonts w:hint="eastAsia"/>
          <w:rtl/>
        </w:rPr>
        <w:t>בני</w:t>
      </w:r>
      <w:r w:rsidRPr="009353CA">
        <w:rPr>
          <w:rtl/>
        </w:rPr>
        <w:t xml:space="preserve"> </w:t>
      </w:r>
      <w:r w:rsidRPr="009353CA">
        <w:rPr>
          <w:rFonts w:hint="eastAsia"/>
          <w:rtl/>
        </w:rPr>
        <w:t>הזוג</w:t>
      </w:r>
      <w:r w:rsidRPr="009353CA">
        <w:rPr>
          <w:rtl/>
        </w:rPr>
        <w:t xml:space="preserve"> </w:t>
      </w:r>
      <w:r w:rsidRPr="009353CA">
        <w:rPr>
          <w:rFonts w:hint="eastAsia"/>
          <w:rtl/>
        </w:rPr>
        <w:t>מתגוררים</w:t>
      </w:r>
      <w:r w:rsidRPr="009353CA">
        <w:rPr>
          <w:rtl/>
        </w:rPr>
        <w:t xml:space="preserve">, </w:t>
      </w:r>
      <w:r w:rsidRPr="009353CA">
        <w:rPr>
          <w:rFonts w:hint="eastAsia"/>
          <w:rtl/>
        </w:rPr>
        <w:t>שעה</w:t>
      </w:r>
      <w:r w:rsidRPr="009353CA">
        <w:rPr>
          <w:rtl/>
        </w:rPr>
        <w:t xml:space="preserve"> </w:t>
      </w:r>
      <w:r w:rsidRPr="009353CA">
        <w:rPr>
          <w:rFonts w:hint="eastAsia"/>
          <w:rtl/>
        </w:rPr>
        <w:t>שאין</w:t>
      </w:r>
      <w:r w:rsidRPr="009353CA">
        <w:rPr>
          <w:rtl/>
        </w:rPr>
        <w:t xml:space="preserve"> </w:t>
      </w:r>
      <w:r w:rsidRPr="009353CA">
        <w:rPr>
          <w:rFonts w:hint="eastAsia"/>
          <w:rtl/>
        </w:rPr>
        <w:t>לבן</w:t>
      </w:r>
      <w:r w:rsidRPr="009353CA">
        <w:rPr>
          <w:rtl/>
        </w:rPr>
        <w:t xml:space="preserve"> </w:t>
      </w:r>
      <w:r w:rsidRPr="009353CA">
        <w:rPr>
          <w:rFonts w:hint="eastAsia"/>
          <w:rtl/>
        </w:rPr>
        <w:t>הזוג</w:t>
      </w:r>
      <w:r w:rsidRPr="009353CA">
        <w:rPr>
          <w:rtl/>
        </w:rPr>
        <w:t xml:space="preserve"> </w:t>
      </w:r>
      <w:r w:rsidRPr="009353CA">
        <w:rPr>
          <w:rFonts w:hint="eastAsia"/>
          <w:rtl/>
        </w:rPr>
        <w:t>השני</w:t>
      </w:r>
      <w:r w:rsidRPr="009353CA">
        <w:rPr>
          <w:rtl/>
        </w:rPr>
        <w:t xml:space="preserve"> </w:t>
      </w:r>
      <w:r w:rsidRPr="009353CA">
        <w:rPr>
          <w:rFonts w:hint="eastAsia"/>
          <w:rtl/>
        </w:rPr>
        <w:t>דירה</w:t>
      </w:r>
      <w:r w:rsidRPr="009353CA">
        <w:rPr>
          <w:rtl/>
        </w:rPr>
        <w:t xml:space="preserve"> </w:t>
      </w:r>
      <w:r w:rsidRPr="009353CA">
        <w:rPr>
          <w:rFonts w:hint="eastAsia"/>
          <w:rtl/>
        </w:rPr>
        <w:lastRenderedPageBreak/>
        <w:t>אחרת</w:t>
      </w:r>
      <w:r w:rsidRPr="009353CA">
        <w:rPr>
          <w:rtl/>
        </w:rPr>
        <w:t xml:space="preserve">, </w:t>
      </w:r>
      <w:r w:rsidRPr="009353CA">
        <w:rPr>
          <w:rFonts w:hint="eastAsia"/>
          <w:rtl/>
        </w:rPr>
        <w:t>יוצר</w:t>
      </w:r>
      <w:r w:rsidRPr="009353CA">
        <w:rPr>
          <w:rtl/>
        </w:rPr>
        <w:t xml:space="preserve"> </w:t>
      </w:r>
      <w:r w:rsidRPr="009353CA">
        <w:rPr>
          <w:rFonts w:hint="eastAsia"/>
          <w:rtl/>
        </w:rPr>
        <w:t>מצג</w:t>
      </w:r>
      <w:r w:rsidRPr="009353CA">
        <w:rPr>
          <w:rtl/>
        </w:rPr>
        <w:t xml:space="preserve"> </w:t>
      </w:r>
      <w:r w:rsidRPr="009353CA">
        <w:rPr>
          <w:rFonts w:hint="eastAsia"/>
          <w:rtl/>
        </w:rPr>
        <w:t>כלפי</w:t>
      </w:r>
      <w:r w:rsidRPr="009353CA">
        <w:rPr>
          <w:rtl/>
        </w:rPr>
        <w:t xml:space="preserve"> </w:t>
      </w:r>
      <w:r w:rsidRPr="009353CA">
        <w:rPr>
          <w:rFonts w:hint="eastAsia"/>
          <w:rtl/>
        </w:rPr>
        <w:t>בן</w:t>
      </w:r>
      <w:r w:rsidRPr="009353CA">
        <w:rPr>
          <w:rtl/>
        </w:rPr>
        <w:t xml:space="preserve"> </w:t>
      </w:r>
      <w:r w:rsidRPr="009353CA">
        <w:rPr>
          <w:rFonts w:hint="eastAsia"/>
          <w:rtl/>
        </w:rPr>
        <w:t>זוגו</w:t>
      </w:r>
      <w:r w:rsidRPr="009353CA">
        <w:rPr>
          <w:rtl/>
        </w:rPr>
        <w:t xml:space="preserve"> </w:t>
      </w:r>
      <w:r w:rsidRPr="009353CA">
        <w:rPr>
          <w:rFonts w:hint="eastAsia"/>
          <w:rtl/>
        </w:rPr>
        <w:t>כי</w:t>
      </w:r>
      <w:r w:rsidRPr="009353CA">
        <w:rPr>
          <w:rtl/>
        </w:rPr>
        <w:t xml:space="preserve"> </w:t>
      </w:r>
      <w:r w:rsidRPr="009353CA">
        <w:rPr>
          <w:rFonts w:hint="eastAsia"/>
          <w:rtl/>
        </w:rPr>
        <w:t>יוכל</w:t>
      </w:r>
      <w:r w:rsidRPr="009353CA">
        <w:rPr>
          <w:rtl/>
        </w:rPr>
        <w:t xml:space="preserve"> </w:t>
      </w:r>
      <w:r w:rsidRPr="009353CA">
        <w:rPr>
          <w:rFonts w:hint="eastAsia"/>
          <w:rtl/>
        </w:rPr>
        <w:t>לשכון</w:t>
      </w:r>
      <w:r w:rsidRPr="009353CA">
        <w:rPr>
          <w:rtl/>
        </w:rPr>
        <w:t xml:space="preserve"> </w:t>
      </w:r>
      <w:r w:rsidRPr="009353CA">
        <w:rPr>
          <w:rFonts w:hint="eastAsia"/>
          <w:rtl/>
        </w:rPr>
        <w:t>לבטח</w:t>
      </w:r>
      <w:r w:rsidRPr="009353CA">
        <w:rPr>
          <w:rtl/>
        </w:rPr>
        <w:t xml:space="preserve"> </w:t>
      </w:r>
      <w:r w:rsidRPr="009353CA">
        <w:rPr>
          <w:rFonts w:hint="eastAsia"/>
          <w:rtl/>
        </w:rPr>
        <w:t>בדירה</w:t>
      </w:r>
      <w:r w:rsidRPr="009353CA">
        <w:rPr>
          <w:rtl/>
        </w:rPr>
        <w:t xml:space="preserve">, </w:t>
      </w:r>
      <w:r w:rsidRPr="009353CA">
        <w:rPr>
          <w:rFonts w:hint="eastAsia"/>
          <w:rtl/>
        </w:rPr>
        <w:t>וזו</w:t>
      </w:r>
      <w:r w:rsidRPr="009353CA">
        <w:rPr>
          <w:rtl/>
        </w:rPr>
        <w:t xml:space="preserve"> </w:t>
      </w:r>
      <w:r w:rsidRPr="009353CA">
        <w:rPr>
          <w:rFonts w:hint="eastAsia"/>
          <w:rtl/>
        </w:rPr>
        <w:t>תהא</w:t>
      </w:r>
      <w:r w:rsidRPr="009353CA">
        <w:rPr>
          <w:rtl/>
        </w:rPr>
        <w:t xml:space="preserve"> </w:t>
      </w:r>
      <w:r w:rsidRPr="009353CA">
        <w:rPr>
          <w:rFonts w:hint="eastAsia"/>
          <w:rtl/>
        </w:rPr>
        <w:t>רכוש</w:t>
      </w:r>
      <w:r w:rsidRPr="009353CA">
        <w:rPr>
          <w:rtl/>
        </w:rPr>
        <w:t xml:space="preserve"> </w:t>
      </w:r>
      <w:r w:rsidRPr="009353CA">
        <w:rPr>
          <w:rFonts w:hint="eastAsia"/>
          <w:rtl/>
        </w:rPr>
        <w:t>משותף</w:t>
      </w:r>
      <w:r w:rsidRPr="009353CA">
        <w:rPr>
          <w:rtl/>
        </w:rPr>
        <w:t xml:space="preserve">, </w:t>
      </w:r>
      <w:r w:rsidRPr="009353CA">
        <w:rPr>
          <w:rFonts w:hint="eastAsia"/>
          <w:rtl/>
        </w:rPr>
        <w:t>וזאת</w:t>
      </w:r>
      <w:r w:rsidRPr="009353CA">
        <w:rPr>
          <w:rtl/>
        </w:rPr>
        <w:t xml:space="preserve"> </w:t>
      </w:r>
      <w:r w:rsidRPr="009353CA">
        <w:rPr>
          <w:rFonts w:hint="eastAsia"/>
          <w:rtl/>
        </w:rPr>
        <w:t>משלא</w:t>
      </w:r>
      <w:r w:rsidRPr="009353CA">
        <w:rPr>
          <w:rtl/>
        </w:rPr>
        <w:t xml:space="preserve"> </w:t>
      </w:r>
      <w:r w:rsidRPr="009353CA">
        <w:rPr>
          <w:rFonts w:hint="eastAsia"/>
          <w:rtl/>
        </w:rPr>
        <w:t>נתן</w:t>
      </w:r>
      <w:r w:rsidRPr="009353CA">
        <w:rPr>
          <w:rtl/>
        </w:rPr>
        <w:t xml:space="preserve"> </w:t>
      </w:r>
      <w:r w:rsidRPr="009353CA">
        <w:rPr>
          <w:rFonts w:hint="eastAsia"/>
          <w:rtl/>
        </w:rPr>
        <w:t>סימנים</w:t>
      </w:r>
      <w:r w:rsidRPr="009353CA">
        <w:rPr>
          <w:rtl/>
        </w:rPr>
        <w:t xml:space="preserve"> </w:t>
      </w:r>
      <w:r w:rsidRPr="009353CA">
        <w:rPr>
          <w:rFonts w:hint="eastAsia"/>
          <w:rtl/>
        </w:rPr>
        <w:t>כי</w:t>
      </w:r>
      <w:r w:rsidRPr="009353CA">
        <w:rPr>
          <w:rtl/>
        </w:rPr>
        <w:t xml:space="preserve"> </w:t>
      </w:r>
      <w:r w:rsidRPr="009353CA">
        <w:rPr>
          <w:rFonts w:hint="eastAsia"/>
          <w:rtl/>
        </w:rPr>
        <w:t>בדעתו</w:t>
      </w:r>
      <w:r w:rsidRPr="009353CA">
        <w:rPr>
          <w:rtl/>
        </w:rPr>
        <w:t xml:space="preserve"> </w:t>
      </w:r>
      <w:r w:rsidRPr="009353CA">
        <w:rPr>
          <w:rFonts w:hint="eastAsia"/>
          <w:rtl/>
        </w:rPr>
        <w:t>לשמור</w:t>
      </w:r>
      <w:r w:rsidRPr="009353CA">
        <w:rPr>
          <w:rtl/>
        </w:rPr>
        <w:t xml:space="preserve"> </w:t>
      </w:r>
      <w:r w:rsidRPr="009353CA">
        <w:rPr>
          <w:rFonts w:hint="eastAsia"/>
          <w:rtl/>
        </w:rPr>
        <w:t>על</w:t>
      </w:r>
      <w:r w:rsidRPr="009353CA">
        <w:rPr>
          <w:rtl/>
        </w:rPr>
        <w:t xml:space="preserve"> </w:t>
      </w:r>
      <w:r w:rsidRPr="009353CA">
        <w:rPr>
          <w:rFonts w:hint="eastAsia"/>
          <w:rtl/>
        </w:rPr>
        <w:t>רכושו</w:t>
      </w:r>
      <w:r w:rsidRPr="009353CA">
        <w:rPr>
          <w:rtl/>
        </w:rPr>
        <w:t xml:space="preserve"> </w:t>
      </w:r>
      <w:r w:rsidRPr="009353CA">
        <w:rPr>
          <w:rFonts w:hint="eastAsia"/>
          <w:rtl/>
        </w:rPr>
        <w:t>זה</w:t>
      </w:r>
      <w:r w:rsidRPr="009353CA">
        <w:rPr>
          <w:rtl/>
        </w:rPr>
        <w:t xml:space="preserve"> </w:t>
      </w:r>
      <w:r w:rsidRPr="009353CA">
        <w:rPr>
          <w:rFonts w:hint="eastAsia"/>
          <w:rtl/>
        </w:rPr>
        <w:t>בפקיעת</w:t>
      </w:r>
      <w:r w:rsidRPr="009353CA">
        <w:rPr>
          <w:rtl/>
        </w:rPr>
        <w:t xml:space="preserve"> </w:t>
      </w:r>
      <w:r w:rsidRPr="009353CA">
        <w:rPr>
          <w:rFonts w:hint="eastAsia"/>
          <w:rtl/>
        </w:rPr>
        <w:t>הנישואין</w:t>
      </w:r>
      <w:r w:rsidRPr="009353CA">
        <w:rPr>
          <w:rFonts w:hint="cs"/>
          <w:rtl/>
        </w:rPr>
        <w:t xml:space="preserve"> [...]" (</w:t>
      </w:r>
      <w:r>
        <w:rPr>
          <w:rFonts w:hint="cs"/>
          <w:rtl/>
        </w:rPr>
        <w:t xml:space="preserve">ראו: </w:t>
      </w:r>
      <w:r w:rsidRPr="009353CA">
        <w:rPr>
          <w:rFonts w:hint="cs"/>
          <w:rtl/>
        </w:rPr>
        <w:t>שם, פסקה 7 לפסק הדין).</w:t>
      </w:r>
    </w:p>
    <w:p w:rsidR="00917458" w:rsidRPr="009353CA" w:rsidRDefault="00917458" w:rsidP="00917458">
      <w:pPr>
        <w:pStyle w:val="Ruller4"/>
        <w:numPr>
          <w:ilvl w:val="0"/>
          <w:numId w:val="0"/>
        </w:numPr>
        <w:rPr>
          <w:rtl/>
        </w:rPr>
      </w:pPr>
    </w:p>
    <w:p w:rsidR="00917458" w:rsidRPr="009353CA" w:rsidRDefault="00917458" w:rsidP="00917458">
      <w:pPr>
        <w:pStyle w:val="Ruller41"/>
        <w:rPr>
          <w:rtl/>
        </w:rPr>
      </w:pPr>
      <w:r w:rsidRPr="009353CA">
        <w:rPr>
          <w:rtl/>
        </w:rPr>
        <w:tab/>
      </w:r>
      <w:r w:rsidRPr="009353CA">
        <w:rPr>
          <w:rFonts w:hint="cs"/>
          <w:rtl/>
        </w:rPr>
        <w:t xml:space="preserve">פסק דין זה הוא אחת הדוגמאות להחלתה של דוקטרינת השיתוף הספציפי בהיעדר הוכחה ברורה של כוונת שיתוף מצד בעל הנכס </w:t>
      </w:r>
      <w:r w:rsidRPr="009353CA">
        <w:rPr>
          <w:rtl/>
        </w:rPr>
        <w:t>–</w:t>
      </w:r>
      <w:r w:rsidRPr="009353CA">
        <w:rPr>
          <w:rFonts w:hint="cs"/>
          <w:rtl/>
        </w:rPr>
        <w:t xml:space="preserve"> </w:t>
      </w:r>
      <w:r w:rsidRPr="009353CA">
        <w:rPr>
          <w:rFonts w:ascii="Century" w:hAnsi="Century" w:cs="Miriam" w:hint="cs"/>
          <w:b/>
          <w:spacing w:val="0"/>
          <w:szCs w:val="24"/>
          <w:rtl/>
        </w:rPr>
        <w:t>עד כדי העברת נטל ההוכחה לבן הזוג בעל הדירה</w:t>
      </w:r>
      <w:r w:rsidRPr="009353CA">
        <w:rPr>
          <w:rFonts w:hint="cs"/>
          <w:rtl/>
        </w:rPr>
        <w:t xml:space="preserve">.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כדי להסיר את הערפל המשפטי, בית משפט זה העמיד דרישה ל"דבר מה נוסף" </w:t>
      </w:r>
      <w:r w:rsidRPr="009353CA">
        <w:rPr>
          <w:rtl/>
        </w:rPr>
        <w:t>–</w:t>
      </w:r>
      <w:r w:rsidRPr="009353CA">
        <w:rPr>
          <w:rFonts w:hint="cs"/>
          <w:rtl/>
        </w:rPr>
        <w:t xml:space="preserve"> אינדיקציית שיתוף אשר צריכה להתקיים בין בני הזוג לצד השנים הארוכות של חיים משותפים בדירה. האינדיקציה הנדרשת יכולה לבוא לידי ביטוי בהשקעות כספיות בדירה על ידי בן הזוג נטול הזכויות הפורמאליות בדירה וכן בהבטחות לשיתוף או במצגים דומים מצד בן הזוג בעל הדירה (ראו: </w:t>
      </w:r>
      <w:r w:rsidRPr="009353CA">
        <w:rPr>
          <w:rFonts w:ascii="Century" w:hAnsi="Century" w:cs="Miriam" w:hint="cs"/>
          <w:b/>
          <w:spacing w:val="0"/>
          <w:sz w:val="22"/>
          <w:szCs w:val="24"/>
          <w:rtl/>
        </w:rPr>
        <w:t>בע"מ 1398/11</w:t>
      </w:r>
      <w:r w:rsidRPr="009353CA">
        <w:rPr>
          <w:rFonts w:hint="cs"/>
          <w:rtl/>
        </w:rPr>
        <w:t xml:space="preserve">). </w:t>
      </w:r>
    </w:p>
    <w:p w:rsidR="00917458" w:rsidRPr="009353CA" w:rsidRDefault="00917458" w:rsidP="00917458">
      <w:pPr>
        <w:pStyle w:val="Ruller41"/>
      </w:pPr>
    </w:p>
    <w:p w:rsidR="00917458" w:rsidRPr="009353CA" w:rsidRDefault="00917458" w:rsidP="00917458">
      <w:pPr>
        <w:pStyle w:val="Ruller4"/>
        <w:rPr>
          <w:rtl/>
        </w:rPr>
      </w:pPr>
      <w:proofErr w:type="spellStart"/>
      <w:r w:rsidRPr="009353CA">
        <w:rPr>
          <w:rFonts w:hint="cs"/>
          <w:rtl/>
        </w:rPr>
        <w:t>ב</w:t>
      </w:r>
      <w:r w:rsidRPr="009353CA">
        <w:rPr>
          <w:rFonts w:ascii="Century" w:hAnsi="Century" w:cs="Miriam" w:hint="cs"/>
          <w:b/>
          <w:spacing w:val="0"/>
          <w:sz w:val="22"/>
          <w:szCs w:val="24"/>
          <w:rtl/>
        </w:rPr>
        <w:t>בע"מ</w:t>
      </w:r>
      <w:proofErr w:type="spellEnd"/>
      <w:r w:rsidRPr="009353CA">
        <w:rPr>
          <w:rFonts w:ascii="Century" w:hAnsi="Century" w:cs="Miriam" w:hint="cs"/>
          <w:b/>
          <w:spacing w:val="0"/>
          <w:sz w:val="22"/>
          <w:szCs w:val="24"/>
          <w:rtl/>
        </w:rPr>
        <w:t xml:space="preserve"> 1398/11</w:t>
      </w:r>
      <w:r w:rsidRPr="009353CA">
        <w:rPr>
          <w:rFonts w:hint="cs"/>
          <w:rtl/>
        </w:rPr>
        <w:t xml:space="preserve">, אמר השופט </w:t>
      </w:r>
      <w:r w:rsidRPr="009353CA">
        <w:rPr>
          <w:rFonts w:ascii="Century" w:hAnsi="Century" w:cs="Miriam" w:hint="cs"/>
          <w:b/>
          <w:spacing w:val="0"/>
          <w:sz w:val="22"/>
          <w:szCs w:val="24"/>
          <w:rtl/>
        </w:rPr>
        <w:t xml:space="preserve">י' </w:t>
      </w:r>
      <w:proofErr w:type="spellStart"/>
      <w:r w:rsidRPr="009353CA">
        <w:rPr>
          <w:rFonts w:ascii="Century" w:hAnsi="Century" w:cs="Miriam" w:hint="cs"/>
          <w:b/>
          <w:spacing w:val="0"/>
          <w:sz w:val="22"/>
          <w:szCs w:val="24"/>
          <w:rtl/>
        </w:rPr>
        <w:t>דנציגר</w:t>
      </w:r>
      <w:proofErr w:type="spellEnd"/>
      <w:r w:rsidRPr="009353CA">
        <w:rPr>
          <w:rFonts w:hint="cs"/>
          <w:rtl/>
        </w:rPr>
        <w:t xml:space="preserve"> את הדברים הבאים:</w:t>
      </w:r>
    </w:p>
    <w:p w:rsidR="00917458" w:rsidRPr="009353CA" w:rsidRDefault="00917458" w:rsidP="00917458">
      <w:pPr>
        <w:pStyle w:val="Ruller41"/>
        <w:rPr>
          <w:rtl/>
        </w:rPr>
      </w:pPr>
    </w:p>
    <w:p w:rsidR="00917458" w:rsidRPr="009353CA" w:rsidRDefault="00917458" w:rsidP="00917458">
      <w:pPr>
        <w:pStyle w:val="Ruller5"/>
        <w:rPr>
          <w:rtl/>
        </w:rPr>
      </w:pPr>
      <w:r w:rsidRPr="009353CA">
        <w:rPr>
          <w:rFonts w:hint="cs"/>
          <w:rtl/>
        </w:rPr>
        <w:t>"</w:t>
      </w:r>
      <w:r w:rsidRPr="009353CA">
        <w:rPr>
          <w:rtl/>
        </w:rPr>
        <w:t xml:space="preserve">הנה כי כן, על בן הזוג שמבקש שיוקנו לו מחצית הזכויות בדירת המגורים שרשומה על שמו של בן הזוג האחר, מוטל להוכיח – מעבר לקיומם של חיי נישואין משותפים, אף אם ממושכים – קיומו של </w:t>
      </w:r>
      <w:r w:rsidRPr="009353CA">
        <w:rPr>
          <w:rFonts w:hint="cs"/>
          <w:rtl/>
        </w:rPr>
        <w:t>'</w:t>
      </w:r>
      <w:r w:rsidRPr="009353CA">
        <w:rPr>
          <w:rtl/>
        </w:rPr>
        <w:t>דבר מה נוסף</w:t>
      </w:r>
      <w:r w:rsidRPr="009353CA">
        <w:rPr>
          <w:rFonts w:hint="cs"/>
          <w:rtl/>
        </w:rPr>
        <w:t>'</w:t>
      </w:r>
      <w:r w:rsidRPr="009353CA">
        <w:rPr>
          <w:rtl/>
        </w:rPr>
        <w:t xml:space="preserve"> שיעיד על כוונת שיתוף בנכס הספציפי. מעיון בפסיקה עולה כי במרבית המקרים בהם קיבלו בתי המשפט את טענת השיתוף, הוכח כי בוצעו השקעות כספיות בנכס </w:t>
      </w:r>
      <w:proofErr w:type="spellStart"/>
      <w:r w:rsidRPr="009353CA">
        <w:rPr>
          <w:rtl/>
        </w:rPr>
        <w:t>מצידו</w:t>
      </w:r>
      <w:proofErr w:type="spellEnd"/>
      <w:r w:rsidRPr="009353CA">
        <w:rPr>
          <w:rtl/>
        </w:rPr>
        <w:t xml:space="preserve"> של בן הזוג הטוען לשיתוף והשקעות אלה היוו </w:t>
      </w:r>
      <w:r w:rsidRPr="009353CA">
        <w:rPr>
          <w:rFonts w:hint="cs"/>
          <w:rtl/>
        </w:rPr>
        <w:t>'</w:t>
      </w:r>
      <w:r w:rsidRPr="009353CA">
        <w:rPr>
          <w:rtl/>
        </w:rPr>
        <w:t>דבר מה נוסף</w:t>
      </w:r>
      <w:r w:rsidRPr="009353CA">
        <w:rPr>
          <w:rFonts w:hint="cs"/>
          <w:rtl/>
        </w:rPr>
        <w:t>'</w:t>
      </w:r>
      <w:r w:rsidRPr="009353CA">
        <w:rPr>
          <w:rtl/>
        </w:rPr>
        <w:t xml:space="preserve"> המעיד על כוונת השיתוף</w:t>
      </w:r>
      <w:r w:rsidRPr="009353CA">
        <w:rPr>
          <w:rFonts w:hint="cs"/>
          <w:rtl/>
        </w:rPr>
        <w:t xml:space="preserve">." </w:t>
      </w:r>
    </w:p>
    <w:p w:rsidR="00917458" w:rsidRPr="009353CA" w:rsidRDefault="00917458" w:rsidP="00917458">
      <w:pPr>
        <w:pStyle w:val="Ruller4"/>
        <w:numPr>
          <w:ilvl w:val="0"/>
          <w:numId w:val="0"/>
        </w:numPr>
      </w:pPr>
    </w:p>
    <w:p w:rsidR="00917458" w:rsidRPr="009353CA" w:rsidRDefault="00917458" w:rsidP="00917458">
      <w:pPr>
        <w:pStyle w:val="Ruller4"/>
        <w:numPr>
          <w:ilvl w:val="0"/>
          <w:numId w:val="0"/>
        </w:numPr>
      </w:pPr>
      <w:r w:rsidRPr="009353CA">
        <w:rPr>
          <w:rtl/>
        </w:rPr>
        <w:tab/>
      </w:r>
      <w:r w:rsidRPr="009353CA">
        <w:rPr>
          <w:rFonts w:hint="cs"/>
          <w:rtl/>
        </w:rPr>
        <w:t xml:space="preserve">באותו פסק דין, השופט </w:t>
      </w:r>
      <w:r w:rsidRPr="009353CA">
        <w:rPr>
          <w:rFonts w:ascii="Century" w:hAnsi="Century" w:cs="Miriam" w:hint="cs"/>
          <w:b/>
          <w:spacing w:val="0"/>
          <w:sz w:val="22"/>
          <w:szCs w:val="24"/>
          <w:rtl/>
        </w:rPr>
        <w:t>י' עמית</w:t>
      </w:r>
      <w:r w:rsidRPr="009353CA">
        <w:rPr>
          <w:rFonts w:hint="cs"/>
          <w:rtl/>
        </w:rPr>
        <w:t xml:space="preserve"> הוסיף וקבע מספר כללי עזר להוכחת השיתוף הספציפי, ובהן: נטל הוכחה מופחת ביחס לשיתוף בדירה בה בני הזוג התגוררו; נטל הוכחה מוגבר כאשר לטוען לשיתוף יש דירת מגורים משל עצמו; התחשבות באורך התקופה שבה בני הזוג התגוררו בדירה וניהלו בה משק בית משותף; התחשבות באורך חיי הנישואין; התחשבות בהשקעת המשאבים המשותפים בדירה; התנהלות הצדדים בחייהם הזוגיים ביחס לדירה ולרכוש באופן כללי; מצגים שהוצגו על ידי בן הזוג בעל הדירה בפני בת הזוג הטוענת לשיתוף; וכיוצא באלה. חרף יתרונותיהם, כללים אלה עדיין רחוקים מלכונן משטר של ודאות בנוגע לדוקטרינת השיתוף הספציפי.</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תמריצים מעוותים להתנהלות קלוקלת ובלתי ישרה בחיים הזוגיים</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lastRenderedPageBreak/>
        <w:t xml:space="preserve">בפסק דין עקרוני אשר ניתן בעניין </w:t>
      </w:r>
      <w:r w:rsidRPr="009353CA">
        <w:rPr>
          <w:rFonts w:ascii="Century" w:hAnsi="Century" w:cs="Miriam" w:hint="cs"/>
          <w:b/>
          <w:spacing w:val="0"/>
          <w:sz w:val="22"/>
          <w:szCs w:val="24"/>
          <w:rtl/>
        </w:rPr>
        <w:t>יעקובי</w:t>
      </w:r>
      <w:r w:rsidRPr="009353CA">
        <w:rPr>
          <w:rFonts w:hint="cs"/>
          <w:rtl/>
        </w:rPr>
        <w:t xml:space="preserve"> ואשר קיבע את מעמדה ואת </w:t>
      </w:r>
      <w:r>
        <w:rPr>
          <w:rFonts w:hint="cs"/>
          <w:rtl/>
        </w:rPr>
        <w:t>ת</w:t>
      </w:r>
      <w:r w:rsidRPr="009353CA">
        <w:rPr>
          <w:rFonts w:hint="cs"/>
          <w:rtl/>
        </w:rPr>
        <w:t>ח</w:t>
      </w:r>
      <w:r>
        <w:rPr>
          <w:rFonts w:hint="cs"/>
          <w:rtl/>
        </w:rPr>
        <w:t>ו</w:t>
      </w:r>
      <w:r w:rsidRPr="009353CA">
        <w:rPr>
          <w:rFonts w:hint="cs"/>
          <w:rtl/>
        </w:rPr>
        <w:t>לתה של חזקת השיתוף בנכסי בני</w:t>
      </w:r>
      <w:r>
        <w:rPr>
          <w:rFonts w:hint="cs"/>
          <w:rtl/>
        </w:rPr>
        <w:t xml:space="preserve"> </w:t>
      </w:r>
      <w:r w:rsidRPr="009353CA">
        <w:rPr>
          <w:rFonts w:hint="cs"/>
          <w:rtl/>
        </w:rPr>
        <w:t xml:space="preserve">זוג לצדו של חוק יחסי ממון, עמד הנשיא </w:t>
      </w:r>
      <w:r w:rsidRPr="009353CA">
        <w:rPr>
          <w:rFonts w:ascii="Century" w:hAnsi="Century" w:cs="Miriam" w:hint="cs"/>
          <w:b/>
          <w:spacing w:val="0"/>
          <w:sz w:val="22"/>
          <w:szCs w:val="24"/>
          <w:rtl/>
        </w:rPr>
        <w:t>מ' שמגר</w:t>
      </w:r>
      <w:r w:rsidRPr="009353CA">
        <w:rPr>
          <w:rFonts w:hint="cs"/>
          <w:rtl/>
        </w:rPr>
        <w:t xml:space="preserve"> על התמריץ המעוות בהתנהלות החיים הזוגיים שהיה מנחה את פועלו של בן זוג </w:t>
      </w:r>
      <w:proofErr w:type="spellStart"/>
      <w:r w:rsidRPr="009353CA">
        <w:rPr>
          <w:rFonts w:hint="cs"/>
          <w:rtl/>
        </w:rPr>
        <w:t>תכסיסני</w:t>
      </w:r>
      <w:proofErr w:type="spellEnd"/>
      <w:r w:rsidRPr="009353CA">
        <w:rPr>
          <w:rFonts w:hint="cs"/>
          <w:rtl/>
        </w:rPr>
        <w:t xml:space="preserve"> באין הכרה בחזקת השיתוף. ואלה היו דבריו: </w:t>
      </w:r>
    </w:p>
    <w:p w:rsidR="00917458" w:rsidRPr="009353CA" w:rsidRDefault="00917458" w:rsidP="00917458">
      <w:pPr>
        <w:pStyle w:val="Ruller41"/>
        <w:rPr>
          <w:rtl/>
        </w:rPr>
      </w:pPr>
    </w:p>
    <w:p w:rsidR="00917458" w:rsidRPr="009353CA" w:rsidRDefault="00917458" w:rsidP="00917458">
      <w:pPr>
        <w:pStyle w:val="Ruller5"/>
        <w:rPr>
          <w:rtl/>
        </w:rPr>
      </w:pPr>
      <w:r w:rsidRPr="009353CA">
        <w:rPr>
          <w:rFonts w:hint="cs"/>
          <w:rtl/>
        </w:rPr>
        <w:t>"</w:t>
      </w:r>
      <w:r w:rsidRPr="009353CA">
        <w:rPr>
          <w:rFonts w:hint="eastAsia"/>
          <w:rtl/>
        </w:rPr>
        <w:t>כך</w:t>
      </w:r>
      <w:r w:rsidRPr="009353CA">
        <w:rPr>
          <w:rtl/>
        </w:rPr>
        <w:t xml:space="preserve"> </w:t>
      </w:r>
      <w:r w:rsidRPr="009353CA">
        <w:rPr>
          <w:rFonts w:hint="eastAsia"/>
          <w:rtl/>
        </w:rPr>
        <w:t>ייתכן</w:t>
      </w:r>
      <w:r w:rsidRPr="009353CA">
        <w:rPr>
          <w:rtl/>
        </w:rPr>
        <w:t xml:space="preserve"> </w:t>
      </w:r>
      <w:r w:rsidRPr="009353CA">
        <w:rPr>
          <w:rFonts w:hint="eastAsia"/>
          <w:rtl/>
        </w:rPr>
        <w:t>כי</w:t>
      </w:r>
      <w:r w:rsidRPr="009353CA">
        <w:rPr>
          <w:rtl/>
        </w:rPr>
        <w:t xml:space="preserve"> </w:t>
      </w:r>
      <w:r w:rsidRPr="009353CA">
        <w:rPr>
          <w:rFonts w:hint="eastAsia"/>
          <w:rtl/>
        </w:rPr>
        <w:t>נכסים</w:t>
      </w:r>
      <w:r w:rsidRPr="009353CA">
        <w:rPr>
          <w:rtl/>
        </w:rPr>
        <w:t xml:space="preserve"> </w:t>
      </w:r>
      <w:r w:rsidRPr="009353CA">
        <w:rPr>
          <w:rFonts w:hint="eastAsia"/>
          <w:rtl/>
        </w:rPr>
        <w:t>רבים</w:t>
      </w:r>
      <w:r w:rsidRPr="009353CA">
        <w:rPr>
          <w:rtl/>
        </w:rPr>
        <w:t xml:space="preserve"> </w:t>
      </w:r>
      <w:r w:rsidRPr="009353CA">
        <w:rPr>
          <w:rFonts w:ascii="Century" w:hAnsi="Century" w:cs="Miriam" w:hint="eastAsia"/>
          <w:b/>
          <w:spacing w:val="0"/>
          <w:szCs w:val="24"/>
          <w:rtl/>
        </w:rPr>
        <w:t>הנצברים</w:t>
      </w:r>
      <w:r w:rsidRPr="009353CA">
        <w:rPr>
          <w:rFonts w:ascii="Century" w:hAnsi="Century" w:cs="Miriam"/>
          <w:b/>
          <w:spacing w:val="0"/>
          <w:szCs w:val="24"/>
          <w:rtl/>
        </w:rPr>
        <w:t xml:space="preserve"> </w:t>
      </w:r>
      <w:r w:rsidRPr="009353CA">
        <w:rPr>
          <w:rFonts w:ascii="Century" w:hAnsi="Century" w:cs="Miriam" w:hint="eastAsia"/>
          <w:b/>
          <w:spacing w:val="0"/>
          <w:szCs w:val="24"/>
          <w:rtl/>
        </w:rPr>
        <w:t>במהלך</w:t>
      </w:r>
      <w:r w:rsidRPr="009353CA">
        <w:rPr>
          <w:rFonts w:ascii="Century" w:hAnsi="Century" w:cs="Miriam"/>
          <w:b/>
          <w:spacing w:val="0"/>
          <w:szCs w:val="24"/>
          <w:rtl/>
        </w:rPr>
        <w:t xml:space="preserve"> </w:t>
      </w:r>
      <w:r w:rsidRPr="009353CA">
        <w:rPr>
          <w:rFonts w:ascii="Century" w:hAnsi="Century" w:cs="Miriam" w:hint="eastAsia"/>
          <w:b/>
          <w:spacing w:val="0"/>
          <w:szCs w:val="24"/>
          <w:rtl/>
        </w:rPr>
        <w:t>הנישואין</w:t>
      </w:r>
      <w:r w:rsidRPr="009353CA">
        <w:rPr>
          <w:rtl/>
        </w:rPr>
        <w:t xml:space="preserve"> </w:t>
      </w:r>
      <w:r w:rsidRPr="009353CA">
        <w:rPr>
          <w:rFonts w:hint="eastAsia"/>
          <w:rtl/>
        </w:rPr>
        <w:t>יהיו</w:t>
      </w:r>
      <w:r w:rsidRPr="009353CA">
        <w:rPr>
          <w:rtl/>
        </w:rPr>
        <w:t xml:space="preserve"> </w:t>
      </w:r>
      <w:r w:rsidRPr="009353CA">
        <w:rPr>
          <w:rFonts w:hint="eastAsia"/>
          <w:rtl/>
        </w:rPr>
        <w:t>שייכים</w:t>
      </w:r>
      <w:r w:rsidRPr="009353CA">
        <w:rPr>
          <w:rtl/>
        </w:rPr>
        <w:t xml:space="preserve"> </w:t>
      </w:r>
      <w:r w:rsidRPr="009353CA">
        <w:rPr>
          <w:rFonts w:hint="eastAsia"/>
          <w:rtl/>
        </w:rPr>
        <w:t>אך</w:t>
      </w:r>
      <w:r w:rsidRPr="009353CA">
        <w:rPr>
          <w:rtl/>
        </w:rPr>
        <w:t xml:space="preserve"> </w:t>
      </w:r>
      <w:r w:rsidRPr="009353CA">
        <w:rPr>
          <w:rFonts w:hint="eastAsia"/>
          <w:rtl/>
        </w:rPr>
        <w:t>לצד</w:t>
      </w:r>
      <w:r w:rsidRPr="009353CA">
        <w:rPr>
          <w:rtl/>
        </w:rPr>
        <w:t xml:space="preserve"> </w:t>
      </w:r>
      <w:r w:rsidRPr="009353CA">
        <w:rPr>
          <w:rFonts w:hint="eastAsia"/>
          <w:rtl/>
        </w:rPr>
        <w:t>אחד</w:t>
      </w:r>
      <w:r w:rsidRPr="009353CA">
        <w:rPr>
          <w:rtl/>
        </w:rPr>
        <w:t xml:space="preserve"> </w:t>
      </w:r>
      <w:r w:rsidRPr="009353CA">
        <w:rPr>
          <w:rFonts w:hint="eastAsia"/>
          <w:rtl/>
        </w:rPr>
        <w:t>בלבד</w:t>
      </w:r>
      <w:r w:rsidRPr="009353CA">
        <w:rPr>
          <w:rtl/>
        </w:rPr>
        <w:t xml:space="preserve">. </w:t>
      </w:r>
      <w:r w:rsidRPr="009353CA">
        <w:rPr>
          <w:rFonts w:hint="eastAsia"/>
          <w:rtl/>
        </w:rPr>
        <w:t>מאחר</w:t>
      </w:r>
      <w:r w:rsidRPr="009353CA">
        <w:rPr>
          <w:rtl/>
        </w:rPr>
        <w:t xml:space="preserve"> </w:t>
      </w:r>
      <w:r w:rsidRPr="009353CA">
        <w:rPr>
          <w:rFonts w:hint="eastAsia"/>
          <w:rtl/>
        </w:rPr>
        <w:t>שבמצב</w:t>
      </w:r>
      <w:r w:rsidRPr="009353CA">
        <w:rPr>
          <w:rtl/>
        </w:rPr>
        <w:t xml:space="preserve"> </w:t>
      </w:r>
      <w:r w:rsidRPr="009353CA">
        <w:rPr>
          <w:rFonts w:hint="eastAsia"/>
          <w:rtl/>
        </w:rPr>
        <w:t>החברתי</w:t>
      </w:r>
      <w:r w:rsidRPr="009353CA">
        <w:rPr>
          <w:rtl/>
        </w:rPr>
        <w:t xml:space="preserve"> </w:t>
      </w:r>
      <w:r w:rsidRPr="009353CA">
        <w:rPr>
          <w:rFonts w:hint="eastAsia"/>
          <w:rtl/>
        </w:rPr>
        <w:t>השורר</w:t>
      </w:r>
      <w:r w:rsidRPr="009353CA">
        <w:rPr>
          <w:rtl/>
        </w:rPr>
        <w:t xml:space="preserve"> </w:t>
      </w:r>
      <w:r w:rsidRPr="009353CA">
        <w:rPr>
          <w:rFonts w:hint="eastAsia"/>
          <w:rtl/>
        </w:rPr>
        <w:t>השתכרותו</w:t>
      </w:r>
      <w:r w:rsidRPr="009353CA">
        <w:rPr>
          <w:rtl/>
        </w:rPr>
        <w:t xml:space="preserve"> </w:t>
      </w:r>
      <w:r w:rsidRPr="009353CA">
        <w:rPr>
          <w:rFonts w:hint="eastAsia"/>
          <w:rtl/>
        </w:rPr>
        <w:t>של</w:t>
      </w:r>
      <w:r w:rsidRPr="009353CA">
        <w:rPr>
          <w:rtl/>
        </w:rPr>
        <w:t xml:space="preserve"> </w:t>
      </w:r>
      <w:r w:rsidRPr="009353CA">
        <w:rPr>
          <w:rFonts w:hint="eastAsia"/>
          <w:rtl/>
        </w:rPr>
        <w:t>הבעל</w:t>
      </w:r>
      <w:r w:rsidRPr="009353CA">
        <w:rPr>
          <w:rtl/>
        </w:rPr>
        <w:t xml:space="preserve"> </w:t>
      </w:r>
      <w:r w:rsidRPr="009353CA">
        <w:rPr>
          <w:rFonts w:hint="eastAsia"/>
          <w:rtl/>
        </w:rPr>
        <w:t>עולה</w:t>
      </w:r>
      <w:r w:rsidRPr="009353CA">
        <w:rPr>
          <w:rtl/>
        </w:rPr>
        <w:t xml:space="preserve"> </w:t>
      </w:r>
      <w:r w:rsidRPr="009353CA">
        <w:rPr>
          <w:rFonts w:hint="eastAsia"/>
          <w:rtl/>
        </w:rPr>
        <w:t>עדיין</w:t>
      </w:r>
      <w:r w:rsidRPr="009353CA">
        <w:rPr>
          <w:rtl/>
        </w:rPr>
        <w:t xml:space="preserve"> </w:t>
      </w:r>
      <w:r w:rsidRPr="009353CA">
        <w:rPr>
          <w:rFonts w:hint="eastAsia"/>
          <w:rtl/>
        </w:rPr>
        <w:t>במקרים</w:t>
      </w:r>
      <w:r w:rsidRPr="009353CA">
        <w:rPr>
          <w:rtl/>
        </w:rPr>
        <w:t xml:space="preserve"> </w:t>
      </w:r>
      <w:r w:rsidRPr="009353CA">
        <w:rPr>
          <w:rFonts w:hint="eastAsia"/>
          <w:rtl/>
        </w:rPr>
        <w:t>רבים</w:t>
      </w:r>
      <w:r w:rsidRPr="009353CA">
        <w:rPr>
          <w:rtl/>
        </w:rPr>
        <w:t xml:space="preserve"> </w:t>
      </w:r>
      <w:r w:rsidRPr="009353CA">
        <w:rPr>
          <w:rFonts w:hint="eastAsia"/>
          <w:rtl/>
        </w:rPr>
        <w:t>באופן</w:t>
      </w:r>
      <w:r w:rsidRPr="009353CA">
        <w:rPr>
          <w:rtl/>
        </w:rPr>
        <w:t xml:space="preserve"> </w:t>
      </w:r>
      <w:r w:rsidRPr="009353CA">
        <w:rPr>
          <w:rFonts w:hint="eastAsia"/>
          <w:rtl/>
        </w:rPr>
        <w:t>משמעותי</w:t>
      </w:r>
      <w:r w:rsidRPr="009353CA">
        <w:rPr>
          <w:rtl/>
        </w:rPr>
        <w:t xml:space="preserve"> </w:t>
      </w:r>
      <w:r w:rsidRPr="009353CA">
        <w:rPr>
          <w:rFonts w:hint="eastAsia"/>
          <w:rtl/>
        </w:rPr>
        <w:t>על</w:t>
      </w:r>
      <w:r w:rsidRPr="009353CA">
        <w:rPr>
          <w:rtl/>
        </w:rPr>
        <w:t xml:space="preserve"> </w:t>
      </w:r>
      <w:r w:rsidRPr="009353CA">
        <w:rPr>
          <w:rFonts w:hint="eastAsia"/>
          <w:rtl/>
        </w:rPr>
        <w:t>השתכרותה</w:t>
      </w:r>
      <w:r w:rsidRPr="009353CA">
        <w:rPr>
          <w:rtl/>
        </w:rPr>
        <w:t xml:space="preserve"> </w:t>
      </w:r>
      <w:r w:rsidRPr="009353CA">
        <w:rPr>
          <w:rFonts w:hint="eastAsia"/>
          <w:rtl/>
        </w:rPr>
        <w:t>של</w:t>
      </w:r>
      <w:r w:rsidRPr="009353CA">
        <w:rPr>
          <w:rtl/>
        </w:rPr>
        <w:t xml:space="preserve"> </w:t>
      </w:r>
      <w:r w:rsidRPr="009353CA">
        <w:rPr>
          <w:rFonts w:hint="eastAsia"/>
          <w:rtl/>
        </w:rPr>
        <w:t>האישה</w:t>
      </w:r>
      <w:r w:rsidRPr="009353CA">
        <w:rPr>
          <w:rtl/>
        </w:rPr>
        <w:t xml:space="preserve">, </w:t>
      </w:r>
      <w:r w:rsidRPr="009353CA">
        <w:rPr>
          <w:rFonts w:hint="eastAsia"/>
          <w:rtl/>
        </w:rPr>
        <w:t>ייתכן</w:t>
      </w:r>
      <w:r w:rsidRPr="009353CA">
        <w:rPr>
          <w:rtl/>
        </w:rPr>
        <w:t xml:space="preserve"> </w:t>
      </w:r>
      <w:r w:rsidRPr="009353CA">
        <w:rPr>
          <w:rFonts w:hint="eastAsia"/>
          <w:rtl/>
        </w:rPr>
        <w:t>מצב</w:t>
      </w:r>
      <w:r w:rsidRPr="009353CA">
        <w:rPr>
          <w:rtl/>
        </w:rPr>
        <w:t xml:space="preserve"> </w:t>
      </w:r>
      <w:r w:rsidRPr="009353CA">
        <w:rPr>
          <w:rFonts w:hint="eastAsia"/>
          <w:rtl/>
        </w:rPr>
        <w:t>שבו</w:t>
      </w:r>
      <w:r w:rsidRPr="009353CA">
        <w:rPr>
          <w:rtl/>
        </w:rPr>
        <w:t xml:space="preserve"> </w:t>
      </w:r>
      <w:r w:rsidRPr="009353CA">
        <w:rPr>
          <w:rFonts w:hint="eastAsia"/>
          <w:rtl/>
        </w:rPr>
        <w:t>הבעל</w:t>
      </w:r>
      <w:r w:rsidRPr="009353CA">
        <w:rPr>
          <w:rtl/>
        </w:rPr>
        <w:t xml:space="preserve"> </w:t>
      </w:r>
      <w:r w:rsidRPr="009353CA">
        <w:rPr>
          <w:rFonts w:hint="eastAsia"/>
          <w:rtl/>
        </w:rPr>
        <w:t>יצבור</w:t>
      </w:r>
      <w:r w:rsidRPr="009353CA">
        <w:rPr>
          <w:rtl/>
        </w:rPr>
        <w:t xml:space="preserve"> </w:t>
      </w:r>
      <w:r w:rsidRPr="009353CA">
        <w:rPr>
          <w:rFonts w:hint="eastAsia"/>
          <w:rtl/>
        </w:rPr>
        <w:t>רכוש</w:t>
      </w:r>
      <w:r w:rsidRPr="009353CA">
        <w:rPr>
          <w:rtl/>
        </w:rPr>
        <w:t xml:space="preserve"> (</w:t>
      </w:r>
      <w:r w:rsidRPr="009353CA">
        <w:rPr>
          <w:rFonts w:hint="eastAsia"/>
          <w:rtl/>
        </w:rPr>
        <w:t>לאחר</w:t>
      </w:r>
      <w:r w:rsidRPr="009353CA">
        <w:rPr>
          <w:rtl/>
        </w:rPr>
        <w:t xml:space="preserve"> </w:t>
      </w:r>
      <w:r w:rsidRPr="009353CA">
        <w:rPr>
          <w:rFonts w:hint="eastAsia"/>
          <w:rtl/>
        </w:rPr>
        <w:t>שיעמוד</w:t>
      </w:r>
      <w:r w:rsidRPr="009353CA">
        <w:rPr>
          <w:rtl/>
        </w:rPr>
        <w:t xml:space="preserve"> </w:t>
      </w:r>
      <w:r w:rsidRPr="009353CA">
        <w:rPr>
          <w:rFonts w:hint="eastAsia"/>
          <w:rtl/>
        </w:rPr>
        <w:t>כמובן</w:t>
      </w:r>
      <w:r w:rsidRPr="009353CA">
        <w:rPr>
          <w:rtl/>
        </w:rPr>
        <w:t xml:space="preserve"> </w:t>
      </w:r>
      <w:r w:rsidRPr="009353CA">
        <w:rPr>
          <w:rFonts w:hint="eastAsia"/>
          <w:rtl/>
        </w:rPr>
        <w:t>בחיוביו</w:t>
      </w:r>
      <w:r w:rsidRPr="009353CA">
        <w:rPr>
          <w:rtl/>
        </w:rPr>
        <w:t xml:space="preserve"> </w:t>
      </w:r>
      <w:r w:rsidRPr="009353CA">
        <w:rPr>
          <w:rFonts w:hint="eastAsia"/>
          <w:rtl/>
        </w:rPr>
        <w:t>כלפי</w:t>
      </w:r>
      <w:r w:rsidRPr="009353CA">
        <w:rPr>
          <w:rtl/>
        </w:rPr>
        <w:t xml:space="preserve"> </w:t>
      </w:r>
      <w:r w:rsidRPr="009353CA">
        <w:rPr>
          <w:rFonts w:hint="eastAsia"/>
          <w:rtl/>
        </w:rPr>
        <w:t>אשתו</w:t>
      </w:r>
      <w:r w:rsidRPr="009353CA">
        <w:rPr>
          <w:rtl/>
        </w:rPr>
        <w:t xml:space="preserve"> </w:t>
      </w:r>
      <w:r w:rsidRPr="009353CA">
        <w:rPr>
          <w:rFonts w:hint="eastAsia"/>
          <w:rtl/>
        </w:rPr>
        <w:t>וילדיו</w:t>
      </w:r>
      <w:r w:rsidRPr="009353CA">
        <w:rPr>
          <w:rtl/>
        </w:rPr>
        <w:t xml:space="preserve"> </w:t>
      </w:r>
      <w:r w:rsidRPr="009353CA">
        <w:rPr>
          <w:rFonts w:hint="eastAsia"/>
          <w:rtl/>
        </w:rPr>
        <w:t>על</w:t>
      </w:r>
      <w:r w:rsidRPr="009353CA">
        <w:rPr>
          <w:rtl/>
        </w:rPr>
        <w:t>-</w:t>
      </w:r>
      <w:r w:rsidRPr="009353CA">
        <w:rPr>
          <w:rFonts w:hint="eastAsia"/>
          <w:rtl/>
        </w:rPr>
        <w:t>פי</w:t>
      </w:r>
      <w:r w:rsidRPr="009353CA">
        <w:rPr>
          <w:rtl/>
        </w:rPr>
        <w:t xml:space="preserve"> </w:t>
      </w:r>
      <w:r w:rsidRPr="009353CA">
        <w:rPr>
          <w:rFonts w:hint="eastAsia"/>
          <w:rtl/>
        </w:rPr>
        <w:t>הדין</w:t>
      </w:r>
      <w:r w:rsidRPr="009353CA">
        <w:rPr>
          <w:rtl/>
        </w:rPr>
        <w:t xml:space="preserve"> </w:t>
      </w:r>
      <w:r w:rsidRPr="009353CA">
        <w:rPr>
          <w:rFonts w:hint="eastAsia"/>
          <w:rtl/>
        </w:rPr>
        <w:t>האישי</w:t>
      </w:r>
      <w:r w:rsidRPr="009353CA">
        <w:rPr>
          <w:rtl/>
        </w:rPr>
        <w:t xml:space="preserve"> </w:t>
      </w:r>
      <w:r w:rsidRPr="009353CA">
        <w:rPr>
          <w:rFonts w:hint="eastAsia"/>
          <w:rtl/>
        </w:rPr>
        <w:t>החל</w:t>
      </w:r>
      <w:r w:rsidRPr="009353CA">
        <w:rPr>
          <w:rtl/>
        </w:rPr>
        <w:t xml:space="preserve"> </w:t>
      </w:r>
      <w:r w:rsidRPr="009353CA">
        <w:rPr>
          <w:rFonts w:hint="eastAsia"/>
          <w:rtl/>
        </w:rPr>
        <w:t>על</w:t>
      </w:r>
      <w:r w:rsidRPr="009353CA">
        <w:rPr>
          <w:rFonts w:hint="cs"/>
          <w:rtl/>
        </w:rPr>
        <w:t>י</w:t>
      </w:r>
      <w:r w:rsidRPr="009353CA">
        <w:rPr>
          <w:rFonts w:hint="eastAsia"/>
          <w:rtl/>
        </w:rPr>
        <w:t>ו</w:t>
      </w:r>
      <w:r w:rsidRPr="009353CA">
        <w:rPr>
          <w:rtl/>
        </w:rPr>
        <w:t xml:space="preserve">), </w:t>
      </w:r>
      <w:r w:rsidRPr="009353CA">
        <w:rPr>
          <w:rFonts w:hint="eastAsia"/>
          <w:rtl/>
        </w:rPr>
        <w:t>ולאישה</w:t>
      </w:r>
      <w:r w:rsidRPr="009353CA">
        <w:rPr>
          <w:rtl/>
        </w:rPr>
        <w:t xml:space="preserve"> </w:t>
      </w:r>
      <w:r w:rsidRPr="009353CA">
        <w:rPr>
          <w:rFonts w:hint="eastAsia"/>
          <w:rtl/>
        </w:rPr>
        <w:t>לא</w:t>
      </w:r>
      <w:r w:rsidRPr="009353CA">
        <w:rPr>
          <w:rtl/>
        </w:rPr>
        <w:t xml:space="preserve"> </w:t>
      </w:r>
      <w:r w:rsidRPr="009353CA">
        <w:rPr>
          <w:rFonts w:hint="eastAsia"/>
          <w:rtl/>
        </w:rPr>
        <w:t>יהיה</w:t>
      </w:r>
      <w:r w:rsidRPr="009353CA">
        <w:rPr>
          <w:rtl/>
        </w:rPr>
        <w:t xml:space="preserve"> </w:t>
      </w:r>
      <w:r w:rsidRPr="009353CA">
        <w:rPr>
          <w:rFonts w:hint="eastAsia"/>
          <w:rtl/>
        </w:rPr>
        <w:t>כל</w:t>
      </w:r>
      <w:r w:rsidRPr="009353CA">
        <w:rPr>
          <w:rtl/>
        </w:rPr>
        <w:t xml:space="preserve"> </w:t>
      </w:r>
      <w:r w:rsidRPr="009353CA">
        <w:rPr>
          <w:rFonts w:hint="eastAsia"/>
          <w:rtl/>
        </w:rPr>
        <w:t>חלק</w:t>
      </w:r>
      <w:r w:rsidRPr="009353CA">
        <w:rPr>
          <w:rtl/>
        </w:rPr>
        <w:t xml:space="preserve"> </w:t>
      </w:r>
      <w:r w:rsidRPr="009353CA">
        <w:rPr>
          <w:rFonts w:hint="eastAsia"/>
          <w:rtl/>
        </w:rPr>
        <w:t>בו</w:t>
      </w:r>
      <w:r w:rsidRPr="009353CA">
        <w:rPr>
          <w:rtl/>
        </w:rPr>
        <w:t xml:space="preserve"> </w:t>
      </w:r>
      <w:r w:rsidRPr="009353CA">
        <w:rPr>
          <w:rFonts w:hint="eastAsia"/>
          <w:rtl/>
        </w:rPr>
        <w:t>בעת</w:t>
      </w:r>
      <w:r w:rsidRPr="009353CA">
        <w:rPr>
          <w:rtl/>
        </w:rPr>
        <w:t xml:space="preserve"> </w:t>
      </w:r>
      <w:r w:rsidRPr="009353CA">
        <w:rPr>
          <w:rFonts w:hint="eastAsia"/>
          <w:rtl/>
        </w:rPr>
        <w:t>הנישואין</w:t>
      </w:r>
      <w:r w:rsidRPr="009353CA">
        <w:rPr>
          <w:rtl/>
        </w:rPr>
        <w:t xml:space="preserve">. </w:t>
      </w:r>
      <w:r w:rsidRPr="009353CA">
        <w:rPr>
          <w:rFonts w:ascii="Century" w:hAnsi="Century" w:cs="Miriam" w:hint="eastAsia"/>
          <w:b/>
          <w:spacing w:val="0"/>
          <w:szCs w:val="24"/>
          <w:rtl/>
        </w:rPr>
        <w:t>זכותה</w:t>
      </w:r>
      <w:r w:rsidRPr="009353CA">
        <w:rPr>
          <w:rFonts w:ascii="Century" w:hAnsi="Century" w:cs="Miriam"/>
          <w:b/>
          <w:spacing w:val="0"/>
          <w:szCs w:val="24"/>
          <w:rtl/>
        </w:rPr>
        <w:t xml:space="preserve"> </w:t>
      </w:r>
      <w:r w:rsidRPr="009353CA">
        <w:rPr>
          <w:rFonts w:ascii="Century" w:hAnsi="Century" w:cs="Miriam" w:hint="eastAsia"/>
          <w:b/>
          <w:spacing w:val="0"/>
          <w:szCs w:val="24"/>
          <w:rtl/>
        </w:rPr>
        <w:t>תקום</w:t>
      </w:r>
      <w:r w:rsidRPr="009353CA">
        <w:rPr>
          <w:rFonts w:ascii="Century" w:hAnsi="Century" w:cs="Miriam"/>
          <w:b/>
          <w:spacing w:val="0"/>
          <w:szCs w:val="24"/>
          <w:rtl/>
        </w:rPr>
        <w:t xml:space="preserve">, </w:t>
      </w:r>
      <w:r w:rsidRPr="009353CA">
        <w:rPr>
          <w:rFonts w:ascii="Century" w:hAnsi="Century" w:cs="Miriam" w:hint="eastAsia"/>
          <w:b/>
          <w:spacing w:val="0"/>
          <w:szCs w:val="24"/>
          <w:rtl/>
        </w:rPr>
        <w:t>כאמור</w:t>
      </w:r>
      <w:r w:rsidRPr="009353CA">
        <w:rPr>
          <w:rFonts w:ascii="Century" w:hAnsi="Century" w:cs="Miriam"/>
          <w:b/>
          <w:spacing w:val="0"/>
          <w:szCs w:val="24"/>
          <w:rtl/>
        </w:rPr>
        <w:t xml:space="preserve">, </w:t>
      </w:r>
      <w:r w:rsidRPr="009353CA">
        <w:rPr>
          <w:rFonts w:ascii="Century" w:hAnsi="Century" w:cs="Miriam" w:hint="eastAsia"/>
          <w:b/>
          <w:spacing w:val="0"/>
          <w:szCs w:val="24"/>
          <w:rtl/>
        </w:rPr>
        <w:t>רק</w:t>
      </w:r>
      <w:r w:rsidRPr="009353CA">
        <w:rPr>
          <w:rFonts w:ascii="Century" w:hAnsi="Century" w:cs="Miriam"/>
          <w:b/>
          <w:spacing w:val="0"/>
          <w:szCs w:val="24"/>
          <w:rtl/>
        </w:rPr>
        <w:t xml:space="preserve"> </w:t>
      </w:r>
      <w:r w:rsidRPr="009353CA">
        <w:rPr>
          <w:rFonts w:ascii="Century" w:hAnsi="Century" w:cs="Miriam" w:hint="eastAsia"/>
          <w:b/>
          <w:spacing w:val="0"/>
          <w:szCs w:val="24"/>
          <w:rtl/>
        </w:rPr>
        <w:t>עם</w:t>
      </w:r>
      <w:r w:rsidRPr="009353CA">
        <w:rPr>
          <w:rFonts w:ascii="Century" w:hAnsi="Century" w:cs="Miriam"/>
          <w:b/>
          <w:spacing w:val="0"/>
          <w:szCs w:val="24"/>
          <w:rtl/>
        </w:rPr>
        <w:t xml:space="preserve"> </w:t>
      </w:r>
      <w:r w:rsidRPr="009353CA">
        <w:rPr>
          <w:rFonts w:ascii="Century" w:hAnsi="Century" w:cs="Miriam" w:hint="eastAsia"/>
          <w:b/>
          <w:spacing w:val="0"/>
          <w:szCs w:val="24"/>
          <w:rtl/>
        </w:rPr>
        <w:t>הגירושין</w:t>
      </w:r>
      <w:r w:rsidRPr="009353CA">
        <w:rPr>
          <w:rFonts w:ascii="Century" w:hAnsi="Century" w:cs="Miriam"/>
          <w:b/>
          <w:spacing w:val="0"/>
          <w:szCs w:val="24"/>
          <w:rtl/>
        </w:rPr>
        <w:t>.</w:t>
      </w:r>
      <w:r w:rsidRPr="009353CA">
        <w:rPr>
          <w:rtl/>
        </w:rPr>
        <w:t xml:space="preserve"> </w:t>
      </w:r>
      <w:r w:rsidRPr="009353CA">
        <w:rPr>
          <w:rFonts w:hint="eastAsia"/>
          <w:rtl/>
        </w:rPr>
        <w:t>לכאורה</w:t>
      </w:r>
      <w:r w:rsidRPr="009353CA">
        <w:rPr>
          <w:rtl/>
        </w:rPr>
        <w:t xml:space="preserve">, </w:t>
      </w:r>
      <w:r w:rsidRPr="009353CA">
        <w:rPr>
          <w:rFonts w:hint="eastAsia"/>
          <w:rtl/>
        </w:rPr>
        <w:t>על</w:t>
      </w:r>
      <w:r w:rsidRPr="009353CA">
        <w:rPr>
          <w:rtl/>
        </w:rPr>
        <w:t>-</w:t>
      </w:r>
      <w:r w:rsidRPr="009353CA">
        <w:rPr>
          <w:rFonts w:hint="eastAsia"/>
          <w:rtl/>
        </w:rPr>
        <w:t>פי</w:t>
      </w:r>
      <w:r w:rsidRPr="009353CA">
        <w:rPr>
          <w:rtl/>
        </w:rPr>
        <w:t xml:space="preserve"> </w:t>
      </w:r>
      <w:r w:rsidRPr="009353CA">
        <w:rPr>
          <w:rFonts w:hint="eastAsia"/>
          <w:rtl/>
        </w:rPr>
        <w:t>הסדר</w:t>
      </w:r>
      <w:r w:rsidRPr="009353CA">
        <w:rPr>
          <w:rtl/>
        </w:rPr>
        <w:t xml:space="preserve"> </w:t>
      </w:r>
      <w:r w:rsidRPr="009353CA">
        <w:rPr>
          <w:rFonts w:hint="eastAsia"/>
          <w:rtl/>
        </w:rPr>
        <w:t>איזון</w:t>
      </w:r>
      <w:r w:rsidRPr="009353CA">
        <w:rPr>
          <w:rtl/>
        </w:rPr>
        <w:t xml:space="preserve"> </w:t>
      </w:r>
      <w:r w:rsidRPr="009353CA">
        <w:rPr>
          <w:rFonts w:hint="eastAsia"/>
          <w:rtl/>
        </w:rPr>
        <w:t>המשאבים</w:t>
      </w:r>
      <w:r w:rsidRPr="009353CA">
        <w:rPr>
          <w:rtl/>
        </w:rPr>
        <w:t xml:space="preserve">, </w:t>
      </w:r>
      <w:r w:rsidRPr="009353CA">
        <w:rPr>
          <w:rFonts w:hint="eastAsia"/>
          <w:rtl/>
        </w:rPr>
        <w:t>חוסר</w:t>
      </w:r>
      <w:r w:rsidRPr="009353CA">
        <w:rPr>
          <w:rtl/>
        </w:rPr>
        <w:t xml:space="preserve"> </w:t>
      </w:r>
      <w:r w:rsidRPr="009353CA">
        <w:rPr>
          <w:rFonts w:hint="eastAsia"/>
          <w:rtl/>
        </w:rPr>
        <w:t>השוויון</w:t>
      </w:r>
      <w:r w:rsidRPr="009353CA">
        <w:rPr>
          <w:rtl/>
        </w:rPr>
        <w:t xml:space="preserve"> </w:t>
      </w:r>
      <w:r w:rsidRPr="009353CA">
        <w:rPr>
          <w:rFonts w:hint="eastAsia"/>
          <w:rtl/>
        </w:rPr>
        <w:t>יתוקן</w:t>
      </w:r>
      <w:r w:rsidRPr="009353CA">
        <w:rPr>
          <w:rtl/>
        </w:rPr>
        <w:t xml:space="preserve"> </w:t>
      </w:r>
      <w:r w:rsidRPr="009353CA">
        <w:rPr>
          <w:rFonts w:hint="eastAsia"/>
          <w:rtl/>
        </w:rPr>
        <w:t>בשלב</w:t>
      </w:r>
      <w:r w:rsidRPr="009353CA">
        <w:rPr>
          <w:rtl/>
        </w:rPr>
        <w:t xml:space="preserve"> </w:t>
      </w:r>
      <w:r w:rsidRPr="009353CA">
        <w:rPr>
          <w:rFonts w:hint="eastAsia"/>
          <w:rtl/>
        </w:rPr>
        <w:t>זה</w:t>
      </w:r>
      <w:r w:rsidRPr="009353CA">
        <w:rPr>
          <w:rtl/>
        </w:rPr>
        <w:t xml:space="preserve">. </w:t>
      </w:r>
      <w:r w:rsidRPr="009353CA">
        <w:rPr>
          <w:rFonts w:hint="eastAsia"/>
          <w:rtl/>
        </w:rPr>
        <w:t>כשלעצמו</w:t>
      </w:r>
      <w:r w:rsidRPr="009353CA">
        <w:rPr>
          <w:rtl/>
        </w:rPr>
        <w:t xml:space="preserve">, </w:t>
      </w:r>
      <w:r w:rsidRPr="009353CA">
        <w:rPr>
          <w:rFonts w:hint="eastAsia"/>
          <w:rtl/>
        </w:rPr>
        <w:t>יש</w:t>
      </w:r>
      <w:r w:rsidRPr="009353CA">
        <w:rPr>
          <w:rtl/>
        </w:rPr>
        <w:t xml:space="preserve"> </w:t>
      </w:r>
      <w:r w:rsidRPr="009353CA">
        <w:rPr>
          <w:rFonts w:hint="eastAsia"/>
          <w:rtl/>
        </w:rPr>
        <w:t>בהסדר</w:t>
      </w:r>
      <w:r w:rsidRPr="009353CA">
        <w:rPr>
          <w:rtl/>
        </w:rPr>
        <w:t xml:space="preserve"> </w:t>
      </w:r>
      <w:r w:rsidRPr="009353CA">
        <w:rPr>
          <w:rFonts w:hint="eastAsia"/>
          <w:rtl/>
        </w:rPr>
        <w:t>האיזון</w:t>
      </w:r>
      <w:r w:rsidRPr="009353CA">
        <w:rPr>
          <w:rtl/>
        </w:rPr>
        <w:t xml:space="preserve"> </w:t>
      </w:r>
      <w:r w:rsidRPr="009353CA">
        <w:rPr>
          <w:rFonts w:hint="eastAsia"/>
          <w:rtl/>
        </w:rPr>
        <w:t>כדי</w:t>
      </w:r>
      <w:r w:rsidRPr="009353CA">
        <w:rPr>
          <w:rtl/>
        </w:rPr>
        <w:t xml:space="preserve"> </w:t>
      </w:r>
      <w:r w:rsidRPr="009353CA">
        <w:rPr>
          <w:rFonts w:hint="eastAsia"/>
          <w:rtl/>
        </w:rPr>
        <w:t>לתקן</w:t>
      </w:r>
      <w:r w:rsidRPr="009353CA">
        <w:rPr>
          <w:rtl/>
        </w:rPr>
        <w:t xml:space="preserve"> </w:t>
      </w:r>
      <w:r w:rsidRPr="009353CA">
        <w:rPr>
          <w:rFonts w:hint="eastAsia"/>
          <w:rtl/>
        </w:rPr>
        <w:t>את</w:t>
      </w:r>
      <w:r w:rsidRPr="009353CA">
        <w:rPr>
          <w:rtl/>
        </w:rPr>
        <w:t xml:space="preserve"> </w:t>
      </w:r>
      <w:r w:rsidRPr="009353CA">
        <w:rPr>
          <w:rFonts w:hint="eastAsia"/>
          <w:rtl/>
        </w:rPr>
        <w:t>חוסר</w:t>
      </w:r>
      <w:r w:rsidRPr="009353CA">
        <w:rPr>
          <w:rtl/>
        </w:rPr>
        <w:t xml:space="preserve"> </w:t>
      </w:r>
      <w:r w:rsidRPr="009353CA">
        <w:rPr>
          <w:rFonts w:hint="eastAsia"/>
          <w:rtl/>
        </w:rPr>
        <w:t>השוויון</w:t>
      </w:r>
      <w:r w:rsidRPr="009353CA">
        <w:rPr>
          <w:rtl/>
        </w:rPr>
        <w:t xml:space="preserve"> </w:t>
      </w:r>
      <w:r w:rsidRPr="009353CA">
        <w:rPr>
          <w:rFonts w:hint="eastAsia"/>
          <w:rtl/>
        </w:rPr>
        <w:t>האמור</w:t>
      </w:r>
      <w:r w:rsidRPr="009353CA">
        <w:rPr>
          <w:rtl/>
        </w:rPr>
        <w:t xml:space="preserve">, </w:t>
      </w:r>
      <w:r w:rsidRPr="009353CA">
        <w:rPr>
          <w:rFonts w:hint="eastAsia"/>
          <w:rtl/>
        </w:rPr>
        <w:t>באשר</w:t>
      </w:r>
      <w:r w:rsidRPr="009353CA">
        <w:rPr>
          <w:rtl/>
        </w:rPr>
        <w:t xml:space="preserve"> </w:t>
      </w:r>
      <w:r w:rsidRPr="009353CA">
        <w:rPr>
          <w:rFonts w:hint="eastAsia"/>
          <w:rtl/>
        </w:rPr>
        <w:t>הוא</w:t>
      </w:r>
      <w:r w:rsidRPr="009353CA">
        <w:rPr>
          <w:rtl/>
        </w:rPr>
        <w:t xml:space="preserve"> </w:t>
      </w:r>
      <w:r w:rsidRPr="009353CA">
        <w:rPr>
          <w:rFonts w:hint="eastAsia"/>
          <w:rtl/>
        </w:rPr>
        <w:t>קובע</w:t>
      </w:r>
      <w:r w:rsidRPr="009353CA">
        <w:rPr>
          <w:rtl/>
        </w:rPr>
        <w:t xml:space="preserve"> </w:t>
      </w:r>
      <w:r w:rsidRPr="009353CA">
        <w:rPr>
          <w:rFonts w:hint="eastAsia"/>
          <w:rtl/>
        </w:rPr>
        <w:t>כי</w:t>
      </w:r>
      <w:r w:rsidRPr="009353CA">
        <w:rPr>
          <w:rtl/>
        </w:rPr>
        <w:t xml:space="preserve"> </w:t>
      </w:r>
      <w:r w:rsidRPr="009353CA">
        <w:rPr>
          <w:rFonts w:hint="eastAsia"/>
          <w:rtl/>
        </w:rPr>
        <w:t>יחס</w:t>
      </w:r>
      <w:r w:rsidRPr="009353CA">
        <w:rPr>
          <w:rtl/>
        </w:rPr>
        <w:t xml:space="preserve"> </w:t>
      </w:r>
      <w:r w:rsidRPr="009353CA">
        <w:rPr>
          <w:rFonts w:hint="eastAsia"/>
          <w:rtl/>
        </w:rPr>
        <w:t>החלוקה</w:t>
      </w:r>
      <w:r w:rsidRPr="009353CA">
        <w:rPr>
          <w:rtl/>
        </w:rPr>
        <w:t xml:space="preserve"> </w:t>
      </w:r>
      <w:r w:rsidRPr="009353CA">
        <w:rPr>
          <w:rFonts w:hint="eastAsia"/>
          <w:rtl/>
        </w:rPr>
        <w:t>של</w:t>
      </w:r>
      <w:r w:rsidRPr="009353CA">
        <w:rPr>
          <w:rtl/>
        </w:rPr>
        <w:t xml:space="preserve"> </w:t>
      </w:r>
      <w:r w:rsidRPr="009353CA">
        <w:rPr>
          <w:rFonts w:hint="eastAsia"/>
          <w:rtl/>
        </w:rPr>
        <w:t>הנכסים</w:t>
      </w:r>
      <w:r w:rsidRPr="009353CA">
        <w:rPr>
          <w:rtl/>
        </w:rPr>
        <w:t xml:space="preserve"> </w:t>
      </w:r>
      <w:r w:rsidRPr="009353CA">
        <w:rPr>
          <w:rFonts w:hint="eastAsia"/>
          <w:rtl/>
        </w:rPr>
        <w:t>הוא</w:t>
      </w:r>
      <w:r w:rsidRPr="009353CA">
        <w:rPr>
          <w:rtl/>
        </w:rPr>
        <w:t xml:space="preserve"> </w:t>
      </w:r>
      <w:r w:rsidRPr="009353CA">
        <w:rPr>
          <w:rFonts w:hint="eastAsia"/>
          <w:rtl/>
        </w:rPr>
        <w:t>שוויוני</w:t>
      </w:r>
      <w:r w:rsidRPr="009353CA">
        <w:rPr>
          <w:rtl/>
        </w:rPr>
        <w:t xml:space="preserve">. </w:t>
      </w:r>
      <w:r w:rsidRPr="009353CA">
        <w:rPr>
          <w:rFonts w:ascii="Century" w:hAnsi="Century" w:cs="Miriam" w:hint="eastAsia"/>
          <w:b/>
          <w:spacing w:val="0"/>
          <w:szCs w:val="24"/>
          <w:rtl/>
        </w:rPr>
        <w:t>אולם</w:t>
      </w:r>
      <w:r w:rsidRPr="009353CA">
        <w:rPr>
          <w:rFonts w:ascii="Century" w:hAnsi="Century" w:cs="Miriam"/>
          <w:b/>
          <w:spacing w:val="0"/>
          <w:szCs w:val="24"/>
          <w:rtl/>
        </w:rPr>
        <w:t xml:space="preserve"> </w:t>
      </w:r>
      <w:r w:rsidRPr="009353CA">
        <w:rPr>
          <w:rFonts w:ascii="Century" w:hAnsi="Century" w:cs="Miriam" w:hint="eastAsia"/>
          <w:b/>
          <w:spacing w:val="0"/>
          <w:szCs w:val="24"/>
          <w:rtl/>
        </w:rPr>
        <w:t>מועד</w:t>
      </w:r>
      <w:r w:rsidRPr="009353CA">
        <w:rPr>
          <w:rFonts w:ascii="Century" w:hAnsi="Century" w:cs="Miriam"/>
          <w:b/>
          <w:spacing w:val="0"/>
          <w:szCs w:val="24"/>
          <w:rtl/>
        </w:rPr>
        <w:t xml:space="preserve"> </w:t>
      </w:r>
      <w:r w:rsidRPr="009353CA">
        <w:rPr>
          <w:rFonts w:ascii="Century" w:hAnsi="Century" w:cs="Miriam" w:hint="eastAsia"/>
          <w:b/>
          <w:spacing w:val="0"/>
          <w:szCs w:val="24"/>
          <w:rtl/>
        </w:rPr>
        <w:t>הפעלת</w:t>
      </w:r>
      <w:r w:rsidRPr="009353CA">
        <w:rPr>
          <w:rFonts w:ascii="Century" w:hAnsi="Century" w:cs="Miriam"/>
          <w:b/>
          <w:spacing w:val="0"/>
          <w:szCs w:val="24"/>
          <w:rtl/>
        </w:rPr>
        <w:t xml:space="preserve"> </w:t>
      </w:r>
      <w:r w:rsidRPr="009353CA">
        <w:rPr>
          <w:rFonts w:ascii="Century" w:hAnsi="Century" w:cs="Miriam" w:hint="eastAsia"/>
          <w:b/>
          <w:spacing w:val="0"/>
          <w:szCs w:val="24"/>
          <w:rtl/>
        </w:rPr>
        <w:t>האיזון</w:t>
      </w:r>
      <w:r w:rsidRPr="009353CA">
        <w:rPr>
          <w:rFonts w:ascii="Century" w:hAnsi="Century" w:cs="Miriam"/>
          <w:b/>
          <w:spacing w:val="0"/>
          <w:szCs w:val="24"/>
          <w:rtl/>
        </w:rPr>
        <w:t xml:space="preserve"> – </w:t>
      </w:r>
      <w:r w:rsidRPr="009353CA">
        <w:rPr>
          <w:rFonts w:ascii="Century" w:hAnsi="Century" w:cs="Miriam" w:hint="eastAsia"/>
          <w:b/>
          <w:spacing w:val="0"/>
          <w:szCs w:val="24"/>
          <w:rtl/>
        </w:rPr>
        <w:t>עם</w:t>
      </w:r>
      <w:r w:rsidRPr="009353CA">
        <w:rPr>
          <w:rFonts w:ascii="Century" w:hAnsi="Century" w:cs="Miriam"/>
          <w:b/>
          <w:spacing w:val="0"/>
          <w:szCs w:val="24"/>
          <w:rtl/>
        </w:rPr>
        <w:t xml:space="preserve"> </w:t>
      </w:r>
      <w:r w:rsidRPr="009353CA">
        <w:rPr>
          <w:rFonts w:ascii="Century" w:hAnsi="Century" w:cs="Miriam" w:hint="eastAsia"/>
          <w:b/>
          <w:spacing w:val="0"/>
          <w:szCs w:val="24"/>
          <w:rtl/>
        </w:rPr>
        <w:t>פקיעת</w:t>
      </w:r>
      <w:r w:rsidRPr="009353CA">
        <w:rPr>
          <w:rFonts w:ascii="Century" w:hAnsi="Century" w:cs="Miriam"/>
          <w:b/>
          <w:spacing w:val="0"/>
          <w:szCs w:val="24"/>
          <w:rtl/>
        </w:rPr>
        <w:t xml:space="preserve"> </w:t>
      </w:r>
      <w:r w:rsidRPr="009353CA">
        <w:rPr>
          <w:rFonts w:ascii="Century" w:hAnsi="Century" w:cs="Miriam" w:hint="eastAsia"/>
          <w:b/>
          <w:spacing w:val="0"/>
          <w:szCs w:val="24"/>
          <w:rtl/>
        </w:rPr>
        <w:t>הנישואין</w:t>
      </w:r>
      <w:r w:rsidRPr="009353CA">
        <w:rPr>
          <w:rFonts w:ascii="Century" w:hAnsi="Century" w:cs="Miriam"/>
          <w:b/>
          <w:spacing w:val="0"/>
          <w:szCs w:val="24"/>
          <w:rtl/>
        </w:rPr>
        <w:t xml:space="preserve">, </w:t>
      </w:r>
      <w:r w:rsidRPr="009353CA">
        <w:rPr>
          <w:rFonts w:ascii="Century" w:hAnsi="Century" w:cs="Miriam" w:hint="eastAsia"/>
          <w:b/>
          <w:spacing w:val="0"/>
          <w:szCs w:val="24"/>
          <w:rtl/>
        </w:rPr>
        <w:t>כאשר</w:t>
      </w:r>
      <w:r w:rsidRPr="009353CA">
        <w:rPr>
          <w:rFonts w:ascii="Century" w:hAnsi="Century" w:cs="Miriam"/>
          <w:b/>
          <w:spacing w:val="0"/>
          <w:szCs w:val="24"/>
          <w:rtl/>
        </w:rPr>
        <w:t xml:space="preserve"> </w:t>
      </w:r>
      <w:r w:rsidRPr="009353CA">
        <w:rPr>
          <w:rFonts w:ascii="Century" w:hAnsi="Century" w:cs="Miriam" w:hint="eastAsia"/>
          <w:b/>
          <w:spacing w:val="0"/>
          <w:szCs w:val="24"/>
          <w:rtl/>
        </w:rPr>
        <w:t>הפקיעה</w:t>
      </w:r>
      <w:r w:rsidRPr="009353CA">
        <w:rPr>
          <w:rFonts w:ascii="Century" w:hAnsi="Century" w:cs="Miriam"/>
          <w:b/>
          <w:spacing w:val="0"/>
          <w:szCs w:val="24"/>
          <w:rtl/>
        </w:rPr>
        <w:t xml:space="preserve"> </w:t>
      </w:r>
      <w:r w:rsidRPr="009353CA">
        <w:rPr>
          <w:rFonts w:ascii="Century" w:hAnsi="Century" w:cs="Miriam" w:hint="eastAsia"/>
          <w:b/>
          <w:spacing w:val="0"/>
          <w:szCs w:val="24"/>
          <w:rtl/>
        </w:rPr>
        <w:t>היא</w:t>
      </w:r>
      <w:r w:rsidRPr="009353CA">
        <w:rPr>
          <w:rFonts w:ascii="Century" w:hAnsi="Century" w:cs="Miriam"/>
          <w:b/>
          <w:spacing w:val="0"/>
          <w:szCs w:val="24"/>
          <w:rtl/>
        </w:rPr>
        <w:t xml:space="preserve"> </w:t>
      </w:r>
      <w:r w:rsidRPr="009353CA">
        <w:rPr>
          <w:rFonts w:ascii="Century" w:hAnsi="Century" w:cs="Miriam" w:hint="eastAsia"/>
          <w:b/>
          <w:spacing w:val="0"/>
          <w:szCs w:val="24"/>
          <w:rtl/>
        </w:rPr>
        <w:t>רק</w:t>
      </w:r>
      <w:r w:rsidRPr="009353CA">
        <w:rPr>
          <w:rFonts w:ascii="Century" w:hAnsi="Century" w:cs="Miriam"/>
          <w:b/>
          <w:spacing w:val="0"/>
          <w:szCs w:val="24"/>
          <w:rtl/>
        </w:rPr>
        <w:t xml:space="preserve"> </w:t>
      </w:r>
      <w:r w:rsidRPr="009353CA">
        <w:rPr>
          <w:rFonts w:ascii="Century" w:hAnsi="Century" w:cs="Miriam" w:hint="eastAsia"/>
          <w:b/>
          <w:spacing w:val="0"/>
          <w:szCs w:val="24"/>
          <w:rtl/>
        </w:rPr>
        <w:t>בהתאם</w:t>
      </w:r>
      <w:r w:rsidRPr="009353CA">
        <w:rPr>
          <w:rFonts w:ascii="Century" w:hAnsi="Century" w:cs="Miriam"/>
          <w:b/>
          <w:spacing w:val="0"/>
          <w:szCs w:val="24"/>
          <w:rtl/>
        </w:rPr>
        <w:t xml:space="preserve"> </w:t>
      </w:r>
      <w:r w:rsidRPr="009353CA">
        <w:rPr>
          <w:rFonts w:ascii="Century" w:hAnsi="Century" w:cs="Miriam" w:hint="eastAsia"/>
          <w:b/>
          <w:spacing w:val="0"/>
          <w:szCs w:val="24"/>
          <w:rtl/>
        </w:rPr>
        <w:t>לדיני</w:t>
      </w:r>
      <w:r w:rsidRPr="009353CA">
        <w:rPr>
          <w:rFonts w:ascii="Century" w:hAnsi="Century" w:cs="Miriam"/>
          <w:b/>
          <w:spacing w:val="0"/>
          <w:szCs w:val="24"/>
          <w:rtl/>
        </w:rPr>
        <w:t xml:space="preserve"> </w:t>
      </w:r>
      <w:r w:rsidRPr="009353CA">
        <w:rPr>
          <w:rFonts w:ascii="Century" w:hAnsi="Century" w:cs="Miriam" w:hint="eastAsia"/>
          <w:b/>
          <w:spacing w:val="0"/>
          <w:szCs w:val="24"/>
          <w:rtl/>
        </w:rPr>
        <w:t>הגירושין</w:t>
      </w:r>
      <w:r w:rsidRPr="009353CA">
        <w:rPr>
          <w:rFonts w:ascii="Century" w:hAnsi="Century" w:cs="Miriam"/>
          <w:b/>
          <w:spacing w:val="0"/>
          <w:szCs w:val="24"/>
          <w:rtl/>
        </w:rPr>
        <w:t xml:space="preserve"> – </w:t>
      </w:r>
      <w:r w:rsidRPr="009353CA">
        <w:rPr>
          <w:rFonts w:ascii="Century" w:hAnsi="Century" w:cs="Miriam" w:hint="eastAsia"/>
          <w:b/>
          <w:spacing w:val="0"/>
          <w:szCs w:val="24"/>
          <w:rtl/>
        </w:rPr>
        <w:t>מכביד</w:t>
      </w:r>
      <w:r w:rsidRPr="009353CA">
        <w:rPr>
          <w:rFonts w:ascii="Century" w:hAnsi="Century" w:cs="Miriam"/>
          <w:b/>
          <w:spacing w:val="0"/>
          <w:szCs w:val="24"/>
          <w:rtl/>
        </w:rPr>
        <w:t xml:space="preserve"> </w:t>
      </w:r>
      <w:r w:rsidRPr="009353CA">
        <w:rPr>
          <w:rFonts w:ascii="Century" w:hAnsi="Century" w:cs="Miriam" w:hint="eastAsia"/>
          <w:b/>
          <w:spacing w:val="0"/>
          <w:szCs w:val="24"/>
          <w:rtl/>
        </w:rPr>
        <w:t>על</w:t>
      </w:r>
      <w:r w:rsidRPr="009353CA">
        <w:rPr>
          <w:rFonts w:ascii="Century" w:hAnsi="Century" w:cs="Miriam"/>
          <w:b/>
          <w:spacing w:val="0"/>
          <w:szCs w:val="24"/>
          <w:rtl/>
        </w:rPr>
        <w:t xml:space="preserve"> </w:t>
      </w:r>
      <w:r w:rsidRPr="009353CA">
        <w:rPr>
          <w:rFonts w:ascii="Century" w:hAnsi="Century" w:cs="Miriam" w:hint="eastAsia"/>
          <w:b/>
          <w:spacing w:val="0"/>
          <w:szCs w:val="24"/>
          <w:rtl/>
        </w:rPr>
        <w:t>הפעלת</w:t>
      </w:r>
      <w:r w:rsidRPr="009353CA">
        <w:rPr>
          <w:rFonts w:ascii="Century" w:hAnsi="Century" w:cs="Miriam"/>
          <w:b/>
          <w:spacing w:val="0"/>
          <w:szCs w:val="24"/>
          <w:rtl/>
        </w:rPr>
        <w:t xml:space="preserve"> </w:t>
      </w:r>
      <w:r w:rsidRPr="009353CA">
        <w:rPr>
          <w:rFonts w:ascii="Century" w:hAnsi="Century" w:cs="Miriam" w:hint="eastAsia"/>
          <w:b/>
          <w:spacing w:val="0"/>
          <w:szCs w:val="24"/>
          <w:rtl/>
        </w:rPr>
        <w:t>ההסדר</w:t>
      </w:r>
      <w:r w:rsidRPr="009353CA">
        <w:rPr>
          <w:rFonts w:ascii="Century" w:hAnsi="Century" w:cs="Miriam"/>
          <w:b/>
          <w:spacing w:val="0"/>
          <w:szCs w:val="24"/>
          <w:rtl/>
        </w:rPr>
        <w:t xml:space="preserve">, </w:t>
      </w:r>
      <w:r w:rsidRPr="009353CA">
        <w:rPr>
          <w:rFonts w:ascii="Century" w:hAnsi="Century" w:cs="Miriam" w:hint="eastAsia"/>
          <w:b/>
          <w:spacing w:val="0"/>
          <w:szCs w:val="24"/>
          <w:rtl/>
        </w:rPr>
        <w:t>ולמעשה</w:t>
      </w:r>
      <w:r w:rsidRPr="009353CA">
        <w:rPr>
          <w:rFonts w:ascii="Century" w:hAnsi="Century" w:cs="Miriam"/>
          <w:b/>
          <w:spacing w:val="0"/>
          <w:szCs w:val="24"/>
          <w:rtl/>
        </w:rPr>
        <w:t xml:space="preserve"> </w:t>
      </w:r>
      <w:r w:rsidRPr="009353CA">
        <w:rPr>
          <w:rFonts w:ascii="Century" w:hAnsi="Century" w:cs="Miriam" w:hint="eastAsia"/>
          <w:b/>
          <w:spacing w:val="0"/>
          <w:szCs w:val="24"/>
          <w:rtl/>
        </w:rPr>
        <w:t>מעמיק</w:t>
      </w:r>
      <w:r w:rsidRPr="009353CA">
        <w:rPr>
          <w:rFonts w:ascii="Century" w:hAnsi="Century" w:cs="Miriam"/>
          <w:b/>
          <w:spacing w:val="0"/>
          <w:szCs w:val="24"/>
          <w:rtl/>
        </w:rPr>
        <w:t xml:space="preserve"> </w:t>
      </w:r>
      <w:r w:rsidRPr="009353CA">
        <w:rPr>
          <w:rFonts w:ascii="Century" w:hAnsi="Century" w:cs="Miriam" w:hint="eastAsia"/>
          <w:b/>
          <w:spacing w:val="0"/>
          <w:szCs w:val="24"/>
          <w:rtl/>
        </w:rPr>
        <w:t>את</w:t>
      </w:r>
      <w:r w:rsidRPr="009353CA">
        <w:rPr>
          <w:rFonts w:ascii="Century" w:hAnsi="Century" w:cs="Miriam"/>
          <w:b/>
          <w:spacing w:val="0"/>
          <w:szCs w:val="24"/>
          <w:rtl/>
        </w:rPr>
        <w:t xml:space="preserve"> </w:t>
      </w:r>
      <w:r w:rsidRPr="009353CA">
        <w:rPr>
          <w:rFonts w:ascii="Century" w:hAnsi="Century" w:cs="Miriam" w:hint="eastAsia"/>
          <w:b/>
          <w:spacing w:val="0"/>
          <w:szCs w:val="24"/>
          <w:rtl/>
        </w:rPr>
        <w:t>חוסר</w:t>
      </w:r>
      <w:r w:rsidRPr="009353CA">
        <w:rPr>
          <w:rFonts w:ascii="Century" w:hAnsi="Century" w:cs="Miriam"/>
          <w:b/>
          <w:spacing w:val="0"/>
          <w:szCs w:val="24"/>
          <w:rtl/>
        </w:rPr>
        <w:t xml:space="preserve"> </w:t>
      </w:r>
      <w:r w:rsidRPr="009353CA">
        <w:rPr>
          <w:rFonts w:ascii="Century" w:hAnsi="Century" w:cs="Miriam" w:hint="eastAsia"/>
          <w:b/>
          <w:spacing w:val="0"/>
          <w:szCs w:val="24"/>
          <w:rtl/>
        </w:rPr>
        <w:t>השוויון</w:t>
      </w:r>
      <w:r w:rsidRPr="009353CA">
        <w:rPr>
          <w:rFonts w:ascii="Century" w:hAnsi="Century" w:cs="Miriam"/>
          <w:b/>
          <w:spacing w:val="0"/>
          <w:szCs w:val="24"/>
          <w:rtl/>
        </w:rPr>
        <w:t xml:space="preserve">, </w:t>
      </w:r>
      <w:r w:rsidRPr="009353CA">
        <w:rPr>
          <w:rFonts w:ascii="Century" w:hAnsi="Century" w:cs="Miriam" w:hint="eastAsia"/>
          <w:b/>
          <w:spacing w:val="0"/>
          <w:szCs w:val="24"/>
          <w:rtl/>
        </w:rPr>
        <w:t>והופך</w:t>
      </w:r>
      <w:r w:rsidRPr="009353CA">
        <w:rPr>
          <w:rFonts w:ascii="Century" w:hAnsi="Century" w:cs="Miriam"/>
          <w:b/>
          <w:spacing w:val="0"/>
          <w:szCs w:val="24"/>
          <w:rtl/>
        </w:rPr>
        <w:t xml:space="preserve"> </w:t>
      </w:r>
      <w:r w:rsidRPr="009353CA">
        <w:rPr>
          <w:rFonts w:ascii="Century" w:hAnsi="Century" w:cs="Miriam" w:hint="eastAsia"/>
          <w:b/>
          <w:spacing w:val="0"/>
          <w:szCs w:val="24"/>
          <w:rtl/>
        </w:rPr>
        <w:t>את</w:t>
      </w:r>
      <w:r w:rsidRPr="009353CA">
        <w:rPr>
          <w:rFonts w:ascii="Century" w:hAnsi="Century" w:cs="Miriam"/>
          <w:b/>
          <w:spacing w:val="0"/>
          <w:szCs w:val="24"/>
          <w:rtl/>
        </w:rPr>
        <w:t xml:space="preserve"> </w:t>
      </w:r>
      <w:r w:rsidRPr="009353CA">
        <w:rPr>
          <w:rFonts w:ascii="Century" w:hAnsi="Century" w:cs="Miriam" w:hint="eastAsia"/>
          <w:b/>
          <w:spacing w:val="0"/>
          <w:szCs w:val="24"/>
          <w:rtl/>
        </w:rPr>
        <w:t>הסדרו</w:t>
      </w:r>
      <w:r w:rsidRPr="009353CA">
        <w:rPr>
          <w:rFonts w:ascii="Century" w:hAnsi="Century" w:cs="Miriam"/>
          <w:b/>
          <w:spacing w:val="0"/>
          <w:szCs w:val="24"/>
          <w:rtl/>
        </w:rPr>
        <w:t xml:space="preserve"> </w:t>
      </w:r>
      <w:r w:rsidRPr="009353CA">
        <w:rPr>
          <w:rFonts w:ascii="Century" w:hAnsi="Century" w:cs="Miriam" w:hint="eastAsia"/>
          <w:b/>
          <w:spacing w:val="0"/>
          <w:szCs w:val="24"/>
          <w:rtl/>
        </w:rPr>
        <w:t>של</w:t>
      </w:r>
      <w:r w:rsidRPr="009353CA">
        <w:rPr>
          <w:rFonts w:ascii="Century" w:hAnsi="Century" w:cs="Miriam"/>
          <w:b/>
          <w:spacing w:val="0"/>
          <w:szCs w:val="24"/>
          <w:rtl/>
        </w:rPr>
        <w:t xml:space="preserve"> </w:t>
      </w:r>
      <w:r w:rsidRPr="009353CA">
        <w:rPr>
          <w:rFonts w:ascii="Century" w:hAnsi="Century" w:cs="Miriam" w:hint="eastAsia"/>
          <w:b/>
          <w:spacing w:val="0"/>
          <w:szCs w:val="24"/>
          <w:rtl/>
        </w:rPr>
        <w:t>סעיף</w:t>
      </w:r>
      <w:r w:rsidRPr="009353CA">
        <w:rPr>
          <w:rFonts w:ascii="Century" w:hAnsi="Century" w:cs="Miriam"/>
          <w:b/>
          <w:spacing w:val="0"/>
          <w:szCs w:val="24"/>
          <w:rtl/>
        </w:rPr>
        <w:t xml:space="preserve"> 4 </w:t>
      </w:r>
      <w:r w:rsidRPr="009353CA">
        <w:rPr>
          <w:rFonts w:ascii="Century" w:hAnsi="Century" w:cs="Miriam" w:hint="eastAsia"/>
          <w:b/>
          <w:spacing w:val="0"/>
          <w:szCs w:val="24"/>
          <w:rtl/>
        </w:rPr>
        <w:t>לקשה</w:t>
      </w:r>
      <w:r w:rsidRPr="009353CA">
        <w:rPr>
          <w:rFonts w:ascii="Century" w:hAnsi="Century" w:cs="Miriam"/>
          <w:b/>
          <w:spacing w:val="0"/>
          <w:szCs w:val="24"/>
          <w:rtl/>
        </w:rPr>
        <w:t xml:space="preserve"> </w:t>
      </w:r>
      <w:r w:rsidRPr="009353CA">
        <w:rPr>
          <w:rFonts w:ascii="Century" w:hAnsi="Century" w:cs="Miriam" w:hint="eastAsia"/>
          <w:b/>
          <w:spacing w:val="0"/>
          <w:szCs w:val="24"/>
          <w:rtl/>
        </w:rPr>
        <w:t>יותר</w:t>
      </w:r>
      <w:r w:rsidRPr="009353CA">
        <w:rPr>
          <w:rFonts w:ascii="Century" w:hAnsi="Century" w:cs="Miriam"/>
          <w:b/>
          <w:spacing w:val="0"/>
          <w:szCs w:val="24"/>
          <w:rtl/>
        </w:rPr>
        <w:t xml:space="preserve"> </w:t>
      </w:r>
      <w:r w:rsidRPr="009353CA">
        <w:rPr>
          <w:rFonts w:ascii="Century" w:hAnsi="Century" w:cs="Miriam" w:hint="eastAsia"/>
          <w:b/>
          <w:spacing w:val="0"/>
          <w:szCs w:val="24"/>
          <w:rtl/>
        </w:rPr>
        <w:t>משהוא</w:t>
      </w:r>
      <w:r w:rsidRPr="009353CA">
        <w:rPr>
          <w:rFonts w:ascii="Century" w:hAnsi="Century" w:cs="Miriam"/>
          <w:b/>
          <w:spacing w:val="0"/>
          <w:szCs w:val="24"/>
          <w:rtl/>
        </w:rPr>
        <w:t xml:space="preserve"> </w:t>
      </w:r>
      <w:r w:rsidRPr="009353CA">
        <w:rPr>
          <w:rFonts w:ascii="Century" w:hAnsi="Century" w:cs="Miriam" w:hint="eastAsia"/>
          <w:b/>
          <w:spacing w:val="0"/>
          <w:szCs w:val="24"/>
          <w:rtl/>
        </w:rPr>
        <w:t>נחזה</w:t>
      </w:r>
      <w:r w:rsidRPr="009353CA">
        <w:rPr>
          <w:rFonts w:ascii="Century" w:hAnsi="Century" w:cs="Miriam"/>
          <w:b/>
          <w:spacing w:val="0"/>
          <w:szCs w:val="24"/>
          <w:rtl/>
        </w:rPr>
        <w:t xml:space="preserve"> </w:t>
      </w:r>
      <w:r w:rsidRPr="009353CA">
        <w:rPr>
          <w:rFonts w:ascii="Century" w:hAnsi="Century" w:cs="Miriam" w:hint="eastAsia"/>
          <w:b/>
          <w:spacing w:val="0"/>
          <w:szCs w:val="24"/>
          <w:rtl/>
        </w:rPr>
        <w:t>להיות</w:t>
      </w:r>
      <w:r w:rsidRPr="009353CA">
        <w:rPr>
          <w:rFonts w:ascii="Century" w:hAnsi="Century" w:cs="Miriam"/>
          <w:b/>
          <w:spacing w:val="0"/>
          <w:szCs w:val="24"/>
          <w:rtl/>
        </w:rPr>
        <w:t xml:space="preserve"> </w:t>
      </w:r>
      <w:r w:rsidRPr="009353CA">
        <w:rPr>
          <w:rFonts w:ascii="Century" w:hAnsi="Century" w:cs="Miriam" w:hint="eastAsia"/>
          <w:b/>
          <w:spacing w:val="0"/>
          <w:szCs w:val="24"/>
          <w:rtl/>
        </w:rPr>
        <w:t>מלכתחילה</w:t>
      </w:r>
      <w:r w:rsidRPr="009353CA">
        <w:rPr>
          <w:rFonts w:ascii="Century" w:hAnsi="Century" w:cs="Miriam"/>
          <w:b/>
          <w:spacing w:val="0"/>
          <w:szCs w:val="24"/>
          <w:rtl/>
        </w:rPr>
        <w:t xml:space="preserve"> – </w:t>
      </w:r>
      <w:r w:rsidRPr="009353CA">
        <w:rPr>
          <w:rFonts w:ascii="Century" w:hAnsi="Century" w:cs="Miriam" w:hint="eastAsia"/>
          <w:b/>
          <w:spacing w:val="0"/>
          <w:szCs w:val="24"/>
          <w:rtl/>
        </w:rPr>
        <w:t>וזאת</w:t>
      </w:r>
      <w:r w:rsidRPr="009353CA">
        <w:rPr>
          <w:rFonts w:ascii="Century" w:hAnsi="Century" w:cs="Miriam"/>
          <w:b/>
          <w:spacing w:val="0"/>
          <w:szCs w:val="24"/>
          <w:rtl/>
        </w:rPr>
        <w:t xml:space="preserve"> </w:t>
      </w:r>
      <w:r w:rsidRPr="009353CA">
        <w:rPr>
          <w:rFonts w:ascii="Century" w:hAnsi="Century" w:cs="Miriam" w:hint="eastAsia"/>
          <w:b/>
          <w:spacing w:val="0"/>
          <w:szCs w:val="24"/>
          <w:rtl/>
        </w:rPr>
        <w:t>בשל</w:t>
      </w:r>
      <w:r w:rsidRPr="009353CA">
        <w:rPr>
          <w:rFonts w:ascii="Century" w:hAnsi="Century" w:cs="Miriam"/>
          <w:b/>
          <w:spacing w:val="0"/>
          <w:szCs w:val="24"/>
          <w:rtl/>
        </w:rPr>
        <w:t xml:space="preserve"> </w:t>
      </w:r>
      <w:r w:rsidRPr="009353CA">
        <w:rPr>
          <w:rFonts w:ascii="Century" w:hAnsi="Century" w:cs="Miriam" w:hint="eastAsia"/>
          <w:b/>
          <w:spacing w:val="0"/>
          <w:szCs w:val="24"/>
          <w:rtl/>
        </w:rPr>
        <w:t>היתרונות</w:t>
      </w:r>
      <w:r w:rsidRPr="009353CA">
        <w:rPr>
          <w:rFonts w:ascii="Century" w:hAnsi="Century" w:cs="Miriam"/>
          <w:b/>
          <w:spacing w:val="0"/>
          <w:szCs w:val="24"/>
          <w:rtl/>
        </w:rPr>
        <w:t xml:space="preserve"> "</w:t>
      </w:r>
      <w:r w:rsidRPr="009353CA">
        <w:rPr>
          <w:rFonts w:ascii="Century" w:hAnsi="Century" w:cs="Miriam" w:hint="eastAsia"/>
          <w:b/>
          <w:spacing w:val="0"/>
          <w:szCs w:val="24"/>
          <w:rtl/>
        </w:rPr>
        <w:t>הטאקטיים</w:t>
      </w:r>
      <w:r w:rsidRPr="009353CA">
        <w:rPr>
          <w:rFonts w:ascii="Century" w:hAnsi="Century" w:cs="Miriam"/>
          <w:b/>
          <w:spacing w:val="0"/>
          <w:szCs w:val="24"/>
          <w:rtl/>
        </w:rPr>
        <w:t xml:space="preserve">" </w:t>
      </w:r>
      <w:r w:rsidRPr="009353CA">
        <w:rPr>
          <w:rFonts w:ascii="Century" w:hAnsi="Century" w:cs="Miriam" w:hint="eastAsia"/>
          <w:b/>
          <w:spacing w:val="0"/>
          <w:szCs w:val="24"/>
          <w:rtl/>
        </w:rPr>
        <w:t>הגלומים</w:t>
      </w:r>
      <w:r w:rsidRPr="009353CA">
        <w:rPr>
          <w:rFonts w:ascii="Century" w:hAnsi="Century" w:cs="Miriam"/>
          <w:b/>
          <w:spacing w:val="0"/>
          <w:szCs w:val="24"/>
          <w:rtl/>
        </w:rPr>
        <w:t xml:space="preserve"> </w:t>
      </w:r>
      <w:r w:rsidRPr="009353CA">
        <w:rPr>
          <w:rFonts w:ascii="Century" w:hAnsi="Century" w:cs="Miriam" w:hint="eastAsia"/>
          <w:b/>
          <w:spacing w:val="0"/>
          <w:szCs w:val="24"/>
          <w:rtl/>
        </w:rPr>
        <w:t>לצד</w:t>
      </w:r>
      <w:r w:rsidRPr="009353CA">
        <w:rPr>
          <w:rFonts w:ascii="Century" w:hAnsi="Century" w:cs="Miriam"/>
          <w:b/>
          <w:spacing w:val="0"/>
          <w:szCs w:val="24"/>
          <w:rtl/>
        </w:rPr>
        <w:t xml:space="preserve"> </w:t>
      </w:r>
      <w:r w:rsidRPr="009353CA">
        <w:rPr>
          <w:rFonts w:ascii="Century" w:hAnsi="Century" w:cs="Miriam" w:hint="eastAsia"/>
          <w:b/>
          <w:spacing w:val="0"/>
          <w:szCs w:val="24"/>
          <w:rtl/>
        </w:rPr>
        <w:t>שאינו</w:t>
      </w:r>
      <w:r w:rsidRPr="009353CA">
        <w:rPr>
          <w:rFonts w:ascii="Century" w:hAnsi="Century" w:cs="Miriam"/>
          <w:b/>
          <w:spacing w:val="0"/>
          <w:szCs w:val="24"/>
          <w:rtl/>
        </w:rPr>
        <w:t xml:space="preserve"> </w:t>
      </w:r>
      <w:r w:rsidRPr="009353CA">
        <w:rPr>
          <w:rFonts w:ascii="Century" w:hAnsi="Century" w:cs="Miriam" w:hint="eastAsia"/>
          <w:b/>
          <w:spacing w:val="0"/>
          <w:szCs w:val="24"/>
          <w:rtl/>
        </w:rPr>
        <w:t>מעוניין</w:t>
      </w:r>
      <w:r w:rsidRPr="009353CA">
        <w:rPr>
          <w:rFonts w:ascii="Century" w:hAnsi="Century" w:cs="Miriam"/>
          <w:b/>
          <w:spacing w:val="0"/>
          <w:szCs w:val="24"/>
          <w:rtl/>
        </w:rPr>
        <w:t xml:space="preserve"> </w:t>
      </w:r>
      <w:r w:rsidRPr="009353CA">
        <w:rPr>
          <w:rFonts w:ascii="Century" w:hAnsi="Century" w:cs="Miriam" w:hint="eastAsia"/>
          <w:b/>
          <w:spacing w:val="0"/>
          <w:szCs w:val="24"/>
          <w:rtl/>
        </w:rPr>
        <w:t>לאפשר</w:t>
      </w:r>
      <w:r w:rsidRPr="009353CA">
        <w:rPr>
          <w:rFonts w:ascii="Century" w:hAnsi="Century" w:cs="Miriam"/>
          <w:b/>
          <w:spacing w:val="0"/>
          <w:szCs w:val="24"/>
          <w:rtl/>
        </w:rPr>
        <w:t xml:space="preserve"> </w:t>
      </w:r>
      <w:r w:rsidRPr="009353CA">
        <w:rPr>
          <w:rFonts w:ascii="Century" w:hAnsi="Century" w:cs="Miriam" w:hint="eastAsia"/>
          <w:b/>
          <w:spacing w:val="0"/>
          <w:szCs w:val="24"/>
          <w:rtl/>
        </w:rPr>
        <w:t>לבן</w:t>
      </w:r>
      <w:r w:rsidRPr="009353CA">
        <w:rPr>
          <w:rFonts w:ascii="Century" w:hAnsi="Century" w:cs="Miriam"/>
          <w:b/>
          <w:spacing w:val="0"/>
          <w:szCs w:val="24"/>
          <w:rtl/>
        </w:rPr>
        <w:t>-</w:t>
      </w:r>
      <w:r w:rsidRPr="009353CA">
        <w:rPr>
          <w:rFonts w:ascii="Century" w:hAnsi="Century" w:cs="Miriam" w:hint="eastAsia"/>
          <w:b/>
          <w:spacing w:val="0"/>
          <w:szCs w:val="24"/>
          <w:rtl/>
        </w:rPr>
        <w:t>זוגו</w:t>
      </w:r>
      <w:r w:rsidRPr="009353CA">
        <w:rPr>
          <w:rFonts w:ascii="Century" w:hAnsi="Century" w:cs="Miriam"/>
          <w:b/>
          <w:spacing w:val="0"/>
          <w:szCs w:val="24"/>
          <w:rtl/>
        </w:rPr>
        <w:t xml:space="preserve"> </w:t>
      </w:r>
      <w:r w:rsidRPr="009353CA">
        <w:rPr>
          <w:rFonts w:ascii="Century" w:hAnsi="Century" w:cs="Miriam" w:hint="eastAsia"/>
          <w:b/>
          <w:spacing w:val="0"/>
          <w:szCs w:val="24"/>
          <w:rtl/>
        </w:rPr>
        <w:t>ליהנות</w:t>
      </w:r>
      <w:r w:rsidRPr="009353CA">
        <w:rPr>
          <w:rFonts w:ascii="Century" w:hAnsi="Century" w:cs="Miriam"/>
          <w:b/>
          <w:spacing w:val="0"/>
          <w:szCs w:val="24"/>
          <w:rtl/>
        </w:rPr>
        <w:t xml:space="preserve"> </w:t>
      </w:r>
      <w:r w:rsidRPr="009353CA">
        <w:rPr>
          <w:rFonts w:ascii="Century" w:hAnsi="Century" w:cs="Miriam" w:hint="eastAsia"/>
          <w:b/>
          <w:spacing w:val="0"/>
          <w:szCs w:val="24"/>
          <w:rtl/>
        </w:rPr>
        <w:t>מהסדר</w:t>
      </w:r>
      <w:r w:rsidRPr="009353CA">
        <w:rPr>
          <w:rFonts w:ascii="Century" w:hAnsi="Century" w:cs="Miriam"/>
          <w:b/>
          <w:spacing w:val="0"/>
          <w:szCs w:val="24"/>
          <w:rtl/>
        </w:rPr>
        <w:t xml:space="preserve"> </w:t>
      </w:r>
      <w:r w:rsidRPr="009353CA">
        <w:rPr>
          <w:rFonts w:ascii="Century" w:hAnsi="Century" w:cs="Miriam" w:hint="eastAsia"/>
          <w:b/>
          <w:spacing w:val="0"/>
          <w:szCs w:val="24"/>
          <w:rtl/>
        </w:rPr>
        <w:t>איזון</w:t>
      </w:r>
      <w:r w:rsidRPr="009353CA">
        <w:rPr>
          <w:rFonts w:ascii="Century" w:hAnsi="Century" w:cs="Miriam"/>
          <w:b/>
          <w:spacing w:val="0"/>
          <w:szCs w:val="24"/>
          <w:rtl/>
        </w:rPr>
        <w:t xml:space="preserve"> </w:t>
      </w:r>
      <w:r w:rsidRPr="009353CA">
        <w:rPr>
          <w:rFonts w:ascii="Century" w:hAnsi="Century" w:cs="Miriam" w:hint="eastAsia"/>
          <w:b/>
          <w:spacing w:val="0"/>
          <w:szCs w:val="24"/>
          <w:rtl/>
        </w:rPr>
        <w:t>המשאבים</w:t>
      </w:r>
      <w:r w:rsidRPr="009353CA">
        <w:rPr>
          <w:rFonts w:ascii="Century" w:hAnsi="Century" w:cs="Miriam"/>
          <w:b/>
          <w:spacing w:val="0"/>
          <w:szCs w:val="24"/>
          <w:rtl/>
        </w:rPr>
        <w:t>.</w:t>
      </w:r>
      <w:r w:rsidRPr="009353CA">
        <w:rPr>
          <w:rtl/>
        </w:rPr>
        <w:t xml:space="preserve"> </w:t>
      </w:r>
      <w:r w:rsidRPr="009353CA">
        <w:rPr>
          <w:rFonts w:ascii="Century" w:hAnsi="Century" w:cs="Miriam" w:hint="eastAsia"/>
          <w:b/>
          <w:spacing w:val="0"/>
          <w:szCs w:val="24"/>
          <w:rtl/>
        </w:rPr>
        <w:t>כל</w:t>
      </w:r>
      <w:r w:rsidRPr="009353CA">
        <w:rPr>
          <w:rFonts w:ascii="Century" w:hAnsi="Century" w:cs="Miriam"/>
          <w:b/>
          <w:spacing w:val="0"/>
          <w:szCs w:val="24"/>
          <w:rtl/>
        </w:rPr>
        <w:t xml:space="preserve"> </w:t>
      </w:r>
      <w:r w:rsidRPr="009353CA">
        <w:rPr>
          <w:rFonts w:ascii="Century" w:hAnsi="Century" w:cs="Miriam" w:hint="eastAsia"/>
          <w:b/>
          <w:spacing w:val="0"/>
          <w:szCs w:val="24"/>
          <w:rtl/>
        </w:rPr>
        <w:t>שעליו</w:t>
      </w:r>
      <w:r w:rsidRPr="009353CA">
        <w:rPr>
          <w:rFonts w:ascii="Century" w:hAnsi="Century" w:cs="Miriam"/>
          <w:b/>
          <w:spacing w:val="0"/>
          <w:szCs w:val="24"/>
          <w:rtl/>
        </w:rPr>
        <w:t xml:space="preserve"> </w:t>
      </w:r>
      <w:r w:rsidRPr="009353CA">
        <w:rPr>
          <w:rFonts w:ascii="Century" w:hAnsi="Century" w:cs="Miriam" w:hint="eastAsia"/>
          <w:b/>
          <w:spacing w:val="0"/>
          <w:szCs w:val="24"/>
          <w:rtl/>
        </w:rPr>
        <w:t>לעשות</w:t>
      </w:r>
      <w:r w:rsidRPr="009353CA">
        <w:rPr>
          <w:rFonts w:ascii="Century" w:hAnsi="Century" w:cs="Miriam"/>
          <w:b/>
          <w:spacing w:val="0"/>
          <w:szCs w:val="24"/>
          <w:rtl/>
        </w:rPr>
        <w:t xml:space="preserve"> </w:t>
      </w:r>
      <w:r w:rsidRPr="009353CA">
        <w:rPr>
          <w:rFonts w:ascii="Century" w:hAnsi="Century" w:cs="Miriam" w:hint="eastAsia"/>
          <w:b/>
          <w:spacing w:val="0"/>
          <w:szCs w:val="24"/>
          <w:rtl/>
        </w:rPr>
        <w:t>הוא</w:t>
      </w:r>
      <w:r w:rsidRPr="009353CA">
        <w:rPr>
          <w:rFonts w:ascii="Century" w:hAnsi="Century" w:cs="Miriam"/>
          <w:b/>
          <w:spacing w:val="0"/>
          <w:szCs w:val="24"/>
          <w:rtl/>
        </w:rPr>
        <w:t xml:space="preserve"> </w:t>
      </w:r>
      <w:r w:rsidRPr="009353CA">
        <w:rPr>
          <w:rFonts w:ascii="Century" w:hAnsi="Century" w:cs="Miriam" w:hint="eastAsia"/>
          <w:b/>
          <w:spacing w:val="0"/>
          <w:szCs w:val="24"/>
          <w:rtl/>
        </w:rPr>
        <w:t>למתוח</w:t>
      </w:r>
      <w:r w:rsidRPr="009353CA">
        <w:rPr>
          <w:rFonts w:ascii="Century" w:hAnsi="Century" w:cs="Miriam"/>
          <w:b/>
          <w:spacing w:val="0"/>
          <w:szCs w:val="24"/>
          <w:rtl/>
        </w:rPr>
        <w:t xml:space="preserve"> </w:t>
      </w:r>
      <w:r w:rsidRPr="009353CA">
        <w:rPr>
          <w:rFonts w:ascii="Century" w:hAnsi="Century" w:cs="Miriam" w:hint="eastAsia"/>
          <w:b/>
          <w:spacing w:val="0"/>
          <w:szCs w:val="24"/>
          <w:rtl/>
        </w:rPr>
        <w:t>ולהשהות</w:t>
      </w:r>
      <w:r w:rsidRPr="009353CA">
        <w:rPr>
          <w:rFonts w:ascii="Century" w:hAnsi="Century" w:cs="Miriam"/>
          <w:b/>
          <w:spacing w:val="0"/>
          <w:szCs w:val="24"/>
          <w:rtl/>
        </w:rPr>
        <w:t xml:space="preserve"> </w:t>
      </w:r>
      <w:r w:rsidRPr="009353CA">
        <w:rPr>
          <w:rFonts w:ascii="Century" w:hAnsi="Century" w:cs="Miriam" w:hint="eastAsia"/>
          <w:b/>
          <w:spacing w:val="0"/>
          <w:szCs w:val="24"/>
          <w:rtl/>
        </w:rPr>
        <w:t>את</w:t>
      </w:r>
      <w:r w:rsidRPr="009353CA">
        <w:rPr>
          <w:rFonts w:ascii="Century" w:hAnsi="Century" w:cs="Miriam"/>
          <w:b/>
          <w:spacing w:val="0"/>
          <w:szCs w:val="24"/>
          <w:rtl/>
        </w:rPr>
        <w:t xml:space="preserve"> </w:t>
      </w:r>
      <w:r w:rsidRPr="009353CA">
        <w:rPr>
          <w:rFonts w:ascii="Century" w:hAnsi="Century" w:cs="Miriam" w:hint="eastAsia"/>
          <w:b/>
          <w:spacing w:val="0"/>
          <w:szCs w:val="24"/>
          <w:rtl/>
        </w:rPr>
        <w:t>פקיעת</w:t>
      </w:r>
      <w:r w:rsidRPr="009353CA">
        <w:rPr>
          <w:rFonts w:ascii="Century" w:hAnsi="Century" w:cs="Miriam"/>
          <w:b/>
          <w:spacing w:val="0"/>
          <w:szCs w:val="24"/>
          <w:rtl/>
        </w:rPr>
        <w:t xml:space="preserve"> </w:t>
      </w:r>
      <w:r w:rsidRPr="009353CA">
        <w:rPr>
          <w:rFonts w:ascii="Century" w:hAnsi="Century" w:cs="Miriam" w:hint="eastAsia"/>
          <w:b/>
          <w:spacing w:val="0"/>
          <w:szCs w:val="24"/>
          <w:rtl/>
        </w:rPr>
        <w:t>הנישואין</w:t>
      </w:r>
      <w:r w:rsidRPr="009353CA">
        <w:rPr>
          <w:rFonts w:ascii="Century" w:hAnsi="Century" w:cs="Miriam"/>
          <w:b/>
          <w:spacing w:val="0"/>
          <w:szCs w:val="24"/>
          <w:rtl/>
        </w:rPr>
        <w:t>.</w:t>
      </w:r>
      <w:r w:rsidRPr="009353CA">
        <w:rPr>
          <w:rtl/>
        </w:rPr>
        <w:t xml:space="preserve"> </w:t>
      </w:r>
      <w:r w:rsidRPr="009353CA">
        <w:rPr>
          <w:rFonts w:hint="eastAsia"/>
          <w:rtl/>
        </w:rPr>
        <w:t>במילים</w:t>
      </w:r>
      <w:r w:rsidRPr="009353CA">
        <w:rPr>
          <w:rtl/>
        </w:rPr>
        <w:t xml:space="preserve"> </w:t>
      </w:r>
      <w:r w:rsidRPr="009353CA">
        <w:rPr>
          <w:rFonts w:hint="eastAsia"/>
          <w:rtl/>
        </w:rPr>
        <w:t>פשוטות</w:t>
      </w:r>
      <w:r w:rsidRPr="009353CA">
        <w:rPr>
          <w:rtl/>
        </w:rPr>
        <w:t xml:space="preserve">, </w:t>
      </w:r>
      <w:r w:rsidRPr="009353CA">
        <w:rPr>
          <w:rFonts w:hint="eastAsia"/>
          <w:rtl/>
        </w:rPr>
        <w:t>וכפי</w:t>
      </w:r>
      <w:r w:rsidRPr="009353CA">
        <w:rPr>
          <w:rtl/>
        </w:rPr>
        <w:t xml:space="preserve"> </w:t>
      </w:r>
      <w:r w:rsidRPr="009353CA">
        <w:rPr>
          <w:rFonts w:hint="eastAsia"/>
          <w:rtl/>
        </w:rPr>
        <w:t>שקורה</w:t>
      </w:r>
      <w:r w:rsidRPr="009353CA">
        <w:rPr>
          <w:rtl/>
        </w:rPr>
        <w:t xml:space="preserve"> </w:t>
      </w:r>
      <w:r w:rsidRPr="009353CA">
        <w:rPr>
          <w:rFonts w:hint="eastAsia"/>
          <w:rtl/>
        </w:rPr>
        <w:t>במקרים</w:t>
      </w:r>
      <w:r w:rsidRPr="009353CA">
        <w:rPr>
          <w:rtl/>
        </w:rPr>
        <w:t xml:space="preserve"> </w:t>
      </w:r>
      <w:r w:rsidRPr="009353CA">
        <w:rPr>
          <w:rFonts w:hint="eastAsia"/>
          <w:rtl/>
        </w:rPr>
        <w:t>אין</w:t>
      </w:r>
      <w:r w:rsidRPr="009353CA">
        <w:rPr>
          <w:rtl/>
        </w:rPr>
        <w:t xml:space="preserve"> </w:t>
      </w:r>
      <w:r w:rsidRPr="009353CA">
        <w:rPr>
          <w:rFonts w:hint="eastAsia"/>
          <w:rtl/>
        </w:rPr>
        <w:t>ספור</w:t>
      </w:r>
      <w:r w:rsidRPr="009353CA">
        <w:rPr>
          <w:rtl/>
        </w:rPr>
        <w:t xml:space="preserve">, </w:t>
      </w:r>
      <w:r w:rsidRPr="009353CA">
        <w:rPr>
          <w:rFonts w:hint="eastAsia"/>
          <w:rtl/>
        </w:rPr>
        <w:t>די</w:t>
      </w:r>
      <w:r w:rsidRPr="009353CA">
        <w:rPr>
          <w:rtl/>
        </w:rPr>
        <w:t xml:space="preserve"> </w:t>
      </w:r>
      <w:r w:rsidRPr="009353CA">
        <w:rPr>
          <w:rFonts w:hint="eastAsia"/>
          <w:rtl/>
        </w:rPr>
        <w:t>בכך</w:t>
      </w:r>
      <w:r w:rsidRPr="009353CA">
        <w:rPr>
          <w:rtl/>
        </w:rPr>
        <w:t xml:space="preserve"> </w:t>
      </w:r>
      <w:r w:rsidRPr="009353CA">
        <w:rPr>
          <w:rFonts w:hint="eastAsia"/>
          <w:rtl/>
        </w:rPr>
        <w:t>שהבעל</w:t>
      </w:r>
      <w:r w:rsidRPr="009353CA">
        <w:rPr>
          <w:rtl/>
        </w:rPr>
        <w:t xml:space="preserve"> </w:t>
      </w:r>
      <w:r w:rsidRPr="009353CA">
        <w:rPr>
          <w:rFonts w:hint="eastAsia"/>
          <w:rtl/>
        </w:rPr>
        <w:t>יעשה</w:t>
      </w:r>
      <w:r w:rsidRPr="009353CA">
        <w:rPr>
          <w:rtl/>
        </w:rPr>
        <w:t xml:space="preserve"> </w:t>
      </w:r>
      <w:r w:rsidRPr="009353CA">
        <w:rPr>
          <w:rFonts w:hint="eastAsia"/>
          <w:rtl/>
        </w:rPr>
        <w:t>ככל</w:t>
      </w:r>
      <w:r w:rsidRPr="009353CA">
        <w:rPr>
          <w:rtl/>
        </w:rPr>
        <w:t xml:space="preserve"> </w:t>
      </w:r>
      <w:r w:rsidRPr="009353CA">
        <w:rPr>
          <w:rFonts w:hint="eastAsia"/>
          <w:rtl/>
        </w:rPr>
        <w:t>יכולתו</w:t>
      </w:r>
      <w:r w:rsidRPr="009353CA">
        <w:rPr>
          <w:rtl/>
        </w:rPr>
        <w:t xml:space="preserve"> (</w:t>
      </w:r>
      <w:r w:rsidRPr="009353CA">
        <w:rPr>
          <w:rFonts w:hint="eastAsia"/>
          <w:rtl/>
        </w:rPr>
        <w:t>והיא</w:t>
      </w:r>
      <w:r w:rsidRPr="009353CA">
        <w:rPr>
          <w:rtl/>
        </w:rPr>
        <w:t xml:space="preserve"> </w:t>
      </w:r>
      <w:r w:rsidRPr="009353CA">
        <w:rPr>
          <w:rFonts w:hint="eastAsia"/>
          <w:rtl/>
        </w:rPr>
        <w:t>אינה</w:t>
      </w:r>
      <w:r w:rsidRPr="009353CA">
        <w:rPr>
          <w:rtl/>
        </w:rPr>
        <w:t xml:space="preserve"> </w:t>
      </w:r>
      <w:r w:rsidRPr="009353CA">
        <w:rPr>
          <w:rFonts w:hint="eastAsia"/>
          <w:rtl/>
        </w:rPr>
        <w:t>מועטה</w:t>
      </w:r>
      <w:r w:rsidRPr="009353CA">
        <w:rPr>
          <w:rtl/>
        </w:rPr>
        <w:t xml:space="preserve">) </w:t>
      </w:r>
      <w:r w:rsidRPr="009353CA">
        <w:rPr>
          <w:rFonts w:hint="eastAsia"/>
          <w:rtl/>
        </w:rPr>
        <w:t>כדי</w:t>
      </w:r>
      <w:r w:rsidRPr="009353CA">
        <w:rPr>
          <w:rtl/>
        </w:rPr>
        <w:t xml:space="preserve"> </w:t>
      </w:r>
      <w:r w:rsidRPr="009353CA">
        <w:rPr>
          <w:rFonts w:hint="eastAsia"/>
          <w:rtl/>
        </w:rPr>
        <w:t>לדחות</w:t>
      </w:r>
      <w:r w:rsidRPr="009353CA">
        <w:rPr>
          <w:rtl/>
        </w:rPr>
        <w:t xml:space="preserve"> </w:t>
      </w:r>
      <w:r w:rsidRPr="009353CA">
        <w:rPr>
          <w:rFonts w:hint="eastAsia"/>
          <w:rtl/>
        </w:rPr>
        <w:t>את</w:t>
      </w:r>
      <w:r w:rsidRPr="009353CA">
        <w:rPr>
          <w:rtl/>
        </w:rPr>
        <w:t xml:space="preserve"> </w:t>
      </w:r>
      <w:r w:rsidRPr="009353CA">
        <w:rPr>
          <w:rFonts w:hint="eastAsia"/>
          <w:rtl/>
        </w:rPr>
        <w:t>מתן</w:t>
      </w:r>
      <w:r w:rsidRPr="009353CA">
        <w:rPr>
          <w:rtl/>
        </w:rPr>
        <w:t xml:space="preserve"> </w:t>
      </w:r>
      <w:r w:rsidRPr="009353CA">
        <w:rPr>
          <w:rFonts w:hint="eastAsia"/>
          <w:rtl/>
        </w:rPr>
        <w:t>הגט</w:t>
      </w:r>
      <w:r w:rsidRPr="009353CA">
        <w:rPr>
          <w:rtl/>
        </w:rPr>
        <w:t xml:space="preserve">, </w:t>
      </w:r>
      <w:r w:rsidRPr="009353CA">
        <w:rPr>
          <w:rFonts w:hint="eastAsia"/>
          <w:rtl/>
        </w:rPr>
        <w:t>ולאישה</w:t>
      </w:r>
      <w:r w:rsidRPr="009353CA">
        <w:rPr>
          <w:rtl/>
        </w:rPr>
        <w:t xml:space="preserve"> </w:t>
      </w:r>
      <w:r w:rsidRPr="009353CA">
        <w:rPr>
          <w:rFonts w:hint="eastAsia"/>
          <w:rtl/>
        </w:rPr>
        <w:t>אין</w:t>
      </w:r>
      <w:r w:rsidRPr="009353CA">
        <w:rPr>
          <w:rtl/>
        </w:rPr>
        <w:t xml:space="preserve"> </w:t>
      </w:r>
      <w:r w:rsidRPr="009353CA">
        <w:rPr>
          <w:rFonts w:hint="eastAsia"/>
          <w:rtl/>
        </w:rPr>
        <w:t>כל</w:t>
      </w:r>
      <w:r w:rsidRPr="009353CA">
        <w:rPr>
          <w:rtl/>
        </w:rPr>
        <w:t xml:space="preserve"> </w:t>
      </w:r>
      <w:r w:rsidRPr="009353CA">
        <w:rPr>
          <w:rFonts w:hint="eastAsia"/>
          <w:rtl/>
        </w:rPr>
        <w:t>אותה</w:t>
      </w:r>
      <w:r w:rsidRPr="009353CA">
        <w:rPr>
          <w:rtl/>
        </w:rPr>
        <w:t xml:space="preserve"> </w:t>
      </w:r>
      <w:r w:rsidRPr="009353CA">
        <w:rPr>
          <w:rFonts w:hint="eastAsia"/>
          <w:rtl/>
        </w:rPr>
        <w:t>עת</w:t>
      </w:r>
      <w:r w:rsidRPr="009353CA">
        <w:rPr>
          <w:rtl/>
        </w:rPr>
        <w:t xml:space="preserve">, </w:t>
      </w:r>
      <w:r w:rsidRPr="009353CA">
        <w:rPr>
          <w:rFonts w:hint="eastAsia"/>
          <w:rtl/>
        </w:rPr>
        <w:t>עד</w:t>
      </w:r>
      <w:r w:rsidRPr="009353CA">
        <w:rPr>
          <w:rtl/>
        </w:rPr>
        <w:t xml:space="preserve"> </w:t>
      </w:r>
      <w:r w:rsidRPr="009353CA">
        <w:rPr>
          <w:rFonts w:hint="eastAsia"/>
          <w:rtl/>
        </w:rPr>
        <w:t>למתן</w:t>
      </w:r>
      <w:r w:rsidRPr="009353CA">
        <w:rPr>
          <w:rtl/>
        </w:rPr>
        <w:t xml:space="preserve"> </w:t>
      </w:r>
      <w:r w:rsidRPr="009353CA">
        <w:rPr>
          <w:rFonts w:hint="eastAsia"/>
          <w:rtl/>
        </w:rPr>
        <w:t>הגט</w:t>
      </w:r>
      <w:r w:rsidRPr="009353CA">
        <w:rPr>
          <w:rtl/>
        </w:rPr>
        <w:t xml:space="preserve">, </w:t>
      </w:r>
      <w:r w:rsidRPr="009353CA">
        <w:rPr>
          <w:rFonts w:hint="eastAsia"/>
          <w:rtl/>
        </w:rPr>
        <w:t>כל</w:t>
      </w:r>
      <w:r w:rsidRPr="009353CA">
        <w:rPr>
          <w:rtl/>
        </w:rPr>
        <w:t xml:space="preserve"> </w:t>
      </w:r>
      <w:r w:rsidRPr="009353CA">
        <w:rPr>
          <w:rFonts w:hint="eastAsia"/>
          <w:rtl/>
        </w:rPr>
        <w:t>חלק</w:t>
      </w:r>
      <w:r w:rsidRPr="009353CA">
        <w:rPr>
          <w:rtl/>
        </w:rPr>
        <w:t xml:space="preserve"> </w:t>
      </w:r>
      <w:r w:rsidRPr="009353CA">
        <w:rPr>
          <w:rFonts w:hint="eastAsia"/>
          <w:rtl/>
        </w:rPr>
        <w:t>ברכוש</w:t>
      </w:r>
      <w:r w:rsidRPr="009353CA">
        <w:rPr>
          <w:rtl/>
        </w:rPr>
        <w:t xml:space="preserve"> </w:t>
      </w:r>
      <w:r w:rsidRPr="009353CA">
        <w:rPr>
          <w:rFonts w:hint="eastAsia"/>
          <w:rtl/>
        </w:rPr>
        <w:t>שנצבר</w:t>
      </w:r>
      <w:r w:rsidRPr="009353CA">
        <w:rPr>
          <w:rtl/>
        </w:rPr>
        <w:t xml:space="preserve"> </w:t>
      </w:r>
      <w:r w:rsidRPr="009353CA">
        <w:rPr>
          <w:rFonts w:hint="eastAsia"/>
          <w:rtl/>
        </w:rPr>
        <w:t>בזמן</w:t>
      </w:r>
      <w:r w:rsidRPr="009353CA">
        <w:rPr>
          <w:rtl/>
        </w:rPr>
        <w:t xml:space="preserve"> </w:t>
      </w:r>
      <w:r w:rsidRPr="009353CA">
        <w:rPr>
          <w:rFonts w:hint="eastAsia"/>
          <w:rtl/>
        </w:rPr>
        <w:t>שניהלה</w:t>
      </w:r>
      <w:r w:rsidRPr="009353CA">
        <w:rPr>
          <w:rtl/>
        </w:rPr>
        <w:t xml:space="preserve"> </w:t>
      </w:r>
      <w:r w:rsidRPr="009353CA">
        <w:rPr>
          <w:rFonts w:hint="eastAsia"/>
          <w:rtl/>
        </w:rPr>
        <w:t>את</w:t>
      </w:r>
      <w:r w:rsidRPr="009353CA">
        <w:rPr>
          <w:rtl/>
        </w:rPr>
        <w:t xml:space="preserve"> </w:t>
      </w:r>
      <w:r w:rsidRPr="009353CA">
        <w:rPr>
          <w:rFonts w:hint="eastAsia"/>
          <w:rtl/>
        </w:rPr>
        <w:t>משק</w:t>
      </w:r>
      <w:r w:rsidRPr="009353CA">
        <w:rPr>
          <w:rtl/>
        </w:rPr>
        <w:t xml:space="preserve"> </w:t>
      </w:r>
      <w:r w:rsidRPr="009353CA">
        <w:rPr>
          <w:rFonts w:hint="eastAsia"/>
          <w:rtl/>
        </w:rPr>
        <w:t>הבית</w:t>
      </w:r>
      <w:r w:rsidRPr="009353CA">
        <w:rPr>
          <w:rtl/>
        </w:rPr>
        <w:t xml:space="preserve"> </w:t>
      </w:r>
      <w:r w:rsidRPr="009353CA">
        <w:rPr>
          <w:rFonts w:hint="eastAsia"/>
          <w:rtl/>
        </w:rPr>
        <w:t>וגידלה</w:t>
      </w:r>
      <w:r w:rsidRPr="009353CA">
        <w:rPr>
          <w:rtl/>
        </w:rPr>
        <w:t xml:space="preserve"> </w:t>
      </w:r>
      <w:r w:rsidRPr="009353CA">
        <w:rPr>
          <w:rFonts w:hint="eastAsia"/>
          <w:rtl/>
        </w:rPr>
        <w:t>את</w:t>
      </w:r>
      <w:r w:rsidRPr="009353CA">
        <w:rPr>
          <w:rtl/>
        </w:rPr>
        <w:t xml:space="preserve"> </w:t>
      </w:r>
      <w:r w:rsidRPr="009353CA">
        <w:rPr>
          <w:rFonts w:hint="eastAsia"/>
          <w:rtl/>
        </w:rPr>
        <w:t>ילדיה</w:t>
      </w:r>
      <w:r w:rsidRPr="009353CA">
        <w:rPr>
          <w:rtl/>
        </w:rPr>
        <w:t xml:space="preserve">. </w:t>
      </w:r>
      <w:r w:rsidRPr="009353CA">
        <w:rPr>
          <w:rFonts w:hint="eastAsia"/>
          <w:rtl/>
        </w:rPr>
        <w:t>בנסיבות</w:t>
      </w:r>
      <w:r w:rsidRPr="009353CA">
        <w:rPr>
          <w:rtl/>
        </w:rPr>
        <w:t xml:space="preserve"> </w:t>
      </w:r>
      <w:r w:rsidRPr="009353CA">
        <w:rPr>
          <w:rFonts w:hint="eastAsia"/>
          <w:rtl/>
        </w:rPr>
        <w:t>אלה</w:t>
      </w:r>
      <w:r w:rsidRPr="009353CA">
        <w:rPr>
          <w:rtl/>
        </w:rPr>
        <w:t xml:space="preserve"> </w:t>
      </w:r>
      <w:r w:rsidRPr="009353CA">
        <w:rPr>
          <w:rFonts w:hint="eastAsia"/>
          <w:rtl/>
        </w:rPr>
        <w:t>היא</w:t>
      </w:r>
      <w:r w:rsidRPr="009353CA">
        <w:rPr>
          <w:rtl/>
        </w:rPr>
        <w:t xml:space="preserve"> </w:t>
      </w:r>
      <w:r w:rsidRPr="009353CA">
        <w:rPr>
          <w:rFonts w:hint="eastAsia"/>
          <w:rtl/>
        </w:rPr>
        <w:t>נאלצת</w:t>
      </w:r>
      <w:r w:rsidRPr="009353CA">
        <w:rPr>
          <w:rtl/>
        </w:rPr>
        <w:t xml:space="preserve"> </w:t>
      </w:r>
      <w:r w:rsidRPr="009353CA">
        <w:rPr>
          <w:rFonts w:hint="eastAsia"/>
          <w:rtl/>
        </w:rPr>
        <w:t>לעתים</w:t>
      </w:r>
      <w:r w:rsidRPr="009353CA">
        <w:rPr>
          <w:rtl/>
        </w:rPr>
        <w:t xml:space="preserve"> </w:t>
      </w:r>
      <w:r w:rsidRPr="009353CA">
        <w:rPr>
          <w:rFonts w:hint="eastAsia"/>
          <w:rtl/>
        </w:rPr>
        <w:t>לא</w:t>
      </w:r>
      <w:r w:rsidRPr="009353CA">
        <w:rPr>
          <w:rtl/>
        </w:rPr>
        <w:t xml:space="preserve"> </w:t>
      </w:r>
      <w:r w:rsidRPr="009353CA">
        <w:rPr>
          <w:rFonts w:hint="eastAsia"/>
          <w:rtl/>
        </w:rPr>
        <w:t>מעטות</w:t>
      </w:r>
      <w:r w:rsidRPr="009353CA">
        <w:rPr>
          <w:rtl/>
        </w:rPr>
        <w:t xml:space="preserve"> </w:t>
      </w:r>
      <w:r w:rsidRPr="009353CA">
        <w:rPr>
          <w:rFonts w:hint="eastAsia"/>
          <w:rtl/>
        </w:rPr>
        <w:t>להתפשר</w:t>
      </w:r>
      <w:r w:rsidRPr="009353CA">
        <w:rPr>
          <w:rtl/>
        </w:rPr>
        <w:t xml:space="preserve"> </w:t>
      </w:r>
      <w:r w:rsidRPr="009353CA">
        <w:rPr>
          <w:rFonts w:hint="eastAsia"/>
          <w:rtl/>
        </w:rPr>
        <w:t>ולוותר</w:t>
      </w:r>
      <w:r w:rsidRPr="009353CA">
        <w:rPr>
          <w:rtl/>
        </w:rPr>
        <w:t xml:space="preserve"> </w:t>
      </w:r>
      <w:r w:rsidRPr="009353CA">
        <w:rPr>
          <w:rFonts w:hint="eastAsia"/>
          <w:rtl/>
        </w:rPr>
        <w:t>על</w:t>
      </w:r>
      <w:r w:rsidRPr="009353CA">
        <w:rPr>
          <w:rtl/>
        </w:rPr>
        <w:t xml:space="preserve"> </w:t>
      </w:r>
      <w:r w:rsidRPr="009353CA">
        <w:rPr>
          <w:rFonts w:hint="eastAsia"/>
          <w:rtl/>
        </w:rPr>
        <w:t>חלק</w:t>
      </w:r>
      <w:r w:rsidRPr="009353CA">
        <w:rPr>
          <w:rtl/>
        </w:rPr>
        <w:t xml:space="preserve"> </w:t>
      </w:r>
      <w:r w:rsidRPr="009353CA">
        <w:rPr>
          <w:rFonts w:hint="eastAsia"/>
          <w:rtl/>
        </w:rPr>
        <w:t>מן</w:t>
      </w:r>
      <w:r w:rsidRPr="009353CA">
        <w:rPr>
          <w:rtl/>
        </w:rPr>
        <w:t xml:space="preserve"> </w:t>
      </w:r>
      <w:r w:rsidRPr="009353CA">
        <w:rPr>
          <w:rFonts w:hint="eastAsia"/>
          <w:rtl/>
        </w:rPr>
        <w:t>הרכוש</w:t>
      </w:r>
      <w:r w:rsidRPr="009353CA">
        <w:rPr>
          <w:rtl/>
        </w:rPr>
        <w:t xml:space="preserve"> </w:t>
      </w:r>
      <w:r w:rsidRPr="009353CA">
        <w:rPr>
          <w:rFonts w:hint="eastAsia"/>
          <w:rtl/>
        </w:rPr>
        <w:t>המגיע</w:t>
      </w:r>
      <w:r w:rsidRPr="009353CA">
        <w:rPr>
          <w:rtl/>
        </w:rPr>
        <w:t xml:space="preserve"> </w:t>
      </w:r>
      <w:r w:rsidRPr="009353CA">
        <w:rPr>
          <w:rFonts w:hint="eastAsia"/>
          <w:rtl/>
        </w:rPr>
        <w:t>לה</w:t>
      </w:r>
      <w:r w:rsidRPr="009353CA">
        <w:rPr>
          <w:rtl/>
        </w:rPr>
        <w:t xml:space="preserve"> </w:t>
      </w:r>
      <w:r w:rsidRPr="009353CA">
        <w:rPr>
          <w:rFonts w:hint="eastAsia"/>
          <w:rtl/>
        </w:rPr>
        <w:t>כדין</w:t>
      </w:r>
      <w:r w:rsidRPr="009353CA">
        <w:rPr>
          <w:rtl/>
        </w:rPr>
        <w:t xml:space="preserve">, </w:t>
      </w:r>
      <w:r w:rsidRPr="009353CA">
        <w:rPr>
          <w:rFonts w:hint="eastAsia"/>
          <w:rtl/>
        </w:rPr>
        <w:t>כדי</w:t>
      </w:r>
      <w:r w:rsidRPr="009353CA">
        <w:rPr>
          <w:rtl/>
        </w:rPr>
        <w:t xml:space="preserve"> </w:t>
      </w:r>
      <w:r w:rsidRPr="009353CA">
        <w:rPr>
          <w:rFonts w:hint="eastAsia"/>
          <w:rtl/>
        </w:rPr>
        <w:t>לקבל</w:t>
      </w:r>
      <w:r w:rsidRPr="009353CA">
        <w:rPr>
          <w:rtl/>
        </w:rPr>
        <w:t xml:space="preserve"> </w:t>
      </w:r>
      <w:r w:rsidRPr="009353CA">
        <w:rPr>
          <w:rFonts w:hint="eastAsia"/>
          <w:rtl/>
        </w:rPr>
        <w:t>את</w:t>
      </w:r>
      <w:r w:rsidRPr="009353CA">
        <w:rPr>
          <w:rtl/>
        </w:rPr>
        <w:t xml:space="preserve"> </w:t>
      </w:r>
      <w:r w:rsidRPr="009353CA">
        <w:rPr>
          <w:rFonts w:hint="eastAsia"/>
          <w:rtl/>
        </w:rPr>
        <w:t>הגט</w:t>
      </w:r>
      <w:r w:rsidRPr="009353CA">
        <w:rPr>
          <w:rtl/>
        </w:rPr>
        <w:t xml:space="preserve">. </w:t>
      </w:r>
      <w:r w:rsidRPr="009353CA">
        <w:rPr>
          <w:rFonts w:hint="eastAsia"/>
          <w:rtl/>
        </w:rPr>
        <w:t>לשון</w:t>
      </w:r>
      <w:r w:rsidRPr="009353CA">
        <w:rPr>
          <w:rtl/>
        </w:rPr>
        <w:t xml:space="preserve"> </w:t>
      </w:r>
      <w:r w:rsidRPr="009353CA">
        <w:rPr>
          <w:rFonts w:hint="eastAsia"/>
          <w:rtl/>
        </w:rPr>
        <w:t>אחר</w:t>
      </w:r>
      <w:r w:rsidRPr="009353CA">
        <w:rPr>
          <w:rtl/>
        </w:rPr>
        <w:t xml:space="preserve">, </w:t>
      </w:r>
      <w:r w:rsidRPr="009353CA">
        <w:rPr>
          <w:rFonts w:hint="eastAsia"/>
          <w:rtl/>
        </w:rPr>
        <w:t>הסדר</w:t>
      </w:r>
      <w:r w:rsidRPr="009353CA">
        <w:rPr>
          <w:rtl/>
        </w:rPr>
        <w:t xml:space="preserve"> </w:t>
      </w:r>
      <w:r w:rsidRPr="009353CA">
        <w:rPr>
          <w:rFonts w:hint="eastAsia"/>
          <w:rtl/>
        </w:rPr>
        <w:t>האיזון</w:t>
      </w:r>
      <w:r w:rsidRPr="009353CA">
        <w:rPr>
          <w:rtl/>
        </w:rPr>
        <w:t xml:space="preserve"> </w:t>
      </w:r>
      <w:r w:rsidRPr="009353CA">
        <w:rPr>
          <w:rFonts w:hint="eastAsia"/>
          <w:rtl/>
        </w:rPr>
        <w:t>המותנה</w:t>
      </w:r>
      <w:r w:rsidRPr="009353CA">
        <w:rPr>
          <w:rtl/>
        </w:rPr>
        <w:t xml:space="preserve"> </w:t>
      </w:r>
      <w:r w:rsidRPr="009353CA">
        <w:rPr>
          <w:rFonts w:hint="eastAsia"/>
          <w:rtl/>
        </w:rPr>
        <w:t>בבחינת</w:t>
      </w:r>
      <w:r w:rsidRPr="009353CA">
        <w:rPr>
          <w:rtl/>
        </w:rPr>
        <w:t xml:space="preserve"> </w:t>
      </w:r>
      <w:r w:rsidRPr="009353CA">
        <w:rPr>
          <w:rFonts w:hint="eastAsia"/>
          <w:rtl/>
        </w:rPr>
        <w:t>מועדו</w:t>
      </w:r>
      <w:r w:rsidRPr="009353CA">
        <w:rPr>
          <w:rtl/>
        </w:rPr>
        <w:t xml:space="preserve"> </w:t>
      </w:r>
      <w:r w:rsidRPr="009353CA">
        <w:rPr>
          <w:rFonts w:hint="eastAsia"/>
          <w:rtl/>
        </w:rPr>
        <w:t>במועד</w:t>
      </w:r>
      <w:r w:rsidRPr="009353CA">
        <w:rPr>
          <w:rtl/>
        </w:rPr>
        <w:t xml:space="preserve"> </w:t>
      </w:r>
      <w:r w:rsidRPr="009353CA">
        <w:rPr>
          <w:rFonts w:hint="eastAsia"/>
          <w:rtl/>
        </w:rPr>
        <w:t>הגירושין</w:t>
      </w:r>
      <w:r w:rsidRPr="009353CA">
        <w:rPr>
          <w:rtl/>
        </w:rPr>
        <w:t xml:space="preserve"> </w:t>
      </w:r>
      <w:r w:rsidRPr="009353CA">
        <w:rPr>
          <w:rFonts w:hint="eastAsia"/>
          <w:rtl/>
        </w:rPr>
        <w:t>הפך</w:t>
      </w:r>
      <w:r w:rsidRPr="009353CA">
        <w:rPr>
          <w:rtl/>
        </w:rPr>
        <w:t xml:space="preserve"> </w:t>
      </w:r>
      <w:r w:rsidRPr="009353CA">
        <w:rPr>
          <w:rFonts w:hint="eastAsia"/>
          <w:rtl/>
        </w:rPr>
        <w:t>לכלי</w:t>
      </w:r>
      <w:r w:rsidRPr="009353CA">
        <w:rPr>
          <w:rtl/>
        </w:rPr>
        <w:t xml:space="preserve"> </w:t>
      </w:r>
      <w:r w:rsidRPr="009353CA">
        <w:rPr>
          <w:rFonts w:hint="eastAsia"/>
          <w:rtl/>
        </w:rPr>
        <w:t>של</w:t>
      </w:r>
      <w:r w:rsidRPr="009353CA">
        <w:rPr>
          <w:rtl/>
        </w:rPr>
        <w:t xml:space="preserve"> </w:t>
      </w:r>
      <w:r w:rsidRPr="009353CA">
        <w:rPr>
          <w:rFonts w:hint="eastAsia"/>
          <w:rtl/>
        </w:rPr>
        <w:t>לחץ</w:t>
      </w:r>
      <w:r w:rsidRPr="009353CA">
        <w:rPr>
          <w:rtl/>
        </w:rPr>
        <w:t xml:space="preserve"> </w:t>
      </w:r>
      <w:r w:rsidRPr="009353CA">
        <w:rPr>
          <w:rFonts w:hint="eastAsia"/>
          <w:rtl/>
        </w:rPr>
        <w:t>וכפייה</w:t>
      </w:r>
      <w:r w:rsidRPr="009353CA">
        <w:rPr>
          <w:rtl/>
        </w:rPr>
        <w:t xml:space="preserve"> </w:t>
      </w:r>
      <w:r w:rsidRPr="009353CA">
        <w:rPr>
          <w:rFonts w:hint="eastAsia"/>
          <w:rtl/>
        </w:rPr>
        <w:t>על</w:t>
      </w:r>
      <w:r w:rsidRPr="009353CA">
        <w:rPr>
          <w:rtl/>
        </w:rPr>
        <w:t xml:space="preserve"> </w:t>
      </w:r>
      <w:r w:rsidRPr="009353CA">
        <w:rPr>
          <w:rFonts w:hint="eastAsia"/>
          <w:rtl/>
        </w:rPr>
        <w:t>האישה</w:t>
      </w:r>
      <w:r w:rsidRPr="009353CA">
        <w:rPr>
          <w:rtl/>
        </w:rPr>
        <w:t>.</w:t>
      </w:r>
      <w:r w:rsidRPr="009353CA">
        <w:rPr>
          <w:rFonts w:hint="cs"/>
          <w:rtl/>
        </w:rPr>
        <w:t xml:space="preserve">" (ראו: עניין </w:t>
      </w:r>
      <w:r w:rsidRPr="009353CA">
        <w:rPr>
          <w:rFonts w:ascii="Century" w:hAnsi="Century" w:cs="Miriam" w:hint="cs"/>
          <w:b/>
          <w:spacing w:val="0"/>
          <w:szCs w:val="24"/>
          <w:rtl/>
        </w:rPr>
        <w:t>יעקובי</w:t>
      </w:r>
      <w:r w:rsidRPr="009353CA">
        <w:rPr>
          <w:rFonts w:hint="cs"/>
          <w:rtl/>
        </w:rPr>
        <w:t>, בעמ' 551).</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דברים אלה הם נכונים וחשובים לעילא ולעילא, כמו גם התיקון שנעשה באותו פסק דין למצב המשפטי אשר יצר את התמריץ </w:t>
      </w:r>
      <w:proofErr w:type="spellStart"/>
      <w:r w:rsidRPr="009353CA">
        <w:rPr>
          <w:rFonts w:hint="cs"/>
          <w:rtl/>
        </w:rPr>
        <w:t>התכסיסני</w:t>
      </w:r>
      <w:proofErr w:type="spellEnd"/>
      <w:r w:rsidRPr="009353CA">
        <w:rPr>
          <w:rFonts w:hint="cs"/>
          <w:rtl/>
        </w:rPr>
        <w:t xml:space="preserve"> שעלול היה לעוות את חלוקתם השוויונית של נכסי הנישואין. החלתה של חזקת השיתוף לצדו של איזון המשאבים לפי חוק יחסי ממון ביטלה, למעשה, את אפשרותו של בן הזוג התכסיסן, המחזיק ברוב נכסי הנישואין, לדחות את חלוקתם השוויונית על ידי סירוב להתגרש ועל ידי כך להפעיל לחץ כלכלי פסול על בת זוגו על מנת לנשלה מחלק מזכויותיה בנכסים.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לאור קביעה זו בהלכת </w:t>
      </w:r>
      <w:r w:rsidRPr="009353CA">
        <w:rPr>
          <w:rFonts w:ascii="Century" w:hAnsi="Century" w:cs="Miriam" w:hint="cs"/>
          <w:b/>
          <w:spacing w:val="0"/>
          <w:sz w:val="22"/>
          <w:szCs w:val="24"/>
          <w:rtl/>
        </w:rPr>
        <w:t>יעקובי</w:t>
      </w:r>
      <w:r w:rsidRPr="009353CA">
        <w:rPr>
          <w:rFonts w:hint="cs"/>
          <w:rtl/>
        </w:rPr>
        <w:t xml:space="preserve">, ואף בלעדיה, חובה עלינו להעמיד את דוקטרינת השיתוף הספציפי </w:t>
      </w:r>
      <w:r w:rsidRPr="009353CA">
        <w:rPr>
          <w:rtl/>
        </w:rPr>
        <w:t>–</w:t>
      </w:r>
      <w:r w:rsidRPr="009353CA">
        <w:rPr>
          <w:rFonts w:hint="cs"/>
          <w:rtl/>
        </w:rPr>
        <w:t xml:space="preserve"> כפי שנקבעה בהלכת </w:t>
      </w:r>
      <w:r w:rsidRPr="009353CA">
        <w:rPr>
          <w:rFonts w:ascii="Century" w:hAnsi="Century" w:cs="Miriam" w:hint="cs"/>
          <w:b/>
          <w:spacing w:val="0"/>
          <w:sz w:val="22"/>
          <w:szCs w:val="24"/>
          <w:rtl/>
        </w:rPr>
        <w:t>אבו רומי</w:t>
      </w:r>
      <w:r w:rsidRPr="009353CA">
        <w:rPr>
          <w:rFonts w:hint="cs"/>
          <w:rtl/>
        </w:rPr>
        <w:t xml:space="preserve"> ובפסקי הדין שבאו אחריה </w:t>
      </w:r>
      <w:r w:rsidRPr="009353CA">
        <w:rPr>
          <w:rtl/>
        </w:rPr>
        <w:t>–</w:t>
      </w:r>
      <w:r w:rsidRPr="009353CA">
        <w:rPr>
          <w:rFonts w:hint="cs"/>
          <w:rtl/>
        </w:rPr>
        <w:t xml:space="preserve"> בבדיקת תמריצים דומה. כפי שאראה מיד, בדיקה זו מראה באופן חד-משמעי שדוקטרינת השיתוף </w:t>
      </w:r>
      <w:r w:rsidRPr="009353CA">
        <w:rPr>
          <w:rFonts w:hint="cs"/>
          <w:rtl/>
        </w:rPr>
        <w:lastRenderedPageBreak/>
        <w:t xml:space="preserve">הספציפי יוצרת שני תמריצים מעוותים להתנהלות קלוקלת, ואף תכסיסנית ובלתי ישרה, בחיים הזוגיים.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תמריצים מעוותים כאמור נוצרים במקרים הבאים:</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tl/>
        </w:rPr>
        <w:tab/>
      </w:r>
      <w:r w:rsidRPr="009353CA">
        <w:rPr>
          <w:rtl/>
        </w:rPr>
        <w:tab/>
      </w:r>
      <w:r w:rsidRPr="009353CA">
        <w:rPr>
          <w:rFonts w:ascii="Century" w:hAnsi="Century" w:cs="Miriam" w:hint="cs"/>
          <w:b/>
          <w:spacing w:val="0"/>
          <w:szCs w:val="24"/>
          <w:rtl/>
        </w:rPr>
        <w:t>קיום מעוּשה של קשר זוגי שאיננו</w:t>
      </w:r>
    </w:p>
    <w:p w:rsidR="00917458" w:rsidRPr="009353CA" w:rsidRDefault="00917458" w:rsidP="00917458">
      <w:pPr>
        <w:pStyle w:val="Ruller41"/>
        <w:rPr>
          <w:rtl/>
        </w:rPr>
      </w:pPr>
    </w:p>
    <w:p w:rsidR="00917458" w:rsidRPr="009353CA" w:rsidRDefault="00917458" w:rsidP="00917458">
      <w:pPr>
        <w:pStyle w:val="Ruller41"/>
        <w:numPr>
          <w:ilvl w:val="0"/>
          <w:numId w:val="23"/>
        </w:numPr>
      </w:pPr>
      <w:r w:rsidRPr="009353CA">
        <w:rPr>
          <w:rFonts w:hint="cs"/>
          <w:rtl/>
        </w:rPr>
        <w:t>יואב, הנשוי לדינה כ-15 שנה, איננו מאושר באופן עמוק מחייהם הזוגיים וחפץ להיפרד מדינה. לדינה רכוש אישי רב ערך הרשום על שמה בלבד. במצב דברים זה, ליואב יש תמריץ ברור "לרַצות" את כל תקופת הנישואין והחיים המשותפים אשר נדרשת להפעלתה של דוקטרינת השיתוף הספציפי על ידי התנהלות בלתי ישרה בחייו הזוגיים עם דינה, אשר כוללת העמדת פנים, ואף שקרים, שמטרתם לשמור על מראית פני התקינות.</w:t>
      </w:r>
    </w:p>
    <w:p w:rsidR="00917458" w:rsidRPr="009353CA" w:rsidRDefault="00917458" w:rsidP="00917458">
      <w:pPr>
        <w:pStyle w:val="Ruller41"/>
        <w:ind w:left="1521"/>
        <w:rPr>
          <w:rFonts w:ascii="Century" w:hAnsi="Century" w:cs="Miriam"/>
          <w:b/>
          <w:spacing w:val="0"/>
          <w:szCs w:val="24"/>
          <w:rtl/>
        </w:rPr>
      </w:pPr>
    </w:p>
    <w:p w:rsidR="00917458" w:rsidRPr="009353CA" w:rsidRDefault="00917458" w:rsidP="00917458">
      <w:pPr>
        <w:pStyle w:val="Ruller41"/>
        <w:ind w:left="1521"/>
        <w:rPr>
          <w:rFonts w:ascii="Century" w:hAnsi="Century" w:cs="Miriam"/>
          <w:b/>
          <w:spacing w:val="0"/>
          <w:szCs w:val="24"/>
          <w:rtl/>
        </w:rPr>
      </w:pPr>
      <w:r w:rsidRPr="009353CA">
        <w:rPr>
          <w:rFonts w:ascii="Century" w:hAnsi="Century" w:cs="Miriam" w:hint="cs"/>
          <w:b/>
          <w:spacing w:val="0"/>
          <w:szCs w:val="24"/>
          <w:rtl/>
        </w:rPr>
        <w:t>פירוד והתרה מוקדמת של הקשר הזוגי ללא ניסיון תיקון</w:t>
      </w:r>
    </w:p>
    <w:p w:rsidR="00917458" w:rsidRPr="009353CA" w:rsidRDefault="00917458" w:rsidP="00917458">
      <w:pPr>
        <w:pStyle w:val="Ruller41"/>
        <w:ind w:left="1521"/>
        <w:rPr>
          <w:rFonts w:ascii="Century" w:hAnsi="Century" w:cs="Miriam"/>
          <w:b/>
          <w:spacing w:val="0"/>
          <w:szCs w:val="24"/>
          <w:rtl/>
        </w:rPr>
      </w:pPr>
    </w:p>
    <w:p w:rsidR="00917458" w:rsidRPr="009353CA" w:rsidRDefault="00917458" w:rsidP="00917458">
      <w:pPr>
        <w:pStyle w:val="Ruller41"/>
        <w:numPr>
          <w:ilvl w:val="0"/>
          <w:numId w:val="23"/>
        </w:numPr>
      </w:pPr>
      <w:r w:rsidRPr="009353CA">
        <w:rPr>
          <w:rFonts w:hint="cs"/>
          <w:rtl/>
        </w:rPr>
        <w:t xml:space="preserve">ספיר, הנשואה לדֹב כ-15 שנה, איננה מאושרת מהחיים הזוגיים עמו ושוקלת פרידה וגירושין לצד הניסיון לשקם חיים אלה. לספיר רכוש אישי רב ערך הרשום על שמה בלבד. במצב דברים זה, לספיר יש תמריץ ברור לסיים את הקשר הזוגי ואת הנישואין ולהיפרד מדֹב מוקדם ככל שניתן, לפני שהלה יצליח "לרַצות" את </w:t>
      </w:r>
      <w:r w:rsidRPr="009353CA">
        <w:rPr>
          <w:rFonts w:hint="eastAsia"/>
          <w:rtl/>
        </w:rPr>
        <w:t>תקופת</w:t>
      </w:r>
      <w:r w:rsidRPr="009353CA">
        <w:rPr>
          <w:rtl/>
        </w:rPr>
        <w:t xml:space="preserve"> </w:t>
      </w:r>
      <w:r w:rsidRPr="009353CA">
        <w:rPr>
          <w:rFonts w:hint="eastAsia"/>
          <w:rtl/>
        </w:rPr>
        <w:t>הנישואין</w:t>
      </w:r>
      <w:r w:rsidRPr="009353CA">
        <w:rPr>
          <w:rtl/>
        </w:rPr>
        <w:t xml:space="preserve"> </w:t>
      </w:r>
      <w:r w:rsidRPr="009353CA">
        <w:rPr>
          <w:rFonts w:hint="eastAsia"/>
          <w:rtl/>
        </w:rPr>
        <w:t>והחיים</w:t>
      </w:r>
      <w:r w:rsidRPr="009353CA">
        <w:rPr>
          <w:rtl/>
        </w:rPr>
        <w:t xml:space="preserve"> </w:t>
      </w:r>
      <w:r w:rsidRPr="009353CA">
        <w:rPr>
          <w:rFonts w:hint="eastAsia"/>
          <w:rtl/>
        </w:rPr>
        <w:t>המשותפים</w:t>
      </w:r>
      <w:r w:rsidRPr="009353CA">
        <w:rPr>
          <w:rtl/>
        </w:rPr>
        <w:t xml:space="preserve"> </w:t>
      </w:r>
      <w:r w:rsidRPr="009353CA">
        <w:rPr>
          <w:rFonts w:hint="eastAsia"/>
          <w:rtl/>
        </w:rPr>
        <w:t>אשר</w:t>
      </w:r>
      <w:r w:rsidRPr="009353CA">
        <w:rPr>
          <w:rtl/>
        </w:rPr>
        <w:t xml:space="preserve"> </w:t>
      </w:r>
      <w:r w:rsidRPr="009353CA">
        <w:rPr>
          <w:rFonts w:hint="eastAsia"/>
          <w:rtl/>
        </w:rPr>
        <w:t>נדרשת</w:t>
      </w:r>
      <w:r w:rsidRPr="009353CA">
        <w:rPr>
          <w:rtl/>
        </w:rPr>
        <w:t xml:space="preserve"> </w:t>
      </w:r>
      <w:r w:rsidRPr="009353CA">
        <w:rPr>
          <w:rFonts w:hint="eastAsia"/>
          <w:rtl/>
        </w:rPr>
        <w:t>להפעלתה</w:t>
      </w:r>
      <w:r w:rsidRPr="009353CA">
        <w:rPr>
          <w:rtl/>
        </w:rPr>
        <w:t xml:space="preserve"> </w:t>
      </w:r>
      <w:r w:rsidRPr="009353CA">
        <w:rPr>
          <w:rFonts w:hint="eastAsia"/>
          <w:rtl/>
        </w:rPr>
        <w:t>של</w:t>
      </w:r>
      <w:r w:rsidRPr="009353CA">
        <w:rPr>
          <w:rtl/>
        </w:rPr>
        <w:t xml:space="preserve"> </w:t>
      </w:r>
      <w:r w:rsidRPr="009353CA">
        <w:rPr>
          <w:rFonts w:hint="eastAsia"/>
          <w:rtl/>
        </w:rPr>
        <w:t>דוקטרינת</w:t>
      </w:r>
      <w:r w:rsidRPr="009353CA">
        <w:rPr>
          <w:rtl/>
        </w:rPr>
        <w:t xml:space="preserve"> </w:t>
      </w:r>
      <w:r w:rsidRPr="009353CA">
        <w:rPr>
          <w:rFonts w:hint="eastAsia"/>
          <w:rtl/>
        </w:rPr>
        <w:t>השיתוף</w:t>
      </w:r>
      <w:r w:rsidRPr="009353CA">
        <w:rPr>
          <w:rtl/>
        </w:rPr>
        <w:t xml:space="preserve"> </w:t>
      </w:r>
      <w:r w:rsidRPr="009353CA">
        <w:rPr>
          <w:rFonts w:hint="eastAsia"/>
          <w:rtl/>
        </w:rPr>
        <w:t>הספציפי</w:t>
      </w:r>
      <w:r w:rsidRPr="009353CA">
        <w:rPr>
          <w:rFonts w:hint="cs"/>
          <w:rtl/>
        </w:rPr>
        <w:t xml:space="preserve">. </w:t>
      </w:r>
    </w:p>
    <w:p w:rsidR="00917458" w:rsidRPr="009353CA" w:rsidRDefault="00917458" w:rsidP="00917458">
      <w:pPr>
        <w:pStyle w:val="Ruller41"/>
        <w:ind w:left="1521"/>
        <w:rPr>
          <w:rtl/>
        </w:rPr>
      </w:pPr>
      <w:r w:rsidRPr="009353CA">
        <w:rPr>
          <w:rFonts w:hint="cs"/>
          <w:rtl/>
        </w:rPr>
        <w:t xml:space="preserve"> </w:t>
      </w:r>
    </w:p>
    <w:p w:rsidR="00917458" w:rsidRPr="009353CA" w:rsidRDefault="00917458" w:rsidP="00917458">
      <w:pPr>
        <w:pStyle w:val="Ruller41"/>
        <w:rPr>
          <w:rtl/>
        </w:rPr>
      </w:pPr>
      <w:r w:rsidRPr="009353CA">
        <w:rPr>
          <w:rtl/>
        </w:rPr>
        <w:tab/>
      </w:r>
      <w:r w:rsidRPr="009353CA">
        <w:rPr>
          <w:rFonts w:hint="cs"/>
          <w:rtl/>
        </w:rPr>
        <w:t xml:space="preserve">תמריצים אלה נוצרים עקב רצונו של כל אחד מבני הזוג לייצר ראיות שתתמוכנה בהפעלתה של דוקטרינת השיתוף הספציפי לטובתו ונגד האינטרס </w:t>
      </w:r>
      <w:proofErr w:type="spellStart"/>
      <w:r w:rsidRPr="009353CA">
        <w:rPr>
          <w:rFonts w:hint="cs"/>
          <w:rtl/>
        </w:rPr>
        <w:t>הרכושי</w:t>
      </w:r>
      <w:proofErr w:type="spellEnd"/>
      <w:r w:rsidRPr="009353CA">
        <w:rPr>
          <w:rFonts w:hint="cs"/>
          <w:rtl/>
        </w:rPr>
        <w:t xml:space="preserve"> והאישי של בן הזוג השני (ראו והשוו: </w:t>
      </w:r>
      <w:r w:rsidRPr="009353CA">
        <w:rPr>
          <w:rFonts w:ascii="Times New Roman" w:hAnsi="Times New Roman" w:cs="Times New Roman"/>
          <w:sz w:val="24"/>
          <w:szCs w:val="24"/>
        </w:rPr>
        <w:t xml:space="preserve">Gideon </w:t>
      </w:r>
      <w:proofErr w:type="spellStart"/>
      <w:r w:rsidRPr="009353CA">
        <w:rPr>
          <w:rFonts w:ascii="Times New Roman" w:hAnsi="Times New Roman" w:cs="Times New Roman"/>
          <w:sz w:val="24"/>
          <w:szCs w:val="24"/>
        </w:rPr>
        <w:t>Parchomovsky</w:t>
      </w:r>
      <w:proofErr w:type="spellEnd"/>
      <w:r w:rsidRPr="009353CA">
        <w:rPr>
          <w:rFonts w:ascii="Times New Roman" w:hAnsi="Times New Roman" w:cs="Times New Roman"/>
          <w:sz w:val="24"/>
          <w:szCs w:val="24"/>
        </w:rPr>
        <w:t xml:space="preserve"> &amp; Alex Stein, </w:t>
      </w:r>
      <w:r w:rsidRPr="009353CA">
        <w:rPr>
          <w:rFonts w:ascii="Times New Roman" w:hAnsi="Times New Roman" w:cs="Times New Roman"/>
          <w:i/>
          <w:iCs/>
          <w:sz w:val="24"/>
          <w:szCs w:val="24"/>
        </w:rPr>
        <w:t>The Distortionary Effect of Evidence on Primary Behavior</w:t>
      </w:r>
      <w:r w:rsidRPr="009353CA">
        <w:rPr>
          <w:rFonts w:ascii="Times New Roman" w:hAnsi="Times New Roman" w:cs="Times New Roman"/>
          <w:sz w:val="24"/>
          <w:szCs w:val="24"/>
        </w:rPr>
        <w:t xml:space="preserve">, 124 </w:t>
      </w:r>
      <w:proofErr w:type="spellStart"/>
      <w:r w:rsidRPr="009353CA">
        <w:rPr>
          <w:rFonts w:ascii="Times New Roman" w:hAnsi="Times New Roman" w:cs="Times New Roman"/>
          <w:smallCaps/>
          <w:sz w:val="24"/>
          <w:szCs w:val="24"/>
        </w:rPr>
        <w:t>Harv</w:t>
      </w:r>
      <w:proofErr w:type="spellEnd"/>
      <w:r w:rsidRPr="009353CA">
        <w:rPr>
          <w:rFonts w:ascii="Times New Roman" w:hAnsi="Times New Roman" w:cs="Times New Roman"/>
          <w:smallCaps/>
          <w:sz w:val="24"/>
          <w:szCs w:val="24"/>
        </w:rPr>
        <w:t>. L. Rev.</w:t>
      </w:r>
      <w:r w:rsidRPr="009353CA">
        <w:rPr>
          <w:rFonts w:ascii="Times New Roman" w:hAnsi="Times New Roman" w:cs="Times New Roman"/>
          <w:sz w:val="24"/>
          <w:szCs w:val="24"/>
        </w:rPr>
        <w:t xml:space="preserve"> 518 (2010)</w:t>
      </w:r>
      <w:r w:rsidRPr="009353CA">
        <w:rPr>
          <w:rFonts w:hint="cs"/>
          <w:rtl/>
        </w:rPr>
        <w:t>).</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ברי הוא, כי מדובר בתמריצים מעוותים מיסודם אשר פוגעים בחיים </w:t>
      </w:r>
      <w:r>
        <w:rPr>
          <w:rFonts w:hint="cs"/>
          <w:rtl/>
        </w:rPr>
        <w:t>ה</w:t>
      </w:r>
      <w:r w:rsidRPr="009353CA">
        <w:rPr>
          <w:rFonts w:hint="cs"/>
          <w:rtl/>
        </w:rPr>
        <w:t xml:space="preserve">זוגיים ובכבודם האישי של האנשים שחווים משבר בקשר הזוגי. סבורני, אפוא, כי ככל שניתן לתקן את דוקטרינת השיתוף הספציפי באופן שיחסל את התמריצים המעוותים הללו, חובה עלינו לעשות כן; וכך אציע לחבריי לעשות.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העדר התאמה בין דוקטרינת השיתוף הספציפי לבין רצונם הטיפוסי והשכיח של בני הזוג הנישאים זה לזו במצב של חוסר שוויון רכושי</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t xml:space="preserve">כפי שכבר ציינתי, המקרה הטיפוסי והשכיח של חוסר שוויון רכושי בנישואין הוא רכישת דירה למגורי בני הזוג על ידי הוריו של אחד מהם ורישומה על שמו כבעל הזכויות הבלעדי. על פי רוב, מקרים כאלה אינם כוללים ציפייה משותפת של בני הזוג לכך שבקץ הנישואין, הזכויות בדירה תתחלקנה ביניהם שווה-בשווה כעניין המובן מאליו. במקרים כאלה, בן הזוג שהדירה רשומה על שמו חפץ, על פי רוב, לשמור על זכויותיו, תוך שהוא לוקח בחשבון כי ביום מן הימים, אחרי שנים רבות של חיים זוגיים משותפים ותקינים, הוא ירצה לשתף את בת זוגו בזכויות בדירה בתנאים כאלה או אחרים, או ללא כל תנאי. </w:t>
      </w:r>
      <w:proofErr w:type="spellStart"/>
      <w:r w:rsidRPr="009353CA">
        <w:rPr>
          <w:rFonts w:hint="cs"/>
          <w:rtl/>
        </w:rPr>
        <w:t>תוכניות</w:t>
      </w:r>
      <w:proofErr w:type="spellEnd"/>
      <w:r w:rsidRPr="009353CA">
        <w:rPr>
          <w:rFonts w:hint="cs"/>
          <w:rtl/>
        </w:rPr>
        <w:t xml:space="preserve"> דומות מתגבשות, במהלך הנישואין, גם ביחס לנכסים אחרים שבבעלותו הבלעדית של אחד מבני הזוג. </w:t>
      </w:r>
    </w:p>
    <w:p w:rsidR="00917458" w:rsidRPr="009353CA" w:rsidRDefault="00917458" w:rsidP="00917458">
      <w:pPr>
        <w:pStyle w:val="Ruller41"/>
      </w:pPr>
    </w:p>
    <w:p w:rsidR="00917458" w:rsidRDefault="00917458" w:rsidP="00917458">
      <w:pPr>
        <w:pStyle w:val="Ruller4"/>
        <w:rPr>
          <w:rtl/>
        </w:rPr>
      </w:pPr>
      <w:proofErr w:type="spellStart"/>
      <w:r w:rsidRPr="009353CA">
        <w:rPr>
          <w:rFonts w:hint="cs"/>
          <w:rtl/>
        </w:rPr>
        <w:t>תוכניות</w:t>
      </w:r>
      <w:proofErr w:type="spellEnd"/>
      <w:r w:rsidRPr="009353CA">
        <w:rPr>
          <w:rFonts w:hint="cs"/>
          <w:rtl/>
        </w:rPr>
        <w:t xml:space="preserve"> כאמור אינן כוללות, על פי רוב, את מעברו החד של בן הזוג מהיעדר מוחלט של זכויות בנכסי בן זוגו למחצית הזכויות בנכסים אלו. נראה כי רוב בני הזוג שבידיהם נכסים אישיים יעדיפו יצירה הדרגתית של שיתוף בן הזוג בנכסיהם על פני שיתוף מלא באבחה אחת, שמתרחש בחלוף שנים. זאת בשל היות המעבר מהיעדר שיתוף לשיתוף מלא ושווה-זכויות בלתי מאוזן ובלתי מידתי, וכן בשל התמריצים המעוותים להתנהלות תכסיסנית בתוך קשר הנישואין שכאמור נוצרים תחת המשטר של "אבחה אחת". יתרה מכך: ספק גדול בעיניי אם רוב בעלי הרכוש מסכימים לחלקו עם בני זוגם שווה בשווה בחלוף 20 או אפילו 25 שנות נישואין, להבדיל מתקופה ארוכה הרבה יותר. </w:t>
      </w:r>
    </w:p>
    <w:p w:rsidR="00917458" w:rsidRPr="003B0588"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פועלה של דוקטרינת השיתוף הספציפי כ"מלכודת קניין" עבור בני הזוג הנישאים והוריהם, שאינם מודעים לקיומה ולכלליה</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eastAsia"/>
          <w:rtl/>
        </w:rPr>
        <w:t>דוקטרינת השיתוף</w:t>
      </w:r>
      <w:r w:rsidRPr="009353CA">
        <w:rPr>
          <w:rtl/>
        </w:rPr>
        <w:t xml:space="preserve"> </w:t>
      </w:r>
      <w:r w:rsidRPr="009353CA">
        <w:rPr>
          <w:rFonts w:hint="eastAsia"/>
          <w:rtl/>
        </w:rPr>
        <w:t>הספציפי</w:t>
      </w:r>
      <w:r w:rsidRPr="009353CA">
        <w:rPr>
          <w:rtl/>
        </w:rPr>
        <w:t xml:space="preserve"> </w:t>
      </w:r>
      <w:r w:rsidRPr="009353CA">
        <w:rPr>
          <w:rFonts w:hint="cs"/>
          <w:rtl/>
        </w:rPr>
        <w:t xml:space="preserve">יוצרת </w:t>
      </w:r>
      <w:r w:rsidRPr="009353CA">
        <w:rPr>
          <w:rtl/>
        </w:rPr>
        <w:t>"</w:t>
      </w:r>
      <w:r w:rsidRPr="009353CA">
        <w:rPr>
          <w:rFonts w:hint="eastAsia"/>
          <w:rtl/>
        </w:rPr>
        <w:t>מלכודת</w:t>
      </w:r>
      <w:r w:rsidRPr="009353CA">
        <w:rPr>
          <w:rtl/>
        </w:rPr>
        <w:t xml:space="preserve"> </w:t>
      </w:r>
      <w:r w:rsidRPr="009353CA">
        <w:rPr>
          <w:rFonts w:hint="eastAsia"/>
          <w:rtl/>
        </w:rPr>
        <w:t>קניין</w:t>
      </w:r>
      <w:r w:rsidRPr="009353CA">
        <w:rPr>
          <w:rtl/>
        </w:rPr>
        <w:t xml:space="preserve">" </w:t>
      </w:r>
      <w:r w:rsidRPr="009353CA">
        <w:rPr>
          <w:rFonts w:hint="eastAsia"/>
          <w:rtl/>
        </w:rPr>
        <w:t>עבור</w:t>
      </w:r>
      <w:r w:rsidRPr="009353CA">
        <w:rPr>
          <w:rtl/>
        </w:rPr>
        <w:t xml:space="preserve"> </w:t>
      </w:r>
      <w:r w:rsidRPr="009353CA">
        <w:rPr>
          <w:rFonts w:hint="eastAsia"/>
          <w:rtl/>
        </w:rPr>
        <w:t>בני</w:t>
      </w:r>
      <w:r w:rsidRPr="009353CA">
        <w:rPr>
          <w:rtl/>
        </w:rPr>
        <w:t xml:space="preserve"> </w:t>
      </w:r>
      <w:r w:rsidRPr="009353CA">
        <w:rPr>
          <w:rFonts w:hint="eastAsia"/>
          <w:rtl/>
        </w:rPr>
        <w:t>הזוג</w:t>
      </w:r>
      <w:r w:rsidRPr="009353CA">
        <w:rPr>
          <w:rtl/>
        </w:rPr>
        <w:t xml:space="preserve"> </w:t>
      </w:r>
      <w:r w:rsidRPr="009353CA">
        <w:rPr>
          <w:rFonts w:hint="eastAsia"/>
          <w:rtl/>
        </w:rPr>
        <w:t>הנישאים</w:t>
      </w:r>
      <w:r w:rsidRPr="009353CA">
        <w:rPr>
          <w:rtl/>
        </w:rPr>
        <w:t xml:space="preserve"> </w:t>
      </w:r>
      <w:r w:rsidRPr="009353CA">
        <w:rPr>
          <w:rFonts w:hint="eastAsia"/>
          <w:rtl/>
        </w:rPr>
        <w:t>והוריהם</w:t>
      </w:r>
      <w:r w:rsidRPr="009353CA">
        <w:rPr>
          <w:rFonts w:hint="cs"/>
          <w:rtl/>
        </w:rPr>
        <w:t xml:space="preserve">, </w:t>
      </w:r>
      <w:r w:rsidRPr="009353CA">
        <w:rPr>
          <w:rFonts w:hint="eastAsia"/>
          <w:rtl/>
        </w:rPr>
        <w:t>שאינם</w:t>
      </w:r>
      <w:r w:rsidRPr="009353CA">
        <w:rPr>
          <w:rtl/>
        </w:rPr>
        <w:t xml:space="preserve"> </w:t>
      </w:r>
      <w:r w:rsidRPr="009353CA">
        <w:rPr>
          <w:rFonts w:hint="eastAsia"/>
          <w:rtl/>
        </w:rPr>
        <w:t>מודעים</w:t>
      </w:r>
      <w:r w:rsidRPr="009353CA">
        <w:rPr>
          <w:rtl/>
        </w:rPr>
        <w:t xml:space="preserve"> </w:t>
      </w:r>
      <w:r w:rsidRPr="009353CA">
        <w:rPr>
          <w:rFonts w:hint="eastAsia"/>
          <w:rtl/>
        </w:rPr>
        <w:t>ל</w:t>
      </w:r>
      <w:r w:rsidRPr="009353CA">
        <w:rPr>
          <w:rFonts w:hint="cs"/>
          <w:rtl/>
        </w:rPr>
        <w:t xml:space="preserve">כלליה. זאת, מאחר שהורים שרוכשים דירה לבנם או לבתם אינם מודעים, על פי רוב, לכך שמחצית הזכויות בדירה עשויה לעבור לבן הזוג של צאצאם בחלוף שנים.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לטעמי, מצב דברים זה הוא בלתי נסבל מאחר שהוא עלול לגרום לאנשים לא מעטים לאבד חלק מכספם ומרכושם בלי משים.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lastRenderedPageBreak/>
        <w:t>קשיים מעשיים ועלויות עסקה כבדות, במובנן הרחב, אשר נופלים על שכמו של כל אחד מבני הזוג הנישאים במצב של חוסר שוויון רכושי</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בני הזוג הנישאים במצב של אי-שוויון רכושי עומדים בפני דילמה לא פשוטה. לאחד מהם, או לשניהם כאחד, יכול שיהא רצון להסדיר את העניין </w:t>
      </w:r>
      <w:proofErr w:type="spellStart"/>
      <w:r w:rsidRPr="009353CA">
        <w:rPr>
          <w:rFonts w:hint="cs"/>
          <w:rtl/>
        </w:rPr>
        <w:t>הרכושי</w:t>
      </w:r>
      <w:proofErr w:type="spellEnd"/>
      <w:r w:rsidRPr="009353CA">
        <w:rPr>
          <w:rFonts w:hint="cs"/>
          <w:rtl/>
        </w:rPr>
        <w:t xml:space="preserve"> בהסכם ממון מפורט באופן שיגן על זכויותיו של בן הזוג בעל הרכוש כמידת הדרוש, תוך דאגה לאינטרסים של בן הזוג האחר. הוריו של בן הזוג שרוכשים עבורו דירה או בית, אף הם ירצו להבטיח את זכויותיו בנכס שבו הוא עתיד להתגורר ולהקים משפחה עם בת זוגו. </w:t>
      </w:r>
    </w:p>
    <w:p w:rsidR="00917458" w:rsidRPr="009353CA" w:rsidRDefault="00917458" w:rsidP="00917458">
      <w:pPr>
        <w:pStyle w:val="Ruller4"/>
        <w:numPr>
          <w:ilvl w:val="0"/>
          <w:numId w:val="0"/>
        </w:numPr>
      </w:pPr>
    </w:p>
    <w:p w:rsidR="00917458" w:rsidRPr="009353CA" w:rsidRDefault="00917458" w:rsidP="00917458">
      <w:pPr>
        <w:pStyle w:val="Ruller4"/>
        <w:rPr>
          <w:rtl/>
        </w:rPr>
      </w:pPr>
      <w:r w:rsidRPr="009353CA">
        <w:rPr>
          <w:rFonts w:hint="cs"/>
          <w:rtl/>
        </w:rPr>
        <w:t xml:space="preserve">את הרצון הזה קשה לממש הלכה למעשה </w:t>
      </w:r>
      <w:r w:rsidRPr="009353CA">
        <w:rPr>
          <w:rtl/>
        </w:rPr>
        <w:t>–</w:t>
      </w:r>
      <w:r w:rsidRPr="009353CA">
        <w:rPr>
          <w:rFonts w:hint="cs"/>
          <w:rtl/>
        </w:rPr>
        <w:t xml:space="preserve"> זאת מאחר שמשא ומתן עסקי שנסוב על רכוש איננו מתאים, על פי רוב, לאווירה של נישואין וקיבוע הקשר הזוגי שבמרכזו אהבה, נתינה, שמחת אמת, שיתוף ואמון הדדי. כל אחד מבני הזוג יהסס אפוא לפתוח במשא ומתן עסקי-רכושי עם בן זוגו בשל החשש </w:t>
      </w:r>
      <w:r w:rsidRPr="009353CA">
        <w:rPr>
          <w:rtl/>
        </w:rPr>
        <w:t>–</w:t>
      </w:r>
      <w:r w:rsidRPr="009353CA">
        <w:rPr>
          <w:rFonts w:hint="cs"/>
          <w:rtl/>
        </w:rPr>
        <w:t xml:space="preserve"> המוצדק לחלוטין </w:t>
      </w:r>
      <w:r w:rsidRPr="009353CA">
        <w:rPr>
          <w:rtl/>
        </w:rPr>
        <w:t>–</w:t>
      </w:r>
      <w:r w:rsidRPr="009353CA">
        <w:rPr>
          <w:rFonts w:hint="cs"/>
          <w:rtl/>
        </w:rPr>
        <w:t xml:space="preserve"> שמא הדבר יקלקל את שמחת הנישואין ואת האווירה של אהבה, נתינה, שיתוף ואמון הדדי, ויציגו באור שלילי בפני בן זוגו, שאף עלול לשאול את עצמו האם הוא בחר בבן</w:t>
      </w:r>
      <w:r>
        <w:rPr>
          <w:rFonts w:hint="cs"/>
          <w:rtl/>
        </w:rPr>
        <w:t xml:space="preserve"> </w:t>
      </w:r>
      <w:r w:rsidRPr="009353CA">
        <w:rPr>
          <w:rFonts w:hint="cs"/>
          <w:rtl/>
        </w:rPr>
        <w:t>זוג נכון לחיים המשותפים. להוריו של בן הזוג שרוכשים עבורו דירה או בית יהיו חששות דומים. גם הם יחששו מלפתוח במשא ומתן רכושי טעון, אשר עלול לקלקל את שמחת הנישואין כברית ארוכת שנים אשר נבנית על טוהר הרגשות ועל אלטרואיזם, ולא על אנוכיות ורכושנות.</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קשיים אלו מכונים על ידי כלכלנים בשם "עלויות עסקה", שבעניינן ראוי ללכת לפי העיקרון כדלקמן: ככל שעלויות </w:t>
      </w:r>
      <w:r>
        <w:rPr>
          <w:rFonts w:hint="cs"/>
          <w:rtl/>
        </w:rPr>
        <w:t>ה</w:t>
      </w:r>
      <w:r w:rsidRPr="009353CA">
        <w:rPr>
          <w:rFonts w:hint="cs"/>
          <w:rtl/>
        </w:rPr>
        <w:t xml:space="preserve">עסקה כבדות יותר, כך הולך ומתעצם הצורך החברתי בקביעתו של הסדר משפטי אשר תואם את ההסכמות שבני הזוג היו מגבשים ביניהם, על פי רוב, במסגרתו של משא ומתן רכושי-עסקי כן ופתוח, המשוחרר מחששות, מפחדים ומרגשות (ראו: ליפשיץ </w:t>
      </w:r>
      <w:r w:rsidRPr="009353CA">
        <w:rPr>
          <w:rFonts w:ascii="Century" w:hAnsi="Century" w:cs="Miriam" w:hint="cs"/>
          <w:b/>
          <w:spacing w:val="0"/>
          <w:sz w:val="22"/>
          <w:szCs w:val="24"/>
          <w:rtl/>
        </w:rPr>
        <w:t>השיתוף הזוגי</w:t>
      </w:r>
      <w:r w:rsidRPr="009353CA">
        <w:rPr>
          <w:rFonts w:hint="cs"/>
          <w:rtl/>
        </w:rPr>
        <w:t xml:space="preserve">, בעמ' 40). הווה אומר: מה שבני הזוג אינם יכולים לעשות בעצמם, ובעבור עצמם, מחמת עלויות עסקה כבדות מנשוא, המשפט צריך לעשות עבורם במקומם. ההסדר המשפטי שייקבע כך ישמש כברירת מחדל כללית שממנה ניתן לסטות באמצעות הסכם ממון.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דוקטרינת השיתוף הספציפי קובעת הסדר כזה. השיתוף הספציפי שהיא קובעת, גם הוא בגדר ברירת מחדל שבני הזוג יכולים לשנות על ידי הסכם ממון. ברם, כפי שכבר ציינתי, ברירת מחדל זו איננה משקפת את ההסכמות שבני הזוג היו מגבשים ביניהם, על פי רוב, במסגרתו של משא ומתן רכושי-עסקי כן ופתוח, המשוחרר מחששות, מפחדים </w:t>
      </w:r>
      <w:r w:rsidRPr="009353CA">
        <w:rPr>
          <w:rFonts w:hint="cs"/>
          <w:rtl/>
        </w:rPr>
        <w:lastRenderedPageBreak/>
        <w:t xml:space="preserve">ומרגשות. דוקטרינת השיתוף הספציפי מעלה אפוא את עלויות העסקה של בני הזוג החפצים להסדיר ביניהם את יחסיהם הממוניים, במקום להוריד עלויות אלה. זאת מאחר שהיא מאלצת את בת הזוג בעלת הרכוש האישי לנהל עם בחיר לבה משא ומתן רכושי, המונע משיקולים אנוכיים, באווירת נישואין שאינה מתאימה למשא ומתן כזה.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סתירה בין דוקטרינת השיתוף הספציפי לבין דרישות הכתב שבחוק יחסי ממון ובסעיף 8 לחוק המקרקעין</w:t>
      </w:r>
    </w:p>
    <w:p w:rsidR="00917458" w:rsidRPr="009353CA" w:rsidRDefault="00917458" w:rsidP="00917458">
      <w:pPr>
        <w:pStyle w:val="Ruller41"/>
        <w:rPr>
          <w:rtl/>
        </w:rPr>
      </w:pPr>
    </w:p>
    <w:p w:rsidR="00917458" w:rsidRPr="009353CA" w:rsidRDefault="00917458" w:rsidP="00917458">
      <w:pPr>
        <w:pStyle w:val="Ruller4"/>
        <w:rPr>
          <w:rtl/>
        </w:rPr>
      </w:pPr>
      <w:r w:rsidRPr="009353CA">
        <w:rPr>
          <w:rFonts w:hint="cs"/>
          <w:rtl/>
        </w:rPr>
        <w:t xml:space="preserve">בית משפט זה קבע זה מכבר כי </w:t>
      </w:r>
      <w:r w:rsidRPr="009353CA">
        <w:rPr>
          <w:rtl/>
        </w:rPr>
        <w:t>–</w:t>
      </w:r>
    </w:p>
    <w:p w:rsidR="00917458" w:rsidRPr="009353CA" w:rsidRDefault="00917458" w:rsidP="00917458">
      <w:pPr>
        <w:pStyle w:val="Ruller41"/>
        <w:rPr>
          <w:rtl/>
        </w:rPr>
      </w:pPr>
    </w:p>
    <w:p w:rsidR="00917458" w:rsidRPr="009353CA" w:rsidRDefault="00917458" w:rsidP="00917458">
      <w:pPr>
        <w:pStyle w:val="Ruller5"/>
        <w:rPr>
          <w:rtl/>
        </w:rPr>
      </w:pPr>
      <w:r w:rsidRPr="009353CA">
        <w:rPr>
          <w:rtl/>
        </w:rPr>
        <w:t>"</w:t>
      </w:r>
      <w:r w:rsidRPr="009353CA">
        <w:rPr>
          <w:rFonts w:hint="eastAsia"/>
          <w:rtl/>
        </w:rPr>
        <w:t>בהתאם</w:t>
      </w:r>
      <w:r w:rsidRPr="009353CA">
        <w:rPr>
          <w:rtl/>
        </w:rPr>
        <w:t xml:space="preserve"> </w:t>
      </w:r>
      <w:r w:rsidRPr="009353CA">
        <w:rPr>
          <w:rFonts w:hint="eastAsia"/>
          <w:rtl/>
        </w:rPr>
        <w:t>לגישת</w:t>
      </w:r>
      <w:r w:rsidRPr="009353CA">
        <w:rPr>
          <w:rtl/>
        </w:rPr>
        <w:t xml:space="preserve"> </w:t>
      </w:r>
      <w:r w:rsidRPr="009353CA">
        <w:rPr>
          <w:rFonts w:hint="eastAsia"/>
          <w:rtl/>
        </w:rPr>
        <w:t>הרוב</w:t>
      </w:r>
      <w:r w:rsidRPr="009353CA">
        <w:rPr>
          <w:rtl/>
        </w:rPr>
        <w:t xml:space="preserve"> </w:t>
      </w:r>
      <w:r w:rsidRPr="009353CA">
        <w:rPr>
          <w:rFonts w:hint="eastAsia"/>
          <w:rtl/>
        </w:rPr>
        <w:t>בע</w:t>
      </w:r>
      <w:r w:rsidRPr="009353CA">
        <w:rPr>
          <w:rtl/>
        </w:rPr>
        <w:t>"</w:t>
      </w:r>
      <w:r w:rsidRPr="009353CA">
        <w:rPr>
          <w:rFonts w:hint="eastAsia"/>
          <w:rtl/>
        </w:rPr>
        <w:t>א</w:t>
      </w:r>
      <w:r w:rsidRPr="009353CA">
        <w:rPr>
          <w:rtl/>
        </w:rPr>
        <w:t xml:space="preserve"> 1915/91 </w:t>
      </w:r>
      <w:r w:rsidRPr="009353CA">
        <w:rPr>
          <w:rFonts w:ascii="Century" w:hAnsi="Century" w:cs="Miriam" w:hint="eastAsia"/>
          <w:b/>
          <w:spacing w:val="0"/>
          <w:szCs w:val="24"/>
          <w:rtl/>
        </w:rPr>
        <w:t>יעקובי</w:t>
      </w:r>
      <w:r w:rsidRPr="009353CA">
        <w:rPr>
          <w:rFonts w:ascii="Century" w:hAnsi="Century" w:cs="Miriam"/>
          <w:b/>
          <w:spacing w:val="0"/>
          <w:szCs w:val="24"/>
          <w:rtl/>
        </w:rPr>
        <w:t xml:space="preserve"> </w:t>
      </w:r>
      <w:r w:rsidRPr="009353CA">
        <w:rPr>
          <w:rFonts w:ascii="Century" w:hAnsi="Century" w:cs="Miriam" w:hint="eastAsia"/>
          <w:b/>
          <w:spacing w:val="0"/>
          <w:szCs w:val="24"/>
          <w:rtl/>
        </w:rPr>
        <w:t>נ</w:t>
      </w:r>
      <w:r w:rsidRPr="009353CA">
        <w:rPr>
          <w:rFonts w:ascii="Century" w:hAnsi="Century" w:cs="Miriam"/>
          <w:b/>
          <w:spacing w:val="0"/>
          <w:szCs w:val="24"/>
          <w:rtl/>
        </w:rPr>
        <w:t xml:space="preserve">' </w:t>
      </w:r>
      <w:r w:rsidRPr="009353CA">
        <w:rPr>
          <w:rFonts w:ascii="Century" w:hAnsi="Century" w:cs="Miriam" w:hint="eastAsia"/>
          <w:b/>
          <w:spacing w:val="0"/>
          <w:szCs w:val="24"/>
          <w:rtl/>
        </w:rPr>
        <w:t>יעקובי</w:t>
      </w:r>
      <w:r w:rsidRPr="009353CA">
        <w:rPr>
          <w:rtl/>
        </w:rPr>
        <w:t xml:space="preserve">, </w:t>
      </w:r>
      <w:r w:rsidRPr="009353CA">
        <w:rPr>
          <w:rFonts w:hint="eastAsia"/>
          <w:rtl/>
        </w:rPr>
        <w:t>אין</w:t>
      </w:r>
      <w:r w:rsidRPr="009353CA">
        <w:rPr>
          <w:rtl/>
        </w:rPr>
        <w:t xml:space="preserve"> </w:t>
      </w:r>
      <w:r w:rsidRPr="009353CA">
        <w:rPr>
          <w:rFonts w:hint="eastAsia"/>
          <w:rtl/>
        </w:rPr>
        <w:t>בהוראותיו</w:t>
      </w:r>
      <w:r w:rsidRPr="009353CA">
        <w:rPr>
          <w:rtl/>
        </w:rPr>
        <w:t xml:space="preserve"> </w:t>
      </w:r>
      <w:r w:rsidRPr="009353CA">
        <w:rPr>
          <w:rFonts w:hint="eastAsia"/>
          <w:rtl/>
        </w:rPr>
        <w:t>של</w:t>
      </w:r>
      <w:r w:rsidRPr="009353CA">
        <w:rPr>
          <w:rtl/>
        </w:rPr>
        <w:t xml:space="preserve"> </w:t>
      </w:r>
      <w:r w:rsidRPr="009353CA">
        <w:rPr>
          <w:rFonts w:hint="eastAsia"/>
          <w:rtl/>
        </w:rPr>
        <w:t>סעיף</w:t>
      </w:r>
      <w:r w:rsidRPr="009353CA">
        <w:rPr>
          <w:rtl/>
        </w:rPr>
        <w:t xml:space="preserve"> 5 </w:t>
      </w:r>
      <w:r w:rsidRPr="009353CA">
        <w:rPr>
          <w:rFonts w:hint="eastAsia"/>
          <w:rtl/>
        </w:rPr>
        <w:t>לחוק</w:t>
      </w:r>
      <w:r w:rsidRPr="009353CA">
        <w:rPr>
          <w:rtl/>
        </w:rPr>
        <w:t xml:space="preserve"> </w:t>
      </w:r>
      <w:r w:rsidRPr="009353CA">
        <w:rPr>
          <w:rFonts w:hint="eastAsia"/>
          <w:rtl/>
        </w:rPr>
        <w:t>יחסי</w:t>
      </w:r>
      <w:r w:rsidRPr="009353CA">
        <w:rPr>
          <w:rtl/>
        </w:rPr>
        <w:t xml:space="preserve"> </w:t>
      </w:r>
      <w:r w:rsidRPr="009353CA">
        <w:rPr>
          <w:rFonts w:hint="eastAsia"/>
          <w:rtl/>
        </w:rPr>
        <w:t>ממון</w:t>
      </w:r>
      <w:r w:rsidRPr="009353CA">
        <w:rPr>
          <w:rtl/>
        </w:rPr>
        <w:t xml:space="preserve"> </w:t>
      </w:r>
      <w:r w:rsidRPr="009353CA">
        <w:rPr>
          <w:rFonts w:hint="eastAsia"/>
          <w:rtl/>
        </w:rPr>
        <w:t>כדי</w:t>
      </w:r>
      <w:r w:rsidRPr="009353CA">
        <w:rPr>
          <w:rtl/>
        </w:rPr>
        <w:t xml:space="preserve"> </w:t>
      </w:r>
      <w:r w:rsidRPr="009353CA">
        <w:rPr>
          <w:rFonts w:hint="eastAsia"/>
          <w:rtl/>
        </w:rPr>
        <w:t>למנוע</w:t>
      </w:r>
      <w:r w:rsidRPr="009353CA">
        <w:rPr>
          <w:rtl/>
        </w:rPr>
        <w:t xml:space="preserve"> </w:t>
      </w:r>
      <w:r w:rsidRPr="009353CA">
        <w:rPr>
          <w:rFonts w:hint="eastAsia"/>
          <w:rtl/>
        </w:rPr>
        <w:t>יצירת</w:t>
      </w:r>
      <w:r w:rsidRPr="009353CA">
        <w:rPr>
          <w:rtl/>
        </w:rPr>
        <w:t xml:space="preserve"> </w:t>
      </w:r>
      <w:r w:rsidRPr="009353CA">
        <w:rPr>
          <w:rFonts w:hint="eastAsia"/>
          <w:rtl/>
        </w:rPr>
        <w:t>שיתוף</w:t>
      </w:r>
      <w:r w:rsidRPr="009353CA">
        <w:rPr>
          <w:rtl/>
        </w:rPr>
        <w:t xml:space="preserve"> </w:t>
      </w:r>
      <w:r w:rsidRPr="009353CA">
        <w:rPr>
          <w:rFonts w:hint="eastAsia"/>
          <w:rtl/>
        </w:rPr>
        <w:t>בנכס</w:t>
      </w:r>
      <w:r w:rsidRPr="009353CA">
        <w:rPr>
          <w:rtl/>
        </w:rPr>
        <w:t xml:space="preserve"> </w:t>
      </w:r>
      <w:r w:rsidRPr="009353CA">
        <w:rPr>
          <w:rFonts w:hint="eastAsia"/>
          <w:rtl/>
        </w:rPr>
        <w:t>ספציפי</w:t>
      </w:r>
      <w:r w:rsidRPr="009353CA">
        <w:rPr>
          <w:rtl/>
        </w:rPr>
        <w:t xml:space="preserve"> </w:t>
      </w:r>
      <w:r w:rsidRPr="009353CA">
        <w:rPr>
          <w:rFonts w:hint="eastAsia"/>
          <w:rtl/>
        </w:rPr>
        <w:t>לפי</w:t>
      </w:r>
      <w:r w:rsidRPr="009353CA">
        <w:rPr>
          <w:rtl/>
        </w:rPr>
        <w:t xml:space="preserve"> </w:t>
      </w:r>
      <w:r w:rsidRPr="009353CA">
        <w:rPr>
          <w:rFonts w:hint="eastAsia"/>
          <w:rtl/>
        </w:rPr>
        <w:t>הדין</w:t>
      </w:r>
      <w:r w:rsidRPr="009353CA">
        <w:rPr>
          <w:rtl/>
        </w:rPr>
        <w:t xml:space="preserve"> </w:t>
      </w:r>
      <w:r w:rsidRPr="009353CA">
        <w:rPr>
          <w:rFonts w:hint="eastAsia"/>
          <w:rtl/>
        </w:rPr>
        <w:t>הכללי</w:t>
      </w:r>
      <w:r w:rsidRPr="009353CA">
        <w:rPr>
          <w:rtl/>
        </w:rPr>
        <w:t xml:space="preserve"> </w:t>
      </w:r>
      <w:r w:rsidRPr="009353CA">
        <w:rPr>
          <w:rFonts w:hint="eastAsia"/>
          <w:rtl/>
        </w:rPr>
        <w:t>החל</w:t>
      </w:r>
      <w:r w:rsidRPr="009353CA">
        <w:rPr>
          <w:rtl/>
        </w:rPr>
        <w:t xml:space="preserve"> </w:t>
      </w:r>
      <w:r w:rsidRPr="009353CA">
        <w:rPr>
          <w:rFonts w:hint="eastAsia"/>
          <w:rtl/>
        </w:rPr>
        <w:t>על</w:t>
      </w:r>
      <w:r w:rsidRPr="009353CA">
        <w:rPr>
          <w:rtl/>
        </w:rPr>
        <w:t xml:space="preserve"> </w:t>
      </w:r>
      <w:r w:rsidRPr="009353CA">
        <w:rPr>
          <w:rFonts w:hint="eastAsia"/>
          <w:rtl/>
        </w:rPr>
        <w:t>העניין</w:t>
      </w:r>
      <w:r w:rsidRPr="009353CA">
        <w:rPr>
          <w:rtl/>
        </w:rPr>
        <w:t xml:space="preserve">, </w:t>
      </w:r>
      <w:r w:rsidRPr="009353CA">
        <w:rPr>
          <w:rFonts w:hint="eastAsia"/>
          <w:rtl/>
        </w:rPr>
        <w:t>לרבות</w:t>
      </w:r>
      <w:r w:rsidRPr="009353CA">
        <w:rPr>
          <w:rtl/>
        </w:rPr>
        <w:t xml:space="preserve"> </w:t>
      </w:r>
      <w:r w:rsidRPr="009353CA">
        <w:rPr>
          <w:rFonts w:hint="eastAsia"/>
          <w:rtl/>
        </w:rPr>
        <w:t>בנכס</w:t>
      </w:r>
      <w:r w:rsidRPr="009353CA">
        <w:rPr>
          <w:rtl/>
        </w:rPr>
        <w:t xml:space="preserve"> </w:t>
      </w:r>
      <w:r w:rsidRPr="009353CA">
        <w:rPr>
          <w:rFonts w:hint="eastAsia"/>
          <w:rtl/>
        </w:rPr>
        <w:t>שנרכש</w:t>
      </w:r>
      <w:r w:rsidRPr="009353CA">
        <w:rPr>
          <w:rtl/>
        </w:rPr>
        <w:t xml:space="preserve"> </w:t>
      </w:r>
      <w:r w:rsidRPr="009353CA">
        <w:rPr>
          <w:rFonts w:hint="eastAsia"/>
          <w:rtl/>
        </w:rPr>
        <w:t>על</w:t>
      </w:r>
      <w:r w:rsidRPr="009353CA">
        <w:rPr>
          <w:rtl/>
        </w:rPr>
        <w:t>-</w:t>
      </w:r>
      <w:r w:rsidRPr="009353CA">
        <w:rPr>
          <w:rFonts w:hint="eastAsia"/>
          <w:rtl/>
        </w:rPr>
        <w:t>ידי</w:t>
      </w:r>
      <w:r w:rsidRPr="009353CA">
        <w:rPr>
          <w:rtl/>
        </w:rPr>
        <w:t xml:space="preserve"> </w:t>
      </w:r>
      <w:r w:rsidRPr="009353CA">
        <w:rPr>
          <w:rFonts w:hint="eastAsia"/>
          <w:rtl/>
        </w:rPr>
        <w:t>אחד</w:t>
      </w:r>
      <w:r w:rsidRPr="009353CA">
        <w:rPr>
          <w:rtl/>
        </w:rPr>
        <w:t xml:space="preserve"> </w:t>
      </w:r>
      <w:r w:rsidRPr="009353CA">
        <w:rPr>
          <w:rFonts w:hint="eastAsia"/>
          <w:rtl/>
        </w:rPr>
        <w:t>מבני</w:t>
      </w:r>
      <w:r w:rsidRPr="009353CA">
        <w:rPr>
          <w:rtl/>
        </w:rPr>
        <w:t>-</w:t>
      </w:r>
      <w:r w:rsidRPr="009353CA">
        <w:rPr>
          <w:rFonts w:hint="eastAsia"/>
          <w:rtl/>
        </w:rPr>
        <w:t>הזוג</w:t>
      </w:r>
      <w:r w:rsidRPr="009353CA">
        <w:rPr>
          <w:rtl/>
        </w:rPr>
        <w:t xml:space="preserve"> </w:t>
      </w:r>
      <w:r w:rsidRPr="009353CA">
        <w:rPr>
          <w:rFonts w:hint="eastAsia"/>
          <w:rtl/>
        </w:rPr>
        <w:t>טרם</w:t>
      </w:r>
      <w:r w:rsidRPr="009353CA">
        <w:rPr>
          <w:rtl/>
        </w:rPr>
        <w:t xml:space="preserve"> </w:t>
      </w:r>
      <w:r w:rsidRPr="009353CA">
        <w:rPr>
          <w:rFonts w:hint="eastAsia"/>
          <w:rtl/>
        </w:rPr>
        <w:t>הנישואין</w:t>
      </w:r>
      <w:r w:rsidRPr="009353CA">
        <w:rPr>
          <w:rtl/>
        </w:rPr>
        <w:t xml:space="preserve"> (</w:t>
      </w:r>
      <w:r w:rsidRPr="009353CA">
        <w:rPr>
          <w:rFonts w:hint="eastAsia"/>
          <w:rtl/>
        </w:rPr>
        <w:t>ראו</w:t>
      </w:r>
      <w:r w:rsidRPr="009353CA">
        <w:rPr>
          <w:rtl/>
        </w:rPr>
        <w:t xml:space="preserve"> </w:t>
      </w:r>
      <w:r w:rsidRPr="009353CA">
        <w:rPr>
          <w:rFonts w:hint="eastAsia"/>
          <w:rtl/>
        </w:rPr>
        <w:t>גם</w:t>
      </w:r>
      <w:r w:rsidRPr="009353CA">
        <w:rPr>
          <w:rtl/>
        </w:rPr>
        <w:t xml:space="preserve">: </w:t>
      </w:r>
      <w:r w:rsidRPr="009353CA">
        <w:rPr>
          <w:rFonts w:hint="eastAsia"/>
          <w:rtl/>
        </w:rPr>
        <w:t>רע</w:t>
      </w:r>
      <w:r w:rsidRPr="009353CA">
        <w:rPr>
          <w:rtl/>
        </w:rPr>
        <w:t>"</w:t>
      </w:r>
      <w:r w:rsidRPr="009353CA">
        <w:rPr>
          <w:rFonts w:hint="eastAsia"/>
          <w:rtl/>
        </w:rPr>
        <w:t>א</w:t>
      </w:r>
      <w:r w:rsidRPr="009353CA">
        <w:rPr>
          <w:rtl/>
        </w:rPr>
        <w:t xml:space="preserve"> 8672/00 </w:t>
      </w:r>
      <w:r w:rsidRPr="009353CA">
        <w:rPr>
          <w:rFonts w:ascii="Century" w:hAnsi="Century" w:cs="Miriam" w:hint="eastAsia"/>
          <w:b/>
          <w:spacing w:val="0"/>
          <w:szCs w:val="24"/>
          <w:rtl/>
        </w:rPr>
        <w:t>אבו</w:t>
      </w:r>
      <w:r w:rsidRPr="009353CA">
        <w:rPr>
          <w:rFonts w:ascii="Century" w:hAnsi="Century" w:cs="Miriam"/>
          <w:b/>
          <w:spacing w:val="0"/>
          <w:szCs w:val="24"/>
          <w:rtl/>
        </w:rPr>
        <w:t>-</w:t>
      </w:r>
      <w:r w:rsidRPr="009353CA">
        <w:rPr>
          <w:rFonts w:ascii="Century" w:hAnsi="Century" w:cs="Miriam" w:hint="eastAsia"/>
          <w:b/>
          <w:spacing w:val="0"/>
          <w:szCs w:val="24"/>
          <w:rtl/>
        </w:rPr>
        <w:t>רומי</w:t>
      </w:r>
      <w:r w:rsidRPr="009353CA">
        <w:rPr>
          <w:rFonts w:ascii="Century" w:hAnsi="Century" w:cs="Miriam"/>
          <w:b/>
          <w:spacing w:val="0"/>
          <w:szCs w:val="24"/>
          <w:rtl/>
        </w:rPr>
        <w:t xml:space="preserve"> </w:t>
      </w:r>
      <w:r w:rsidRPr="009353CA">
        <w:rPr>
          <w:rFonts w:ascii="Century" w:hAnsi="Century" w:cs="Miriam" w:hint="eastAsia"/>
          <w:b/>
          <w:spacing w:val="0"/>
          <w:szCs w:val="24"/>
          <w:rtl/>
        </w:rPr>
        <w:t>נ</w:t>
      </w:r>
      <w:r w:rsidRPr="009353CA">
        <w:rPr>
          <w:rFonts w:ascii="Century" w:hAnsi="Century" w:cs="Miriam"/>
          <w:b/>
          <w:spacing w:val="0"/>
          <w:szCs w:val="24"/>
          <w:rtl/>
        </w:rPr>
        <w:t xml:space="preserve">' </w:t>
      </w:r>
      <w:r w:rsidRPr="009353CA">
        <w:rPr>
          <w:rFonts w:ascii="Century" w:hAnsi="Century" w:cs="Miriam" w:hint="eastAsia"/>
          <w:b/>
          <w:spacing w:val="0"/>
          <w:szCs w:val="24"/>
          <w:rtl/>
        </w:rPr>
        <w:t>אבו</w:t>
      </w:r>
      <w:r w:rsidRPr="009353CA">
        <w:rPr>
          <w:rFonts w:ascii="Century" w:hAnsi="Century" w:cs="Miriam"/>
          <w:b/>
          <w:spacing w:val="0"/>
          <w:szCs w:val="24"/>
          <w:rtl/>
        </w:rPr>
        <w:t>-</w:t>
      </w:r>
      <w:r w:rsidRPr="009353CA">
        <w:rPr>
          <w:rFonts w:ascii="Century" w:hAnsi="Century" w:cs="Miriam" w:hint="eastAsia"/>
          <w:b/>
          <w:spacing w:val="0"/>
          <w:szCs w:val="24"/>
          <w:rtl/>
        </w:rPr>
        <w:t>רומי</w:t>
      </w:r>
      <w:r w:rsidRPr="009353CA">
        <w:rPr>
          <w:rtl/>
        </w:rPr>
        <w:t>,</w:t>
      </w:r>
      <w:r w:rsidRPr="009353CA">
        <w:rPr>
          <w:rFonts w:hint="cs"/>
          <w:rtl/>
        </w:rPr>
        <w:t xml:space="preserve"> בעמ' 183-182</w:t>
      </w:r>
      <w:r w:rsidRPr="009353CA">
        <w:rPr>
          <w:rtl/>
        </w:rPr>
        <w:t xml:space="preserve"> </w:t>
      </w:r>
      <w:r w:rsidRPr="009353CA">
        <w:rPr>
          <w:rFonts w:hint="cs"/>
          <w:rtl/>
        </w:rPr>
        <w:t>(</w:t>
      </w:r>
      <w:r w:rsidRPr="009353CA">
        <w:rPr>
          <w:rFonts w:hint="eastAsia"/>
          <w:rtl/>
        </w:rPr>
        <w:t>פסקאות</w:t>
      </w:r>
      <w:r w:rsidRPr="009353CA">
        <w:rPr>
          <w:rtl/>
        </w:rPr>
        <w:t xml:space="preserve"> </w:t>
      </w:r>
      <w:r w:rsidRPr="009353CA">
        <w:rPr>
          <w:rFonts w:hint="cs"/>
          <w:rtl/>
        </w:rPr>
        <w:t>10-9</w:t>
      </w:r>
      <w:r w:rsidRPr="009353CA">
        <w:rPr>
          <w:rtl/>
        </w:rPr>
        <w:t xml:space="preserve"> </w:t>
      </w:r>
      <w:r w:rsidRPr="009353CA">
        <w:rPr>
          <w:rFonts w:hint="eastAsia"/>
          <w:rtl/>
        </w:rPr>
        <w:t>לפסק</w:t>
      </w:r>
      <w:r w:rsidRPr="009353CA">
        <w:rPr>
          <w:rtl/>
        </w:rPr>
        <w:t>-</w:t>
      </w:r>
      <w:r w:rsidRPr="009353CA">
        <w:rPr>
          <w:rFonts w:hint="eastAsia"/>
          <w:rtl/>
        </w:rPr>
        <w:t>דינה</w:t>
      </w:r>
      <w:r w:rsidRPr="009353CA">
        <w:rPr>
          <w:rtl/>
        </w:rPr>
        <w:t xml:space="preserve"> </w:t>
      </w:r>
      <w:r w:rsidRPr="009353CA">
        <w:rPr>
          <w:rFonts w:hint="eastAsia"/>
          <w:rtl/>
        </w:rPr>
        <w:t>של</w:t>
      </w:r>
      <w:r w:rsidRPr="009353CA">
        <w:rPr>
          <w:rtl/>
        </w:rPr>
        <w:t xml:space="preserve"> </w:t>
      </w:r>
      <w:r w:rsidRPr="009353CA">
        <w:rPr>
          <w:rFonts w:ascii="Century" w:hAnsi="Century" w:hint="eastAsia"/>
          <w:rtl/>
        </w:rPr>
        <w:t>השופטת</w:t>
      </w:r>
      <w:r w:rsidRPr="009353CA">
        <w:rPr>
          <w:rtl/>
        </w:rPr>
        <w:t xml:space="preserve"> </w:t>
      </w:r>
      <w:proofErr w:type="spellStart"/>
      <w:r w:rsidRPr="009353CA">
        <w:rPr>
          <w:rFonts w:ascii="Century" w:hAnsi="Century" w:cs="Miriam" w:hint="eastAsia"/>
          <w:b/>
          <w:spacing w:val="0"/>
          <w:szCs w:val="24"/>
          <w:rtl/>
        </w:rPr>
        <w:t>שטרסברג</w:t>
      </w:r>
      <w:proofErr w:type="spellEnd"/>
      <w:r w:rsidRPr="009353CA">
        <w:rPr>
          <w:rFonts w:ascii="Century" w:hAnsi="Century" w:cs="Miriam"/>
          <w:b/>
          <w:spacing w:val="0"/>
          <w:szCs w:val="24"/>
          <w:rtl/>
        </w:rPr>
        <w:t>-</w:t>
      </w:r>
      <w:r w:rsidRPr="009353CA">
        <w:rPr>
          <w:rFonts w:ascii="Century" w:hAnsi="Century" w:cs="Miriam" w:hint="eastAsia"/>
          <w:b/>
          <w:spacing w:val="0"/>
          <w:szCs w:val="24"/>
          <w:rtl/>
        </w:rPr>
        <w:t>כהן</w:t>
      </w:r>
      <w:r w:rsidRPr="009353CA">
        <w:rPr>
          <w:rFonts w:hint="cs"/>
          <w:rtl/>
        </w:rPr>
        <w:t>)</w:t>
      </w:r>
      <w:r w:rsidRPr="009353CA">
        <w:rPr>
          <w:rtl/>
        </w:rPr>
        <w:t xml:space="preserve">; </w:t>
      </w:r>
      <w:r w:rsidRPr="009353CA">
        <w:rPr>
          <w:rFonts w:hint="eastAsia"/>
          <w:rtl/>
        </w:rPr>
        <w:t>רע</w:t>
      </w:r>
      <w:r w:rsidRPr="009353CA">
        <w:rPr>
          <w:rtl/>
        </w:rPr>
        <w:t>"</w:t>
      </w:r>
      <w:r w:rsidRPr="009353CA">
        <w:rPr>
          <w:rFonts w:hint="eastAsia"/>
          <w:rtl/>
        </w:rPr>
        <w:t>א</w:t>
      </w:r>
      <w:r w:rsidRPr="009353CA">
        <w:rPr>
          <w:rtl/>
        </w:rPr>
        <w:t xml:space="preserve"> 4358/01 </w:t>
      </w:r>
      <w:r w:rsidRPr="009353CA">
        <w:rPr>
          <w:rFonts w:ascii="Century" w:hAnsi="Century" w:cs="Miriam" w:hint="eastAsia"/>
          <w:b/>
          <w:spacing w:val="0"/>
          <w:szCs w:val="24"/>
          <w:rtl/>
        </w:rPr>
        <w:t>בר</w:t>
      </w:r>
      <w:r w:rsidRPr="009353CA">
        <w:rPr>
          <w:rFonts w:ascii="Century" w:hAnsi="Century" w:cs="Miriam"/>
          <w:b/>
          <w:spacing w:val="0"/>
          <w:szCs w:val="24"/>
          <w:rtl/>
        </w:rPr>
        <w:t>-</w:t>
      </w:r>
      <w:r w:rsidRPr="009353CA">
        <w:rPr>
          <w:rFonts w:ascii="Century" w:hAnsi="Century" w:cs="Miriam" w:hint="eastAsia"/>
          <w:b/>
          <w:spacing w:val="0"/>
          <w:szCs w:val="24"/>
          <w:rtl/>
        </w:rPr>
        <w:t>אל</w:t>
      </w:r>
      <w:r w:rsidRPr="009353CA">
        <w:rPr>
          <w:rFonts w:ascii="Century" w:hAnsi="Century" w:cs="Miriam"/>
          <w:b/>
          <w:spacing w:val="0"/>
          <w:szCs w:val="24"/>
          <w:rtl/>
        </w:rPr>
        <w:t xml:space="preserve"> </w:t>
      </w:r>
      <w:r w:rsidRPr="009353CA">
        <w:rPr>
          <w:rFonts w:ascii="Century" w:hAnsi="Century" w:cs="Miriam" w:hint="eastAsia"/>
          <w:b/>
          <w:spacing w:val="0"/>
          <w:szCs w:val="24"/>
          <w:rtl/>
        </w:rPr>
        <w:t>נ</w:t>
      </w:r>
      <w:r w:rsidRPr="009353CA">
        <w:rPr>
          <w:rFonts w:ascii="Century" w:hAnsi="Century" w:cs="Miriam"/>
          <w:b/>
          <w:spacing w:val="0"/>
          <w:szCs w:val="24"/>
          <w:rtl/>
        </w:rPr>
        <w:t xml:space="preserve">' </w:t>
      </w:r>
      <w:r w:rsidRPr="009353CA">
        <w:rPr>
          <w:rFonts w:ascii="Century" w:hAnsi="Century" w:cs="Miriam" w:hint="eastAsia"/>
          <w:b/>
          <w:spacing w:val="0"/>
          <w:szCs w:val="24"/>
          <w:rtl/>
        </w:rPr>
        <w:t>בר</w:t>
      </w:r>
      <w:r w:rsidRPr="009353CA">
        <w:rPr>
          <w:rFonts w:ascii="Century" w:hAnsi="Century" w:cs="Miriam"/>
          <w:b/>
          <w:spacing w:val="0"/>
          <w:szCs w:val="24"/>
          <w:rtl/>
        </w:rPr>
        <w:t>-</w:t>
      </w:r>
      <w:r w:rsidRPr="009353CA">
        <w:rPr>
          <w:rFonts w:ascii="Century" w:hAnsi="Century" w:cs="Miriam" w:hint="eastAsia"/>
          <w:b/>
          <w:spacing w:val="0"/>
          <w:szCs w:val="24"/>
          <w:rtl/>
        </w:rPr>
        <w:t>אל</w:t>
      </w:r>
      <w:r w:rsidRPr="009353CA">
        <w:rPr>
          <w:rtl/>
        </w:rPr>
        <w:t xml:space="preserve">, </w:t>
      </w:r>
      <w:r w:rsidRPr="009353CA">
        <w:rPr>
          <w:rFonts w:hint="cs"/>
          <w:rtl/>
        </w:rPr>
        <w:t>בעמ' 860-859 (</w:t>
      </w:r>
      <w:r w:rsidRPr="009353CA">
        <w:rPr>
          <w:rFonts w:hint="eastAsia"/>
          <w:rtl/>
        </w:rPr>
        <w:t>פסקה</w:t>
      </w:r>
      <w:r w:rsidRPr="009353CA">
        <w:rPr>
          <w:rtl/>
        </w:rPr>
        <w:t xml:space="preserve"> 4 </w:t>
      </w:r>
      <w:r w:rsidRPr="009353CA">
        <w:rPr>
          <w:rFonts w:hint="eastAsia"/>
          <w:rtl/>
        </w:rPr>
        <w:t>לפסק</w:t>
      </w:r>
      <w:r w:rsidRPr="009353CA">
        <w:rPr>
          <w:rtl/>
        </w:rPr>
        <w:t>-</w:t>
      </w:r>
      <w:r w:rsidRPr="009353CA">
        <w:rPr>
          <w:rFonts w:hint="eastAsia"/>
          <w:rtl/>
        </w:rPr>
        <w:t>דינו</w:t>
      </w:r>
      <w:r w:rsidRPr="009353CA">
        <w:rPr>
          <w:rtl/>
        </w:rPr>
        <w:t xml:space="preserve"> </w:t>
      </w:r>
      <w:r w:rsidRPr="009353CA">
        <w:rPr>
          <w:rFonts w:hint="eastAsia"/>
          <w:rtl/>
        </w:rPr>
        <w:t>של</w:t>
      </w:r>
      <w:r w:rsidRPr="009353CA">
        <w:rPr>
          <w:rtl/>
        </w:rPr>
        <w:t xml:space="preserve"> </w:t>
      </w:r>
      <w:r w:rsidRPr="009353CA">
        <w:rPr>
          <w:rFonts w:ascii="Century" w:hAnsi="Century" w:hint="eastAsia"/>
          <w:rtl/>
        </w:rPr>
        <w:t>הנשיא</w:t>
      </w:r>
      <w:r w:rsidRPr="009353CA">
        <w:rPr>
          <w:rtl/>
        </w:rPr>
        <w:t xml:space="preserve"> </w:t>
      </w:r>
      <w:r w:rsidRPr="009353CA">
        <w:rPr>
          <w:rFonts w:ascii="Century" w:hAnsi="Century" w:cs="Miriam" w:hint="eastAsia"/>
          <w:b/>
          <w:spacing w:val="0"/>
          <w:szCs w:val="24"/>
          <w:rtl/>
        </w:rPr>
        <w:t>ברק</w:t>
      </w:r>
      <w:r w:rsidRPr="009353CA">
        <w:rPr>
          <w:rtl/>
        </w:rPr>
        <w:t>)</w:t>
      </w:r>
      <w:r w:rsidRPr="009353CA">
        <w:rPr>
          <w:rFonts w:hint="cs"/>
          <w:rtl/>
        </w:rPr>
        <w:t>.</w:t>
      </w:r>
      <w:r w:rsidRPr="009353CA">
        <w:rPr>
          <w:rtl/>
        </w:rPr>
        <w:t xml:space="preserve">" </w:t>
      </w:r>
      <w:r w:rsidRPr="009353CA">
        <w:rPr>
          <w:rFonts w:hint="cs"/>
          <w:rtl/>
        </w:rPr>
        <w:t xml:space="preserve">(ראו: דברי </w:t>
      </w:r>
      <w:r w:rsidRPr="009353CA">
        <w:rPr>
          <w:rFonts w:hint="eastAsia"/>
          <w:rtl/>
        </w:rPr>
        <w:t>השופטת</w:t>
      </w:r>
      <w:r w:rsidRPr="009353CA">
        <w:rPr>
          <w:rFonts w:hint="cs"/>
          <w:rtl/>
        </w:rPr>
        <w:t xml:space="preserve"> </w:t>
      </w:r>
      <w:r w:rsidRPr="009353CA">
        <w:rPr>
          <w:rFonts w:ascii="Century" w:hAnsi="Century" w:cs="Miriam" w:hint="cs"/>
          <w:b/>
          <w:spacing w:val="0"/>
          <w:szCs w:val="24"/>
          <w:rtl/>
        </w:rPr>
        <w:t>ד' ביניש</w:t>
      </w:r>
      <w:r w:rsidRPr="009353CA">
        <w:rPr>
          <w:rFonts w:ascii="Century" w:hAnsi="Century" w:cs="Miriam" w:hint="cs"/>
          <w:b/>
          <w:rtl/>
        </w:rPr>
        <w:t xml:space="preserve"> </w:t>
      </w:r>
      <w:r w:rsidRPr="009353CA">
        <w:rPr>
          <w:rFonts w:hint="cs"/>
          <w:rtl/>
        </w:rPr>
        <w:t>(כתוארה אז) ב</w:t>
      </w:r>
      <w:r w:rsidRPr="009353CA">
        <w:rPr>
          <w:rFonts w:hint="eastAsia"/>
          <w:rtl/>
        </w:rPr>
        <w:t>ע</w:t>
      </w:r>
      <w:r w:rsidRPr="009353CA">
        <w:rPr>
          <w:rtl/>
        </w:rPr>
        <w:t>"</w:t>
      </w:r>
      <w:r w:rsidRPr="009353CA">
        <w:rPr>
          <w:rFonts w:hint="eastAsia"/>
          <w:rtl/>
        </w:rPr>
        <w:t>א</w:t>
      </w:r>
      <w:r w:rsidRPr="009353CA">
        <w:rPr>
          <w:rtl/>
        </w:rPr>
        <w:t xml:space="preserve"> 7687/04 </w:t>
      </w:r>
      <w:r w:rsidRPr="009353CA">
        <w:rPr>
          <w:rFonts w:ascii="Century" w:hAnsi="Century" w:cs="Miriam" w:hint="eastAsia"/>
          <w:b/>
          <w:spacing w:val="0"/>
          <w:szCs w:val="24"/>
          <w:rtl/>
        </w:rPr>
        <w:t>ששון</w:t>
      </w:r>
      <w:r w:rsidRPr="009353CA">
        <w:rPr>
          <w:rFonts w:ascii="Century" w:hAnsi="Century" w:cs="Miriam"/>
          <w:b/>
          <w:spacing w:val="0"/>
          <w:szCs w:val="24"/>
          <w:rtl/>
        </w:rPr>
        <w:t xml:space="preserve"> </w:t>
      </w:r>
      <w:r w:rsidRPr="009353CA">
        <w:rPr>
          <w:rFonts w:ascii="Century" w:hAnsi="Century" w:cs="Miriam" w:hint="eastAsia"/>
          <w:b/>
          <w:spacing w:val="0"/>
          <w:szCs w:val="24"/>
          <w:rtl/>
        </w:rPr>
        <w:t>נ</w:t>
      </w:r>
      <w:r w:rsidRPr="009353CA">
        <w:rPr>
          <w:rFonts w:ascii="Century" w:hAnsi="Century" w:cs="Miriam"/>
          <w:b/>
          <w:spacing w:val="0"/>
          <w:szCs w:val="24"/>
          <w:rtl/>
        </w:rPr>
        <w:t xml:space="preserve">' </w:t>
      </w:r>
      <w:r w:rsidRPr="009353CA">
        <w:rPr>
          <w:rFonts w:ascii="Century" w:hAnsi="Century" w:cs="Miriam" w:hint="eastAsia"/>
          <w:b/>
          <w:spacing w:val="0"/>
          <w:szCs w:val="24"/>
          <w:rtl/>
        </w:rPr>
        <w:t>ששון</w:t>
      </w:r>
      <w:r w:rsidRPr="009353CA">
        <w:rPr>
          <w:rtl/>
        </w:rPr>
        <w:t xml:space="preserve">, </w:t>
      </w:r>
      <w:r w:rsidRPr="009353CA">
        <w:rPr>
          <w:rFonts w:hint="eastAsia"/>
          <w:rtl/>
        </w:rPr>
        <w:t>פ</w:t>
      </w:r>
      <w:r w:rsidRPr="009353CA">
        <w:rPr>
          <w:rtl/>
        </w:rPr>
        <w:t>"</w:t>
      </w:r>
      <w:r w:rsidRPr="009353CA">
        <w:rPr>
          <w:rFonts w:hint="eastAsia"/>
          <w:rtl/>
        </w:rPr>
        <w:t>ד</w:t>
      </w:r>
      <w:r w:rsidRPr="009353CA">
        <w:rPr>
          <w:rtl/>
        </w:rPr>
        <w:t xml:space="preserve"> </w:t>
      </w:r>
      <w:r w:rsidRPr="009353CA">
        <w:rPr>
          <w:rFonts w:hint="eastAsia"/>
          <w:rtl/>
        </w:rPr>
        <w:t>נט</w:t>
      </w:r>
      <w:r w:rsidRPr="009353CA">
        <w:rPr>
          <w:rtl/>
        </w:rPr>
        <w:t xml:space="preserve">(5) 596, </w:t>
      </w:r>
      <w:r w:rsidRPr="009353CA">
        <w:rPr>
          <w:rFonts w:hint="cs"/>
          <w:rtl/>
        </w:rPr>
        <w:t>616-615 (2005)).</w:t>
      </w:r>
    </w:p>
    <w:p w:rsidR="00917458" w:rsidRPr="009353CA" w:rsidRDefault="00917458" w:rsidP="00917458">
      <w:pPr>
        <w:pStyle w:val="Ruller5"/>
        <w:spacing w:line="480" w:lineRule="auto"/>
        <w:rPr>
          <w:rtl/>
        </w:rPr>
      </w:pPr>
    </w:p>
    <w:p w:rsidR="00917458" w:rsidRPr="009353CA" w:rsidRDefault="00917458" w:rsidP="00917458">
      <w:pPr>
        <w:pStyle w:val="Ruller4"/>
        <w:rPr>
          <w:rtl/>
        </w:rPr>
      </w:pPr>
      <w:r w:rsidRPr="009353CA">
        <w:rPr>
          <w:rFonts w:hint="cs"/>
          <w:rtl/>
        </w:rPr>
        <w:t>קביעה זו הינה ברורה ומושרשת. ברם, היא מעוררת קשיים לנוכח המתח שקיים בינה לבין כמה הוראות חוק שעניינן הסכמי ממון בין בני זוג והעברת זכויות במקרקעין.</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סעיף 1 לחוק יחסי ממון קובע כי "הסכם בין בני זוג המסדיר יחסי ממון [...] ושינויו של הסכם כזה, יהיו בכתב". דרישת הכתב שבחוק יחסי ממון הינה תנאי מהותי-קונסטיטוטיבי לתקפותו של כל הסכם ממון בין בני זוג (ראו למשל: </w:t>
      </w:r>
      <w:r w:rsidRPr="009353CA">
        <w:rPr>
          <w:rFonts w:hint="eastAsia"/>
          <w:rtl/>
        </w:rPr>
        <w:t>ע</w:t>
      </w:r>
      <w:r w:rsidRPr="009353CA">
        <w:rPr>
          <w:rtl/>
        </w:rPr>
        <w:t>"</w:t>
      </w:r>
      <w:r w:rsidRPr="009353CA">
        <w:rPr>
          <w:rFonts w:hint="eastAsia"/>
          <w:rtl/>
        </w:rPr>
        <w:t>א</w:t>
      </w:r>
      <w:r w:rsidRPr="009353CA">
        <w:rPr>
          <w:rtl/>
        </w:rPr>
        <w:t xml:space="preserve"> 419/84 </w:t>
      </w:r>
      <w:proofErr w:type="spellStart"/>
      <w:r w:rsidRPr="009353CA">
        <w:rPr>
          <w:rFonts w:ascii="Century" w:hAnsi="Century" w:cs="Miriam" w:hint="eastAsia"/>
          <w:b/>
          <w:spacing w:val="0"/>
          <w:sz w:val="22"/>
          <w:szCs w:val="24"/>
          <w:rtl/>
        </w:rPr>
        <w:t>טוכמינץ</w:t>
      </w:r>
      <w:proofErr w:type="spellEnd"/>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proofErr w:type="spellStart"/>
      <w:r w:rsidRPr="009353CA">
        <w:rPr>
          <w:rFonts w:ascii="Century" w:hAnsi="Century" w:cs="Miriam" w:hint="eastAsia"/>
          <w:b/>
          <w:spacing w:val="0"/>
          <w:sz w:val="22"/>
          <w:szCs w:val="24"/>
          <w:rtl/>
        </w:rPr>
        <w:t>טוכמינץ</w:t>
      </w:r>
      <w:proofErr w:type="spellEnd"/>
      <w:r w:rsidRPr="009353CA">
        <w:rPr>
          <w:rtl/>
        </w:rPr>
        <w:t xml:space="preserve">, </w:t>
      </w:r>
      <w:r w:rsidRPr="009353CA">
        <w:rPr>
          <w:rFonts w:hint="cs"/>
          <w:rtl/>
        </w:rPr>
        <w:t xml:space="preserve">פ"ד </w:t>
      </w:r>
      <w:r w:rsidRPr="009353CA">
        <w:rPr>
          <w:rFonts w:hint="eastAsia"/>
          <w:rtl/>
        </w:rPr>
        <w:t>לט</w:t>
      </w:r>
      <w:r w:rsidRPr="009353CA">
        <w:rPr>
          <w:rtl/>
        </w:rPr>
        <w:t>(1) 287 (1985)</w:t>
      </w:r>
      <w:r w:rsidRPr="009353CA">
        <w:rPr>
          <w:rFonts w:hint="cs"/>
          <w:rtl/>
        </w:rPr>
        <w:t>). ברי הוא, כי דוקטרינת השיתוף הספציפי, באשר היא מתיימרת ליצור בין בני הזוג הסכם מכללא שאינו מקיים את דרישת הכתב המהותית, מעוררת קושי. מן הראוי הוא שהלכות שיפוטיות שאנו קובעים תהיינה מותאמות לחוקי הכנסת.</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בעניין </w:t>
      </w:r>
      <w:r w:rsidRPr="009353CA">
        <w:rPr>
          <w:rFonts w:ascii="Century" w:hAnsi="Century" w:cs="Miriam" w:hint="cs"/>
          <w:b/>
          <w:spacing w:val="0"/>
          <w:sz w:val="22"/>
          <w:szCs w:val="24"/>
          <w:rtl/>
        </w:rPr>
        <w:t>אבו רומי</w:t>
      </w:r>
      <w:r w:rsidRPr="009353CA">
        <w:rPr>
          <w:rFonts w:hint="cs"/>
          <w:rtl/>
        </w:rPr>
        <w:t xml:space="preserve"> נקבע כי יש טעם להקל על בן זוג הטוען לבעלות משותפת בדירת מגורים מכוח הדין הכללי בהוכחת זכויותיו. בפסיקה מאוחרת יותר, נקבע כי דירת מגורים של בני הזוג היא נכס משפחתי מובהק, לעתים הנכס המשמעותי ביותר של בני הזוג, ועל כן יש הצדקה לקבוע שיתוף ספציפי ביחס אליה (ראו למשל: </w:t>
      </w:r>
      <w:r w:rsidRPr="009353CA">
        <w:rPr>
          <w:rFonts w:ascii="Century" w:hAnsi="Century" w:cs="Miriam" w:hint="cs"/>
          <w:b/>
          <w:spacing w:val="0"/>
          <w:sz w:val="22"/>
          <w:szCs w:val="24"/>
          <w:rtl/>
        </w:rPr>
        <w:t>בע"מ 1398/11</w:t>
      </w:r>
      <w:r w:rsidRPr="009353CA">
        <w:rPr>
          <w:rFonts w:hint="cs"/>
          <w:rtl/>
        </w:rPr>
        <w:t>, פסקה 15 והאסמכתאות שם). כל זה ברור ומובן, ואולי א</w:t>
      </w:r>
      <w:r>
        <w:rPr>
          <w:rFonts w:hint="cs"/>
          <w:rtl/>
        </w:rPr>
        <w:t>ף</w:t>
      </w:r>
      <w:r w:rsidRPr="009353CA">
        <w:rPr>
          <w:rFonts w:hint="cs"/>
          <w:rtl/>
        </w:rPr>
        <w:t xml:space="preserve"> צודק בנסיבות כאלה או </w:t>
      </w:r>
      <w:r w:rsidRPr="009353CA">
        <w:rPr>
          <w:rFonts w:hint="cs"/>
          <w:rtl/>
        </w:rPr>
        <w:lastRenderedPageBreak/>
        <w:t xml:space="preserve">אחרות. ואולם, הלכה זו מנוגדת לדרישת הכתב המהותית אשר נקבעה בסעיף 8 לחוק המקרקעין, ביחס לכל העברה חוזית של זכות במקרקעין, לרבות זכות שיתוף, ולעתים גם לדרישת כתב מהותית אחרת אשר נקבעה בסעיף 5(א) לחוק המתנה, בנוגע להתחייבות לתת מתנה בעתיד (ראו: </w:t>
      </w:r>
      <w:r w:rsidRPr="009353CA">
        <w:rPr>
          <w:rFonts w:hint="eastAsia"/>
          <w:rtl/>
        </w:rPr>
        <w:t>ע</w:t>
      </w:r>
      <w:r w:rsidRPr="009353CA">
        <w:rPr>
          <w:rFonts w:hint="cs"/>
          <w:rtl/>
        </w:rPr>
        <w:t>"</w:t>
      </w:r>
      <w:r w:rsidRPr="009353CA">
        <w:rPr>
          <w:rFonts w:hint="eastAsia"/>
          <w:rtl/>
        </w:rPr>
        <w:t>א</w:t>
      </w:r>
      <w:r w:rsidRPr="009353CA">
        <w:rPr>
          <w:rtl/>
        </w:rPr>
        <w:t xml:space="preserve"> 11/75‏‏ </w:t>
      </w:r>
      <w:r w:rsidRPr="009353CA">
        <w:rPr>
          <w:rFonts w:ascii="Century" w:hAnsi="Century" w:cs="Miriam" w:hint="eastAsia"/>
          <w:b/>
          <w:spacing w:val="0"/>
          <w:sz w:val="22"/>
          <w:szCs w:val="24"/>
          <w:rtl/>
        </w:rPr>
        <w:t>ועד</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הישיבות</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בא</w:t>
      </w:r>
      <w:r w:rsidRPr="009353CA">
        <w:rPr>
          <w:rFonts w:ascii="Century" w:hAnsi="Century" w:cs="Miriam"/>
          <w:b/>
          <w:spacing w:val="0"/>
          <w:sz w:val="22"/>
          <w:szCs w:val="24"/>
          <w:rtl/>
        </w:rPr>
        <w:t>"</w:t>
      </w:r>
      <w:r w:rsidRPr="009353CA">
        <w:rPr>
          <w:rFonts w:ascii="Century" w:hAnsi="Century" w:cs="Miriam" w:hint="eastAsia"/>
          <w:b/>
          <w:spacing w:val="0"/>
          <w:sz w:val="22"/>
          <w:szCs w:val="24"/>
          <w:rtl/>
        </w:rPr>
        <w:t>י</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נ</w:t>
      </w:r>
      <w:r w:rsidRPr="009353CA">
        <w:rPr>
          <w:rFonts w:ascii="Century" w:hAnsi="Century" w:cs="Miriam"/>
          <w:b/>
          <w:spacing w:val="0"/>
          <w:sz w:val="22"/>
          <w:szCs w:val="24"/>
          <w:rtl/>
        </w:rPr>
        <w:t xml:space="preserve">' </w:t>
      </w:r>
      <w:r w:rsidRPr="009353CA">
        <w:rPr>
          <w:rFonts w:ascii="Century" w:hAnsi="Century" w:cs="Miriam" w:hint="eastAsia"/>
          <w:b/>
          <w:spacing w:val="0"/>
          <w:sz w:val="22"/>
          <w:szCs w:val="24"/>
          <w:rtl/>
        </w:rPr>
        <w:t>מיכאלי</w:t>
      </w:r>
      <w:r w:rsidRPr="009353CA">
        <w:rPr>
          <w:rtl/>
        </w:rPr>
        <w:t xml:space="preserve">, </w:t>
      </w:r>
      <w:r w:rsidRPr="009353CA">
        <w:rPr>
          <w:rFonts w:hint="eastAsia"/>
          <w:rtl/>
        </w:rPr>
        <w:t>פ</w:t>
      </w:r>
      <w:r>
        <w:rPr>
          <w:rFonts w:hint="cs"/>
          <w:rtl/>
        </w:rPr>
        <w:t>"</w:t>
      </w:r>
      <w:r w:rsidRPr="009353CA">
        <w:rPr>
          <w:rFonts w:hint="eastAsia"/>
          <w:rtl/>
        </w:rPr>
        <w:t>ד</w:t>
      </w:r>
      <w:r w:rsidRPr="009353CA">
        <w:rPr>
          <w:rtl/>
        </w:rPr>
        <w:t xml:space="preserve"> </w:t>
      </w:r>
      <w:r w:rsidRPr="009353CA">
        <w:rPr>
          <w:rFonts w:hint="eastAsia"/>
          <w:rtl/>
        </w:rPr>
        <w:t>ל</w:t>
      </w:r>
      <w:r w:rsidRPr="009353CA">
        <w:rPr>
          <w:rtl/>
        </w:rPr>
        <w:t>(1) 639</w:t>
      </w:r>
      <w:r w:rsidRPr="009353CA">
        <w:rPr>
          <w:rFonts w:hint="cs"/>
          <w:rtl/>
        </w:rPr>
        <w:t xml:space="preserve"> (1975); יהושע ויסמן </w:t>
      </w:r>
      <w:r w:rsidRPr="009353CA">
        <w:rPr>
          <w:rFonts w:ascii="Century" w:hAnsi="Century" w:cs="Miriam" w:hint="cs"/>
          <w:b/>
          <w:spacing w:val="0"/>
          <w:sz w:val="22"/>
          <w:szCs w:val="24"/>
          <w:rtl/>
        </w:rPr>
        <w:t xml:space="preserve">דיני קניין </w:t>
      </w:r>
      <w:r w:rsidRPr="009353CA">
        <w:rPr>
          <w:rFonts w:ascii="Century" w:hAnsi="Century" w:cs="Miriam"/>
          <w:b/>
          <w:spacing w:val="0"/>
          <w:sz w:val="22"/>
          <w:szCs w:val="24"/>
          <w:rtl/>
        </w:rPr>
        <w:t>–</w:t>
      </w:r>
      <w:r w:rsidRPr="009353CA">
        <w:rPr>
          <w:rFonts w:ascii="Century" w:hAnsi="Century" w:cs="Miriam" w:hint="cs"/>
          <w:b/>
          <w:spacing w:val="0"/>
          <w:sz w:val="22"/>
          <w:szCs w:val="24"/>
          <w:rtl/>
        </w:rPr>
        <w:t xml:space="preserve"> חלק כללי</w:t>
      </w:r>
      <w:r w:rsidRPr="009353CA">
        <w:rPr>
          <w:rFonts w:hint="cs"/>
          <w:rtl/>
        </w:rPr>
        <w:t xml:space="preserve"> 114-113 (1993); </w:t>
      </w:r>
      <w:r w:rsidRPr="009353CA">
        <w:rPr>
          <w:rFonts w:hint="eastAsia"/>
          <w:rtl/>
        </w:rPr>
        <w:t>א</w:t>
      </w:r>
      <w:r w:rsidRPr="009353CA">
        <w:rPr>
          <w:rFonts w:hint="cs"/>
          <w:rtl/>
        </w:rPr>
        <w:t>וריאל</w:t>
      </w:r>
      <w:r w:rsidRPr="009353CA">
        <w:rPr>
          <w:rtl/>
        </w:rPr>
        <w:t xml:space="preserve"> </w:t>
      </w:r>
      <w:r w:rsidRPr="009353CA">
        <w:rPr>
          <w:rFonts w:hint="eastAsia"/>
          <w:rtl/>
        </w:rPr>
        <w:t>רייכמן</w:t>
      </w:r>
      <w:r w:rsidRPr="009353CA">
        <w:rPr>
          <w:rtl/>
        </w:rPr>
        <w:t xml:space="preserve"> "</w:t>
      </w:r>
      <w:r w:rsidRPr="009353CA">
        <w:rPr>
          <w:rFonts w:hint="eastAsia"/>
          <w:rtl/>
        </w:rPr>
        <w:t>התוצאות</w:t>
      </w:r>
      <w:r w:rsidRPr="009353CA">
        <w:rPr>
          <w:rtl/>
        </w:rPr>
        <w:t xml:space="preserve"> </w:t>
      </w:r>
      <w:r w:rsidRPr="009353CA">
        <w:rPr>
          <w:rFonts w:hint="eastAsia"/>
          <w:rtl/>
        </w:rPr>
        <w:t>הקנייניות</w:t>
      </w:r>
      <w:r w:rsidRPr="009353CA">
        <w:rPr>
          <w:rtl/>
        </w:rPr>
        <w:t xml:space="preserve"> </w:t>
      </w:r>
      <w:r w:rsidRPr="009353CA">
        <w:rPr>
          <w:rFonts w:hint="eastAsia"/>
          <w:rtl/>
        </w:rPr>
        <w:t>של</w:t>
      </w:r>
      <w:r w:rsidRPr="009353CA">
        <w:rPr>
          <w:rtl/>
        </w:rPr>
        <w:t xml:space="preserve"> </w:t>
      </w:r>
      <w:r w:rsidRPr="009353CA">
        <w:rPr>
          <w:rFonts w:hint="eastAsia"/>
          <w:rtl/>
        </w:rPr>
        <w:t>הלכת</w:t>
      </w:r>
      <w:r w:rsidRPr="009353CA">
        <w:rPr>
          <w:rtl/>
        </w:rPr>
        <w:t xml:space="preserve"> </w:t>
      </w:r>
      <w:r w:rsidRPr="009353CA">
        <w:rPr>
          <w:rFonts w:hint="eastAsia"/>
          <w:rtl/>
        </w:rPr>
        <w:t>שיתוף</w:t>
      </w:r>
      <w:r w:rsidRPr="009353CA">
        <w:rPr>
          <w:rtl/>
        </w:rPr>
        <w:t xml:space="preserve"> </w:t>
      </w:r>
      <w:r w:rsidRPr="009353CA">
        <w:rPr>
          <w:rFonts w:hint="eastAsia"/>
          <w:rtl/>
        </w:rPr>
        <w:t>נכסים</w:t>
      </w:r>
      <w:r w:rsidRPr="009353CA">
        <w:rPr>
          <w:rtl/>
        </w:rPr>
        <w:t xml:space="preserve"> </w:t>
      </w:r>
      <w:r w:rsidRPr="009353CA">
        <w:rPr>
          <w:rFonts w:hint="eastAsia"/>
          <w:rtl/>
        </w:rPr>
        <w:t>בין</w:t>
      </w:r>
      <w:r w:rsidRPr="009353CA">
        <w:rPr>
          <w:rtl/>
        </w:rPr>
        <w:t xml:space="preserve"> </w:t>
      </w:r>
      <w:r w:rsidRPr="009353CA">
        <w:rPr>
          <w:rFonts w:hint="eastAsia"/>
          <w:rtl/>
        </w:rPr>
        <w:t>בני</w:t>
      </w:r>
      <w:r w:rsidRPr="009353CA">
        <w:rPr>
          <w:rtl/>
        </w:rPr>
        <w:t xml:space="preserve"> </w:t>
      </w:r>
      <w:r w:rsidRPr="009353CA">
        <w:rPr>
          <w:rFonts w:hint="eastAsia"/>
          <w:rtl/>
        </w:rPr>
        <w:t>זוג</w:t>
      </w:r>
      <w:r w:rsidRPr="009353CA">
        <w:rPr>
          <w:rtl/>
        </w:rPr>
        <w:t xml:space="preserve"> </w:t>
      </w:r>
      <w:r w:rsidRPr="009353CA">
        <w:rPr>
          <w:rFonts w:hint="eastAsia"/>
          <w:rtl/>
        </w:rPr>
        <w:t>לאחר</w:t>
      </w:r>
      <w:r w:rsidRPr="009353CA">
        <w:rPr>
          <w:rtl/>
        </w:rPr>
        <w:t xml:space="preserve"> </w:t>
      </w:r>
      <w:r w:rsidRPr="009353CA">
        <w:rPr>
          <w:rFonts w:hint="eastAsia"/>
          <w:rtl/>
        </w:rPr>
        <w:t>תחילת</w:t>
      </w:r>
      <w:r w:rsidRPr="009353CA">
        <w:rPr>
          <w:rtl/>
        </w:rPr>
        <w:t xml:space="preserve"> </w:t>
      </w:r>
      <w:r w:rsidRPr="009353CA">
        <w:rPr>
          <w:rFonts w:hint="eastAsia"/>
          <w:rtl/>
        </w:rPr>
        <w:t>חוק</w:t>
      </w:r>
      <w:r w:rsidRPr="009353CA">
        <w:rPr>
          <w:rtl/>
        </w:rPr>
        <w:t xml:space="preserve"> </w:t>
      </w:r>
      <w:r w:rsidRPr="009353CA">
        <w:rPr>
          <w:rFonts w:hint="eastAsia"/>
          <w:rtl/>
        </w:rPr>
        <w:t>המקרקעין</w:t>
      </w:r>
      <w:r w:rsidRPr="009353CA">
        <w:rPr>
          <w:rtl/>
        </w:rPr>
        <w:t xml:space="preserve">, </w:t>
      </w:r>
      <w:r w:rsidRPr="009353CA">
        <w:rPr>
          <w:rFonts w:hint="eastAsia"/>
          <w:rtl/>
        </w:rPr>
        <w:t>תשכ</w:t>
      </w:r>
      <w:r w:rsidRPr="009353CA">
        <w:rPr>
          <w:rtl/>
        </w:rPr>
        <w:t>"</w:t>
      </w:r>
      <w:r w:rsidRPr="009353CA">
        <w:rPr>
          <w:rFonts w:hint="eastAsia"/>
          <w:rtl/>
        </w:rPr>
        <w:t>ט</w:t>
      </w:r>
      <w:r w:rsidRPr="009353CA">
        <w:rPr>
          <w:rtl/>
        </w:rPr>
        <w:t xml:space="preserve">-1969" </w:t>
      </w:r>
      <w:r w:rsidRPr="009353CA">
        <w:rPr>
          <w:rFonts w:ascii="Century" w:hAnsi="Century" w:cs="Miriam" w:hint="eastAsia"/>
          <w:b/>
          <w:spacing w:val="0"/>
          <w:szCs w:val="24"/>
          <w:rtl/>
        </w:rPr>
        <w:t>עיוני</w:t>
      </w:r>
      <w:r w:rsidRPr="009353CA">
        <w:rPr>
          <w:rFonts w:ascii="Century" w:hAnsi="Century" w:cs="Miriam"/>
          <w:b/>
          <w:spacing w:val="0"/>
          <w:szCs w:val="24"/>
          <w:rtl/>
        </w:rPr>
        <w:t xml:space="preserve"> </w:t>
      </w:r>
      <w:r w:rsidRPr="009353CA">
        <w:rPr>
          <w:rFonts w:ascii="Century" w:hAnsi="Century" w:cs="Miriam" w:hint="eastAsia"/>
          <w:b/>
          <w:spacing w:val="0"/>
          <w:szCs w:val="24"/>
          <w:rtl/>
        </w:rPr>
        <w:t>משפט</w:t>
      </w:r>
      <w:r w:rsidRPr="009353CA">
        <w:rPr>
          <w:rtl/>
        </w:rPr>
        <w:t xml:space="preserve"> </w:t>
      </w:r>
      <w:r w:rsidRPr="009353CA">
        <w:rPr>
          <w:rFonts w:hint="eastAsia"/>
          <w:rtl/>
        </w:rPr>
        <w:t>ו</w:t>
      </w:r>
      <w:r w:rsidRPr="009353CA">
        <w:rPr>
          <w:rtl/>
        </w:rPr>
        <w:t xml:space="preserve"> 289</w:t>
      </w:r>
      <w:r w:rsidRPr="009353CA">
        <w:rPr>
          <w:rFonts w:hint="cs"/>
          <w:rtl/>
        </w:rPr>
        <w:t xml:space="preserve">, 297 (1978); וכן </w:t>
      </w:r>
      <w:r w:rsidRPr="009353CA">
        <w:rPr>
          <w:rFonts w:hint="eastAsia"/>
          <w:rtl/>
        </w:rPr>
        <w:t>מרדכי</w:t>
      </w:r>
      <w:r w:rsidRPr="009353CA">
        <w:rPr>
          <w:rtl/>
        </w:rPr>
        <w:t xml:space="preserve"> </w:t>
      </w:r>
      <w:proofErr w:type="spellStart"/>
      <w:r w:rsidRPr="009353CA">
        <w:rPr>
          <w:rFonts w:hint="eastAsia"/>
          <w:rtl/>
        </w:rPr>
        <w:t>ראבילו</w:t>
      </w:r>
      <w:proofErr w:type="spellEnd"/>
      <w:r w:rsidRPr="009353CA">
        <w:rPr>
          <w:rFonts w:hint="cs"/>
          <w:rtl/>
        </w:rPr>
        <w:t xml:space="preserve"> </w:t>
      </w:r>
      <w:r w:rsidRPr="009353CA">
        <w:rPr>
          <w:rFonts w:ascii="Century" w:hAnsi="Century" w:cs="Miriam" w:hint="cs"/>
          <w:b/>
          <w:spacing w:val="0"/>
          <w:sz w:val="22"/>
          <w:szCs w:val="24"/>
          <w:rtl/>
        </w:rPr>
        <w:t>חוק המתנה</w:t>
      </w:r>
      <w:r w:rsidRPr="009353CA">
        <w:rPr>
          <w:rFonts w:hint="cs"/>
          <w:rtl/>
        </w:rPr>
        <w:t xml:space="preserve"> 409-408 (1996)).</w:t>
      </w:r>
    </w:p>
    <w:p w:rsidR="00917458" w:rsidRPr="009353CA" w:rsidRDefault="00917458" w:rsidP="00917458">
      <w:pPr>
        <w:pStyle w:val="Ruller41"/>
      </w:pPr>
    </w:p>
    <w:p w:rsidR="00917458" w:rsidRPr="009353CA" w:rsidRDefault="00917458" w:rsidP="00917458">
      <w:pPr>
        <w:pStyle w:val="Ruller4"/>
        <w:rPr>
          <w:rFonts w:ascii="Century" w:hAnsi="Century"/>
          <w:sz w:val="22"/>
          <w:rtl/>
        </w:rPr>
      </w:pPr>
      <w:r w:rsidRPr="009353CA">
        <w:rPr>
          <w:rFonts w:hint="cs"/>
          <w:rtl/>
        </w:rPr>
        <w:t xml:space="preserve">השופטת </w:t>
      </w:r>
      <w:proofErr w:type="spellStart"/>
      <w:r w:rsidRPr="009353CA">
        <w:rPr>
          <w:rFonts w:ascii="Century" w:hAnsi="Century" w:cs="Miriam" w:hint="cs"/>
          <w:b/>
          <w:spacing w:val="0"/>
          <w:sz w:val="22"/>
          <w:szCs w:val="24"/>
          <w:rtl/>
        </w:rPr>
        <w:t>דורנר</w:t>
      </w:r>
      <w:proofErr w:type="spellEnd"/>
      <w:r w:rsidRPr="009353CA">
        <w:rPr>
          <w:rFonts w:hint="cs"/>
          <w:rtl/>
        </w:rPr>
        <w:t xml:space="preserve"> התייחסה לבעיה זו בדונה בעניין </w:t>
      </w:r>
      <w:r w:rsidRPr="009353CA">
        <w:rPr>
          <w:rFonts w:ascii="Century" w:hAnsi="Century" w:cs="Miriam" w:hint="cs"/>
          <w:b/>
          <w:spacing w:val="0"/>
          <w:sz w:val="22"/>
          <w:szCs w:val="24"/>
          <w:rtl/>
        </w:rPr>
        <w:t>יעקובי</w:t>
      </w:r>
      <w:r w:rsidRPr="009353CA">
        <w:rPr>
          <w:rFonts w:ascii="Century" w:hAnsi="Century" w:hint="cs"/>
          <w:sz w:val="22"/>
          <w:rtl/>
        </w:rPr>
        <w:t>, במילים אלו:</w:t>
      </w:r>
    </w:p>
    <w:p w:rsidR="00917458" w:rsidRPr="009353CA" w:rsidRDefault="00917458" w:rsidP="00917458">
      <w:pPr>
        <w:pStyle w:val="Ruller41"/>
        <w:rPr>
          <w:rtl/>
        </w:rPr>
      </w:pPr>
    </w:p>
    <w:p w:rsidR="00917458" w:rsidRPr="009353CA" w:rsidRDefault="00917458" w:rsidP="00917458">
      <w:pPr>
        <w:pStyle w:val="Ruller5"/>
        <w:rPr>
          <w:rFonts w:ascii="Century" w:hAnsi="Century"/>
          <w:rtl/>
        </w:rPr>
      </w:pPr>
      <w:r w:rsidRPr="009353CA">
        <w:rPr>
          <w:rFonts w:hint="cs"/>
          <w:rtl/>
        </w:rPr>
        <w:t xml:space="preserve">"[...] </w:t>
      </w:r>
      <w:r w:rsidRPr="009353CA">
        <w:rPr>
          <w:rFonts w:hint="eastAsia"/>
          <w:rtl/>
        </w:rPr>
        <w:t>אם</w:t>
      </w:r>
      <w:r w:rsidRPr="009353CA">
        <w:rPr>
          <w:rtl/>
        </w:rPr>
        <w:t xml:space="preserve"> </w:t>
      </w:r>
      <w:r w:rsidRPr="009353CA">
        <w:rPr>
          <w:rFonts w:hint="eastAsia"/>
          <w:rtl/>
        </w:rPr>
        <w:t>החוק</w:t>
      </w:r>
      <w:r w:rsidRPr="009353CA">
        <w:rPr>
          <w:rtl/>
        </w:rPr>
        <w:t xml:space="preserve"> </w:t>
      </w:r>
      <w:r w:rsidRPr="009353CA">
        <w:rPr>
          <w:rFonts w:hint="eastAsia"/>
          <w:rtl/>
        </w:rPr>
        <w:t>סובל</w:t>
      </w:r>
      <w:r w:rsidRPr="009353CA">
        <w:rPr>
          <w:rtl/>
        </w:rPr>
        <w:t xml:space="preserve"> </w:t>
      </w:r>
      <w:r w:rsidRPr="009353CA">
        <w:rPr>
          <w:rFonts w:hint="eastAsia"/>
          <w:rtl/>
        </w:rPr>
        <w:t>החלה</w:t>
      </w:r>
      <w:r w:rsidRPr="009353CA">
        <w:rPr>
          <w:rtl/>
        </w:rPr>
        <w:t xml:space="preserve"> </w:t>
      </w:r>
      <w:r w:rsidRPr="009353CA">
        <w:rPr>
          <w:rFonts w:hint="eastAsia"/>
          <w:rtl/>
        </w:rPr>
        <w:t>של</w:t>
      </w:r>
      <w:r w:rsidRPr="009353CA">
        <w:rPr>
          <w:rtl/>
        </w:rPr>
        <w:t xml:space="preserve"> </w:t>
      </w:r>
      <w:r w:rsidRPr="009353CA">
        <w:rPr>
          <w:rFonts w:hint="eastAsia"/>
          <w:rtl/>
        </w:rPr>
        <w:t>חזקת</w:t>
      </w:r>
      <w:r w:rsidRPr="009353CA">
        <w:rPr>
          <w:rtl/>
        </w:rPr>
        <w:t xml:space="preserve"> </w:t>
      </w:r>
      <w:r w:rsidRPr="009353CA">
        <w:rPr>
          <w:rFonts w:hint="eastAsia"/>
          <w:rtl/>
        </w:rPr>
        <w:t>השיתוף</w:t>
      </w:r>
      <w:r w:rsidRPr="009353CA">
        <w:rPr>
          <w:rtl/>
        </w:rPr>
        <w:t xml:space="preserve"> </w:t>
      </w:r>
      <w:r w:rsidRPr="009353CA">
        <w:rPr>
          <w:rFonts w:hint="eastAsia"/>
          <w:rtl/>
        </w:rPr>
        <w:t>כבסיס</w:t>
      </w:r>
      <w:r w:rsidRPr="009353CA">
        <w:rPr>
          <w:rtl/>
        </w:rPr>
        <w:t xml:space="preserve"> </w:t>
      </w:r>
      <w:r w:rsidRPr="009353CA">
        <w:rPr>
          <w:rFonts w:hint="eastAsia"/>
          <w:rtl/>
        </w:rPr>
        <w:t>לקונסטרוקציה</w:t>
      </w:r>
      <w:r w:rsidRPr="009353CA">
        <w:rPr>
          <w:rtl/>
        </w:rPr>
        <w:t xml:space="preserve"> </w:t>
      </w:r>
      <w:r w:rsidRPr="009353CA">
        <w:rPr>
          <w:rFonts w:hint="eastAsia"/>
          <w:rtl/>
        </w:rPr>
        <w:t>פרובלמטית</w:t>
      </w:r>
      <w:r w:rsidRPr="009353CA">
        <w:rPr>
          <w:rtl/>
        </w:rPr>
        <w:t xml:space="preserve"> </w:t>
      </w:r>
      <w:r w:rsidRPr="009353CA">
        <w:rPr>
          <w:rFonts w:hint="eastAsia"/>
          <w:rtl/>
        </w:rPr>
        <w:t>מבחינת</w:t>
      </w:r>
      <w:r w:rsidRPr="009353CA">
        <w:rPr>
          <w:rtl/>
        </w:rPr>
        <w:t xml:space="preserve"> </w:t>
      </w:r>
      <w:r w:rsidRPr="009353CA">
        <w:rPr>
          <w:rFonts w:hint="eastAsia"/>
          <w:rtl/>
        </w:rPr>
        <w:t>חוק</w:t>
      </w:r>
      <w:r w:rsidRPr="009353CA">
        <w:rPr>
          <w:rtl/>
        </w:rPr>
        <w:t xml:space="preserve"> </w:t>
      </w:r>
      <w:r w:rsidRPr="009353CA">
        <w:rPr>
          <w:rFonts w:hint="eastAsia"/>
          <w:rtl/>
        </w:rPr>
        <w:t>המתנה</w:t>
      </w:r>
      <w:r w:rsidRPr="009353CA">
        <w:rPr>
          <w:rtl/>
        </w:rPr>
        <w:t xml:space="preserve"> </w:t>
      </w:r>
      <w:r w:rsidRPr="009353CA">
        <w:rPr>
          <w:rFonts w:hint="eastAsia"/>
          <w:rtl/>
        </w:rPr>
        <w:t>וחוק</w:t>
      </w:r>
      <w:r w:rsidRPr="009353CA">
        <w:rPr>
          <w:rtl/>
        </w:rPr>
        <w:t xml:space="preserve"> </w:t>
      </w:r>
      <w:r w:rsidRPr="009353CA">
        <w:rPr>
          <w:rFonts w:hint="eastAsia"/>
          <w:rtl/>
        </w:rPr>
        <w:t>המקרקעין</w:t>
      </w:r>
      <w:r w:rsidRPr="009353CA">
        <w:rPr>
          <w:rtl/>
        </w:rPr>
        <w:t xml:space="preserve">, </w:t>
      </w:r>
      <w:r w:rsidRPr="009353CA">
        <w:rPr>
          <w:rFonts w:hint="eastAsia"/>
          <w:rtl/>
        </w:rPr>
        <w:t>המתקשה</w:t>
      </w:r>
      <w:r w:rsidRPr="009353CA">
        <w:rPr>
          <w:rtl/>
        </w:rPr>
        <w:t xml:space="preserve"> </w:t>
      </w:r>
      <w:r w:rsidRPr="009353CA">
        <w:rPr>
          <w:rFonts w:hint="eastAsia"/>
          <w:rtl/>
        </w:rPr>
        <w:t>אף</w:t>
      </w:r>
      <w:r w:rsidRPr="009353CA">
        <w:rPr>
          <w:rtl/>
        </w:rPr>
        <w:t xml:space="preserve"> </w:t>
      </w:r>
      <w:r w:rsidRPr="009353CA">
        <w:rPr>
          <w:rFonts w:hint="eastAsia"/>
          <w:rtl/>
        </w:rPr>
        <w:t>להתיישב</w:t>
      </w:r>
      <w:r w:rsidRPr="009353CA">
        <w:rPr>
          <w:rtl/>
        </w:rPr>
        <w:t xml:space="preserve"> </w:t>
      </w:r>
      <w:r w:rsidRPr="009353CA">
        <w:rPr>
          <w:rFonts w:hint="eastAsia"/>
          <w:rtl/>
        </w:rPr>
        <w:t>עם</w:t>
      </w:r>
      <w:r w:rsidRPr="009353CA">
        <w:rPr>
          <w:rtl/>
        </w:rPr>
        <w:t xml:space="preserve"> </w:t>
      </w:r>
      <w:r w:rsidRPr="009353CA">
        <w:rPr>
          <w:rFonts w:hint="eastAsia"/>
          <w:rtl/>
        </w:rPr>
        <w:t>כוונת</w:t>
      </w:r>
      <w:r w:rsidRPr="009353CA">
        <w:rPr>
          <w:rtl/>
        </w:rPr>
        <w:t xml:space="preserve"> </w:t>
      </w:r>
      <w:r w:rsidRPr="009353CA">
        <w:rPr>
          <w:rFonts w:hint="eastAsia"/>
          <w:rtl/>
        </w:rPr>
        <w:t>הצדדים</w:t>
      </w:r>
      <w:r w:rsidRPr="009353CA">
        <w:rPr>
          <w:rtl/>
        </w:rPr>
        <w:t xml:space="preserve">, </w:t>
      </w:r>
      <w:r w:rsidRPr="009353CA">
        <w:rPr>
          <w:rFonts w:hint="eastAsia"/>
          <w:rtl/>
        </w:rPr>
        <w:t>מה</w:t>
      </w:r>
      <w:r w:rsidRPr="009353CA">
        <w:rPr>
          <w:rtl/>
        </w:rPr>
        <w:t xml:space="preserve"> </w:t>
      </w:r>
      <w:r w:rsidRPr="009353CA">
        <w:rPr>
          <w:rFonts w:hint="eastAsia"/>
          <w:rtl/>
        </w:rPr>
        <w:t>טעם</w:t>
      </w:r>
      <w:r w:rsidRPr="009353CA">
        <w:rPr>
          <w:rtl/>
        </w:rPr>
        <w:t xml:space="preserve"> </w:t>
      </w:r>
      <w:r w:rsidRPr="009353CA">
        <w:rPr>
          <w:rFonts w:hint="eastAsia"/>
          <w:rtl/>
        </w:rPr>
        <w:t>יש</w:t>
      </w:r>
      <w:r w:rsidRPr="009353CA">
        <w:rPr>
          <w:rtl/>
        </w:rPr>
        <w:t xml:space="preserve"> </w:t>
      </w:r>
      <w:r w:rsidRPr="009353CA">
        <w:rPr>
          <w:rFonts w:hint="eastAsia"/>
          <w:rtl/>
        </w:rPr>
        <w:t>שלא</w:t>
      </w:r>
      <w:r w:rsidRPr="009353CA">
        <w:rPr>
          <w:rtl/>
        </w:rPr>
        <w:t xml:space="preserve"> </w:t>
      </w:r>
      <w:r w:rsidRPr="009353CA">
        <w:rPr>
          <w:rFonts w:hint="eastAsia"/>
          <w:rtl/>
        </w:rPr>
        <w:t>להחיל</w:t>
      </w:r>
      <w:r w:rsidRPr="009353CA">
        <w:rPr>
          <w:rtl/>
        </w:rPr>
        <w:t xml:space="preserve"> </w:t>
      </w:r>
      <w:r w:rsidRPr="009353CA">
        <w:rPr>
          <w:rFonts w:hint="eastAsia"/>
          <w:rtl/>
        </w:rPr>
        <w:t>את</w:t>
      </w:r>
      <w:r w:rsidRPr="009353CA">
        <w:rPr>
          <w:rtl/>
        </w:rPr>
        <w:t xml:space="preserve"> </w:t>
      </w:r>
      <w:r w:rsidRPr="009353CA">
        <w:rPr>
          <w:rFonts w:hint="eastAsia"/>
          <w:rtl/>
        </w:rPr>
        <w:t>החזקה</w:t>
      </w:r>
      <w:r w:rsidRPr="009353CA">
        <w:rPr>
          <w:rtl/>
        </w:rPr>
        <w:t xml:space="preserve"> </w:t>
      </w:r>
      <w:r w:rsidRPr="009353CA">
        <w:rPr>
          <w:rFonts w:hint="eastAsia"/>
          <w:rtl/>
        </w:rPr>
        <w:t>לצד</w:t>
      </w:r>
      <w:r w:rsidRPr="009353CA">
        <w:rPr>
          <w:rtl/>
        </w:rPr>
        <w:t xml:space="preserve"> </w:t>
      </w:r>
      <w:r w:rsidRPr="009353CA">
        <w:rPr>
          <w:rFonts w:hint="eastAsia"/>
          <w:rtl/>
        </w:rPr>
        <w:t>החוק</w:t>
      </w:r>
      <w:r w:rsidRPr="009353CA">
        <w:rPr>
          <w:rtl/>
        </w:rPr>
        <w:t xml:space="preserve"> </w:t>
      </w:r>
      <w:r w:rsidRPr="009353CA">
        <w:rPr>
          <w:rFonts w:hint="eastAsia"/>
          <w:rtl/>
        </w:rPr>
        <w:t>בלי</w:t>
      </w:r>
      <w:r w:rsidRPr="009353CA">
        <w:rPr>
          <w:rtl/>
        </w:rPr>
        <w:t xml:space="preserve"> </w:t>
      </w:r>
      <w:r w:rsidRPr="009353CA">
        <w:rPr>
          <w:rFonts w:hint="eastAsia"/>
          <w:rtl/>
        </w:rPr>
        <w:t>להזדקק</w:t>
      </w:r>
      <w:r w:rsidRPr="009353CA">
        <w:rPr>
          <w:rtl/>
        </w:rPr>
        <w:t xml:space="preserve"> </w:t>
      </w:r>
      <w:r w:rsidRPr="009353CA">
        <w:rPr>
          <w:rFonts w:hint="eastAsia"/>
          <w:rtl/>
        </w:rPr>
        <w:t>לקונסטרוקציה</w:t>
      </w:r>
      <w:r w:rsidRPr="009353CA">
        <w:rPr>
          <w:rtl/>
        </w:rPr>
        <w:t xml:space="preserve"> </w:t>
      </w:r>
      <w:r w:rsidRPr="009353CA">
        <w:rPr>
          <w:rFonts w:hint="eastAsia"/>
          <w:rtl/>
        </w:rPr>
        <w:t>כזו</w:t>
      </w:r>
      <w:r w:rsidRPr="009353CA">
        <w:rPr>
          <w:rtl/>
        </w:rPr>
        <w:t xml:space="preserve">, </w:t>
      </w:r>
      <w:r w:rsidRPr="009353CA">
        <w:rPr>
          <w:rFonts w:hint="eastAsia"/>
          <w:rtl/>
        </w:rPr>
        <w:t>ובאופן</w:t>
      </w:r>
      <w:r w:rsidRPr="009353CA">
        <w:rPr>
          <w:rtl/>
        </w:rPr>
        <w:t xml:space="preserve"> </w:t>
      </w:r>
      <w:r w:rsidRPr="009353CA">
        <w:rPr>
          <w:rFonts w:hint="eastAsia"/>
          <w:rtl/>
        </w:rPr>
        <w:t>המתיישב</w:t>
      </w:r>
      <w:r w:rsidRPr="009353CA">
        <w:rPr>
          <w:rtl/>
        </w:rPr>
        <w:t xml:space="preserve"> </w:t>
      </w:r>
      <w:r w:rsidRPr="009353CA">
        <w:rPr>
          <w:rFonts w:hint="eastAsia"/>
          <w:rtl/>
        </w:rPr>
        <w:t>היטב</w:t>
      </w:r>
      <w:r w:rsidRPr="009353CA">
        <w:rPr>
          <w:rtl/>
        </w:rPr>
        <w:t xml:space="preserve"> </w:t>
      </w:r>
      <w:r w:rsidRPr="009353CA">
        <w:rPr>
          <w:rFonts w:hint="eastAsia"/>
          <w:rtl/>
        </w:rPr>
        <w:t>עם</w:t>
      </w:r>
      <w:r w:rsidRPr="009353CA">
        <w:rPr>
          <w:rtl/>
        </w:rPr>
        <w:t xml:space="preserve"> </w:t>
      </w:r>
      <w:r w:rsidRPr="009353CA">
        <w:rPr>
          <w:rFonts w:hint="eastAsia"/>
          <w:rtl/>
        </w:rPr>
        <w:t>דיני</w:t>
      </w:r>
      <w:r w:rsidRPr="009353CA">
        <w:rPr>
          <w:rtl/>
        </w:rPr>
        <w:t xml:space="preserve"> </w:t>
      </w:r>
      <w:r w:rsidRPr="009353CA">
        <w:rPr>
          <w:rFonts w:hint="eastAsia"/>
          <w:rtl/>
        </w:rPr>
        <w:t>המתנה</w:t>
      </w:r>
      <w:r w:rsidRPr="009353CA">
        <w:rPr>
          <w:rtl/>
        </w:rPr>
        <w:t xml:space="preserve">, </w:t>
      </w:r>
      <w:r w:rsidRPr="009353CA">
        <w:rPr>
          <w:rFonts w:hint="eastAsia"/>
          <w:rtl/>
        </w:rPr>
        <w:t>דיני</w:t>
      </w:r>
      <w:r w:rsidRPr="009353CA">
        <w:rPr>
          <w:rtl/>
        </w:rPr>
        <w:t xml:space="preserve"> </w:t>
      </w:r>
      <w:r w:rsidRPr="009353CA">
        <w:rPr>
          <w:rFonts w:hint="eastAsia"/>
          <w:rtl/>
        </w:rPr>
        <w:t>המקרקעין</w:t>
      </w:r>
      <w:r w:rsidRPr="009353CA">
        <w:rPr>
          <w:rtl/>
        </w:rPr>
        <w:t xml:space="preserve"> </w:t>
      </w:r>
      <w:r w:rsidRPr="009353CA">
        <w:rPr>
          <w:rFonts w:hint="eastAsia"/>
          <w:rtl/>
        </w:rPr>
        <w:t>וכוונת</w:t>
      </w:r>
      <w:r w:rsidRPr="009353CA">
        <w:rPr>
          <w:rtl/>
        </w:rPr>
        <w:t xml:space="preserve"> </w:t>
      </w:r>
      <w:r w:rsidRPr="009353CA">
        <w:rPr>
          <w:rFonts w:hint="eastAsia"/>
          <w:rtl/>
        </w:rPr>
        <w:t>הצדדים</w:t>
      </w:r>
      <w:r w:rsidRPr="009353CA">
        <w:rPr>
          <w:rtl/>
        </w:rPr>
        <w:t xml:space="preserve"> </w:t>
      </w:r>
      <w:r w:rsidRPr="009353CA">
        <w:rPr>
          <w:rFonts w:hint="eastAsia"/>
          <w:rtl/>
        </w:rPr>
        <w:t>גם</w:t>
      </w:r>
      <w:r w:rsidRPr="009353CA">
        <w:rPr>
          <w:rtl/>
        </w:rPr>
        <w:t xml:space="preserve"> </w:t>
      </w:r>
      <w:r w:rsidRPr="009353CA">
        <w:rPr>
          <w:rFonts w:hint="eastAsia"/>
          <w:rtl/>
        </w:rPr>
        <w:t>יחד</w:t>
      </w:r>
      <w:r w:rsidRPr="009353CA">
        <w:rPr>
          <w:rtl/>
        </w:rPr>
        <w:t>?</w:t>
      </w:r>
      <w:r w:rsidRPr="009353CA">
        <w:rPr>
          <w:rFonts w:hint="cs"/>
          <w:rtl/>
        </w:rPr>
        <w:t>" (</w:t>
      </w:r>
      <w:r>
        <w:rPr>
          <w:rFonts w:hint="cs"/>
          <w:rtl/>
        </w:rPr>
        <w:t xml:space="preserve">ראו: </w:t>
      </w:r>
      <w:r w:rsidRPr="00106F85">
        <w:rPr>
          <w:rFonts w:ascii="Century" w:hAnsi="Century" w:hint="eastAsia"/>
          <w:rtl/>
        </w:rPr>
        <w:t>שם</w:t>
      </w:r>
      <w:r w:rsidRPr="00106F85">
        <w:rPr>
          <w:rFonts w:ascii="Century" w:hAnsi="Century"/>
          <w:rtl/>
        </w:rPr>
        <w:t>,</w:t>
      </w:r>
      <w:r w:rsidRPr="009353CA">
        <w:rPr>
          <w:rFonts w:ascii="Century" w:hAnsi="Century" w:cs="Miriam" w:hint="cs"/>
          <w:b/>
          <w:spacing w:val="0"/>
          <w:szCs w:val="24"/>
          <w:rtl/>
        </w:rPr>
        <w:t xml:space="preserve"> </w:t>
      </w:r>
      <w:r w:rsidRPr="009353CA">
        <w:rPr>
          <w:rFonts w:ascii="Century" w:hAnsi="Century" w:hint="cs"/>
          <w:rtl/>
        </w:rPr>
        <w:t>בעמ' 608).</w:t>
      </w:r>
    </w:p>
    <w:p w:rsidR="00917458" w:rsidRPr="009353CA" w:rsidRDefault="00917458" w:rsidP="00917458">
      <w:pPr>
        <w:pStyle w:val="Ruller4"/>
        <w:numPr>
          <w:ilvl w:val="0"/>
          <w:numId w:val="0"/>
        </w:numPr>
      </w:pPr>
    </w:p>
    <w:p w:rsidR="00917458" w:rsidRPr="009353CA" w:rsidRDefault="00917458" w:rsidP="00917458">
      <w:pPr>
        <w:pStyle w:val="Ruller4"/>
        <w:rPr>
          <w:rtl/>
        </w:rPr>
      </w:pPr>
      <w:r w:rsidRPr="009353CA">
        <w:rPr>
          <w:rFonts w:hint="cs"/>
          <w:rtl/>
        </w:rPr>
        <w:t xml:space="preserve">בכל הכבוד הראוי, הנני סבור כי החוק אינו סובל את ה"קונסטרוקציה הפרובלמטית" שבה עסקינן. מצב דברים זה טעון אפוא תיקון. </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משפט משווה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לדוקטרינת השיתוף הספציפי אין אח ורע בשיטות משפט מקבילות של ארצות</w:t>
      </w:r>
      <w:r>
        <w:rPr>
          <w:rFonts w:hint="cs"/>
          <w:rtl/>
        </w:rPr>
        <w:t xml:space="preserve"> </w:t>
      </w:r>
      <w:r w:rsidRPr="009353CA">
        <w:rPr>
          <w:rFonts w:hint="cs"/>
          <w:rtl/>
        </w:rPr>
        <w:t xml:space="preserve">הברית, של קנדה ושל אנגליה. עובדה זו, אף היא מציבה סימני שאלה לגבי נכונותה של דוקטרינת השיתוף הספציפי. </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למשל, הדין של קליפורניה, הזהה במהותו לדיניהן של מדינות רבות אחרות של ארצות הברית, קובע במפורש כדלקמן:</w:t>
      </w:r>
    </w:p>
    <w:p w:rsidR="00917458" w:rsidRPr="009353CA" w:rsidRDefault="00917458" w:rsidP="00917458">
      <w:pPr>
        <w:pStyle w:val="Ruller41"/>
        <w:rPr>
          <w:rtl/>
        </w:rPr>
      </w:pPr>
    </w:p>
    <w:p w:rsidR="00917458" w:rsidRPr="009353CA" w:rsidRDefault="00917458" w:rsidP="00917458">
      <w:pPr>
        <w:pStyle w:val="Ruller5"/>
        <w:bidi w:val="0"/>
        <w:rPr>
          <w:rFonts w:asciiTheme="majorBidi" w:hAnsiTheme="majorBidi" w:cstheme="majorBidi"/>
          <w:sz w:val="24"/>
          <w:szCs w:val="24"/>
        </w:rPr>
      </w:pPr>
      <w:r w:rsidRPr="009353CA">
        <w:rPr>
          <w:rFonts w:asciiTheme="majorBidi" w:hAnsiTheme="majorBidi" w:cstheme="majorBidi"/>
          <w:sz w:val="24"/>
          <w:szCs w:val="24"/>
        </w:rPr>
        <w:t>“[a] transmutation of real or personal property is not valid unless made in writing by an express declaration that is made, joined in, consented to, or accepted by the spouse whose interest in the property is adversely affected.” Cal. Fam. Code § 852(a).</w:t>
      </w:r>
    </w:p>
    <w:p w:rsidR="00917458" w:rsidRPr="009353CA" w:rsidRDefault="00917458" w:rsidP="00917458">
      <w:pPr>
        <w:pStyle w:val="Ruller41"/>
        <w:rPr>
          <w:rFonts w:ascii="Century" w:hAnsi="Century"/>
          <w:rtl/>
        </w:rPr>
      </w:pPr>
    </w:p>
    <w:p w:rsidR="00917458" w:rsidRPr="009353CA" w:rsidRDefault="00917458" w:rsidP="00917458">
      <w:pPr>
        <w:pStyle w:val="Ruller41"/>
        <w:rPr>
          <w:rFonts w:asciiTheme="majorBidi" w:hAnsiTheme="majorBidi" w:cstheme="majorBidi"/>
          <w:rtl/>
        </w:rPr>
      </w:pPr>
      <w:r w:rsidRPr="009353CA">
        <w:rPr>
          <w:rFonts w:ascii="Century" w:hAnsi="Century"/>
          <w:rtl/>
        </w:rPr>
        <w:lastRenderedPageBreak/>
        <w:tab/>
      </w:r>
      <w:r w:rsidRPr="009353CA">
        <w:rPr>
          <w:rFonts w:ascii="Century" w:hAnsi="Century" w:hint="cs"/>
          <w:rtl/>
        </w:rPr>
        <w:t xml:space="preserve">בפסק דין מנחה אשר יישם כלל ברור זה, קבע בית המשפט העליון של קליפורניה דברים ברורים עוד יותר: </w:t>
      </w:r>
    </w:p>
    <w:p w:rsidR="00917458" w:rsidRPr="009353CA" w:rsidRDefault="00917458" w:rsidP="00917458">
      <w:pPr>
        <w:pStyle w:val="Ruller41"/>
        <w:rPr>
          <w:rFonts w:asciiTheme="majorBidi" w:hAnsiTheme="majorBidi" w:cstheme="majorBidi"/>
        </w:rPr>
      </w:pPr>
    </w:p>
    <w:p w:rsidR="00917458" w:rsidRPr="009353CA" w:rsidRDefault="00917458" w:rsidP="00917458">
      <w:pPr>
        <w:pStyle w:val="Ruller5"/>
        <w:bidi w:val="0"/>
        <w:rPr>
          <w:rFonts w:asciiTheme="majorBidi" w:hAnsiTheme="majorBidi" w:cstheme="majorBidi"/>
          <w:sz w:val="24"/>
          <w:szCs w:val="24"/>
        </w:rPr>
      </w:pPr>
      <w:r w:rsidRPr="009353CA">
        <w:rPr>
          <w:rFonts w:asciiTheme="majorBidi" w:hAnsiTheme="majorBidi" w:cstheme="majorBidi"/>
          <w:sz w:val="24"/>
          <w:szCs w:val="24"/>
        </w:rPr>
        <w:t xml:space="preserve">“There is no question that the </w:t>
      </w:r>
      <w:r>
        <w:rPr>
          <w:rFonts w:asciiTheme="majorBidi" w:hAnsiTheme="majorBidi" w:cstheme="majorBidi"/>
          <w:sz w:val="24"/>
          <w:szCs w:val="24"/>
        </w:rPr>
        <w:t>l</w:t>
      </w:r>
      <w:r w:rsidRPr="009353CA">
        <w:rPr>
          <w:rFonts w:asciiTheme="majorBidi" w:hAnsiTheme="majorBidi" w:cstheme="majorBidi"/>
          <w:sz w:val="24"/>
          <w:szCs w:val="24"/>
        </w:rPr>
        <w:t>egislature intended, by enacting [§ 852(a)], to invalidate all solely oral transmutations.”</w:t>
      </w:r>
    </w:p>
    <w:p w:rsidR="00917458" w:rsidRPr="009353CA" w:rsidRDefault="00917458" w:rsidP="00917458">
      <w:pPr>
        <w:pStyle w:val="Ruller5"/>
        <w:bidi w:val="0"/>
        <w:rPr>
          <w:rFonts w:asciiTheme="majorBidi" w:hAnsiTheme="majorBidi" w:cstheme="majorBidi"/>
          <w:i/>
          <w:iCs/>
          <w:sz w:val="24"/>
          <w:szCs w:val="24"/>
        </w:rPr>
      </w:pPr>
    </w:p>
    <w:p w:rsidR="00917458" w:rsidRPr="009353CA" w:rsidRDefault="00917458" w:rsidP="00917458">
      <w:pPr>
        <w:pStyle w:val="Ruller5"/>
        <w:bidi w:val="0"/>
        <w:rPr>
          <w:rFonts w:asciiTheme="majorBidi" w:hAnsiTheme="majorBidi" w:cstheme="majorBidi"/>
          <w:sz w:val="24"/>
          <w:szCs w:val="24"/>
        </w:rPr>
      </w:pPr>
      <w:r w:rsidRPr="009353CA">
        <w:rPr>
          <w:rFonts w:asciiTheme="majorBidi" w:hAnsiTheme="majorBidi" w:cstheme="majorBidi"/>
          <w:i/>
          <w:iCs/>
          <w:sz w:val="24"/>
          <w:szCs w:val="24"/>
        </w:rPr>
        <w:t>Estate of MacDonald</w:t>
      </w:r>
      <w:r w:rsidRPr="009353CA">
        <w:rPr>
          <w:rFonts w:asciiTheme="majorBidi" w:hAnsiTheme="majorBidi" w:cstheme="majorBidi"/>
          <w:sz w:val="24"/>
          <w:szCs w:val="24"/>
        </w:rPr>
        <w:t>, 794 P.2d 911, 916 (Cal. 1990).</w:t>
      </w:r>
    </w:p>
    <w:p w:rsidR="00917458" w:rsidRPr="009353CA" w:rsidRDefault="00917458" w:rsidP="00917458">
      <w:pPr>
        <w:pStyle w:val="Ruller5"/>
        <w:rPr>
          <w:rFonts w:asciiTheme="majorBidi" w:hAnsiTheme="majorBidi" w:cstheme="majorBidi"/>
          <w:sz w:val="24"/>
          <w:szCs w:val="24"/>
          <w:rtl/>
        </w:rPr>
      </w:pPr>
    </w:p>
    <w:p w:rsidR="00917458" w:rsidRPr="009353CA" w:rsidRDefault="00917458" w:rsidP="00917458">
      <w:pPr>
        <w:pStyle w:val="Ruller4"/>
        <w:numPr>
          <w:ilvl w:val="0"/>
          <w:numId w:val="0"/>
        </w:numPr>
        <w:rPr>
          <w:rFonts w:ascii="Century" w:hAnsi="Century"/>
          <w:sz w:val="22"/>
          <w:rtl/>
        </w:rPr>
      </w:pPr>
      <w:r>
        <w:rPr>
          <w:rtl/>
        </w:rPr>
        <w:tab/>
      </w:r>
      <w:r>
        <w:rPr>
          <w:rFonts w:hint="cs"/>
          <w:rtl/>
        </w:rPr>
        <w:t>(</w:t>
      </w:r>
      <w:r w:rsidRPr="009353CA">
        <w:rPr>
          <w:rFonts w:hint="cs"/>
          <w:rtl/>
        </w:rPr>
        <w:t xml:space="preserve">ראו גם: </w:t>
      </w:r>
      <w:r w:rsidRPr="009353CA">
        <w:rPr>
          <w:rFonts w:asciiTheme="majorBidi" w:hAnsiTheme="majorBidi" w:cstheme="majorBidi"/>
        </w:rPr>
        <w:t xml:space="preserve">Nev. Rev. Stat. § 123.130; La. Civ. Code Ann. art. 2343.1; Gabriele v. Gabriele, 421 P.3d 828 (N.M. Ct. App. 2018); </w:t>
      </w:r>
      <w:proofErr w:type="spellStart"/>
      <w:r w:rsidRPr="009353CA">
        <w:rPr>
          <w:rFonts w:asciiTheme="majorBidi" w:hAnsiTheme="majorBidi" w:cstheme="majorBidi"/>
        </w:rPr>
        <w:t>Ustick</w:t>
      </w:r>
      <w:proofErr w:type="spellEnd"/>
      <w:r w:rsidRPr="009353CA">
        <w:rPr>
          <w:rFonts w:asciiTheme="majorBidi" w:hAnsiTheme="majorBidi" w:cstheme="majorBidi"/>
        </w:rPr>
        <w:t xml:space="preserve"> v. </w:t>
      </w:r>
      <w:proofErr w:type="spellStart"/>
      <w:r w:rsidRPr="009353CA">
        <w:rPr>
          <w:rFonts w:asciiTheme="majorBidi" w:hAnsiTheme="majorBidi" w:cstheme="majorBidi"/>
        </w:rPr>
        <w:t>Ustick</w:t>
      </w:r>
      <w:proofErr w:type="spellEnd"/>
      <w:r w:rsidRPr="009353CA">
        <w:rPr>
          <w:rFonts w:asciiTheme="majorBidi" w:hAnsiTheme="majorBidi" w:cstheme="majorBidi"/>
        </w:rPr>
        <w:t xml:space="preserve">, 657 P.2d 1083, 1091 (Idaho Ct. App. 1983); </w:t>
      </w:r>
      <w:proofErr w:type="spellStart"/>
      <w:r w:rsidRPr="009353CA">
        <w:rPr>
          <w:rFonts w:asciiTheme="majorBidi" w:hAnsiTheme="majorBidi" w:cstheme="majorBidi"/>
        </w:rPr>
        <w:t>Sprenger</w:t>
      </w:r>
      <w:proofErr w:type="spellEnd"/>
      <w:r w:rsidRPr="009353CA">
        <w:rPr>
          <w:rFonts w:asciiTheme="majorBidi" w:hAnsiTheme="majorBidi" w:cstheme="majorBidi"/>
        </w:rPr>
        <w:t xml:space="preserve"> v. </w:t>
      </w:r>
      <w:proofErr w:type="spellStart"/>
      <w:r w:rsidRPr="009353CA">
        <w:rPr>
          <w:rFonts w:asciiTheme="majorBidi" w:hAnsiTheme="majorBidi" w:cstheme="majorBidi"/>
        </w:rPr>
        <w:t>Sprenger</w:t>
      </w:r>
      <w:proofErr w:type="spellEnd"/>
      <w:r w:rsidRPr="009353CA">
        <w:rPr>
          <w:rFonts w:asciiTheme="majorBidi" w:hAnsiTheme="majorBidi" w:cstheme="majorBidi"/>
        </w:rPr>
        <w:t xml:space="preserve">, 878 P.2d 284, 286 (Nev. 1994); Price v. Price, No. 2000–G–2320, </w:t>
      </w:r>
      <w:r w:rsidRPr="009353CA">
        <w:rPr>
          <w:rFonts w:asciiTheme="majorBidi" w:hAnsiTheme="majorBidi"/>
        </w:rPr>
        <w:t xml:space="preserve">2002 WL 99534, at *5 (Ohio Ct. App. Jan. 25, 2002); </w:t>
      </w:r>
      <w:r w:rsidRPr="009353CA">
        <w:rPr>
          <w:rFonts w:asciiTheme="majorBidi" w:hAnsiTheme="majorBidi" w:cstheme="majorBidi"/>
        </w:rPr>
        <w:t>Butler v. Butler, 2009-Ohio-5065, at ¶¶ 21–23;</w:t>
      </w:r>
      <w:r w:rsidRPr="009353CA">
        <w:rPr>
          <w:rFonts w:ascii="Arial TUR" w:hAnsi="Arial TUR"/>
          <w:sz w:val="22"/>
        </w:rPr>
        <w:t xml:space="preserve"> </w:t>
      </w:r>
      <w:proofErr w:type="spellStart"/>
      <w:r w:rsidRPr="009353CA">
        <w:rPr>
          <w:rFonts w:asciiTheme="majorBidi" w:hAnsiTheme="majorBidi" w:cstheme="majorBidi"/>
        </w:rPr>
        <w:t>Derr</w:t>
      </w:r>
      <w:proofErr w:type="spellEnd"/>
      <w:r w:rsidRPr="009353CA">
        <w:rPr>
          <w:rFonts w:asciiTheme="majorBidi" w:hAnsiTheme="majorBidi" w:cstheme="majorBidi"/>
        </w:rPr>
        <w:t xml:space="preserve"> v. </w:t>
      </w:r>
      <w:proofErr w:type="spellStart"/>
      <w:r w:rsidRPr="009353CA">
        <w:rPr>
          <w:rFonts w:asciiTheme="majorBidi" w:hAnsiTheme="majorBidi" w:cstheme="majorBidi"/>
        </w:rPr>
        <w:t>Derr</w:t>
      </w:r>
      <w:proofErr w:type="spellEnd"/>
      <w:r w:rsidRPr="009353CA">
        <w:rPr>
          <w:rFonts w:asciiTheme="majorBidi" w:hAnsiTheme="majorBidi" w:cstheme="majorBidi"/>
        </w:rPr>
        <w:t>, 696 N.W.2d 170 (Wis. App. 2005)</w:t>
      </w:r>
      <w:r>
        <w:rPr>
          <w:rFonts w:ascii="Arial TUR" w:hAnsi="Arial TUR" w:hint="cs"/>
          <w:sz w:val="22"/>
          <w:rtl/>
        </w:rPr>
        <w:t>)</w:t>
      </w:r>
      <w:r w:rsidRPr="009353CA">
        <w:rPr>
          <w:rFonts w:ascii="Arial TUR" w:hAnsi="Arial TUR" w:hint="cs"/>
          <w:sz w:val="22"/>
          <w:rtl/>
        </w:rPr>
        <w:t xml:space="preserve">. </w:t>
      </w:r>
    </w:p>
    <w:p w:rsidR="00917458" w:rsidRPr="009353CA" w:rsidRDefault="00917458" w:rsidP="00917458">
      <w:pPr>
        <w:pStyle w:val="Ruller41"/>
        <w:rPr>
          <w:rtl/>
        </w:rPr>
      </w:pPr>
    </w:p>
    <w:p w:rsidR="00917458" w:rsidRPr="009353CA" w:rsidRDefault="00917458" w:rsidP="00917458">
      <w:pPr>
        <w:pStyle w:val="Ruller41"/>
        <w:rPr>
          <w:rtl/>
        </w:rPr>
      </w:pPr>
      <w:r w:rsidRPr="009353CA">
        <w:rPr>
          <w:rtl/>
        </w:rPr>
        <w:tab/>
      </w:r>
      <w:r w:rsidRPr="009353CA">
        <w:rPr>
          <w:rFonts w:hint="cs"/>
          <w:rtl/>
        </w:rPr>
        <w:t>כלל זה מייצג את הגישה הרווחת בארצות הברית, שכאמור איננה מכירה בקיומו של שיתוף ספציפי מכללא.</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גישה זו איננה שונה מזו של הדין הקנדי </w:t>
      </w:r>
      <w:r w:rsidRPr="009353CA">
        <w:rPr>
          <w:rFonts w:ascii="Century" w:hAnsi="Century" w:hint="cs"/>
          <w:sz w:val="22"/>
          <w:rtl/>
        </w:rPr>
        <w:t>(ראו:</w:t>
      </w:r>
      <w:r w:rsidRPr="009353CA">
        <w:rPr>
          <w:rFonts w:hint="cs"/>
          <w:rtl/>
        </w:rPr>
        <w:t xml:space="preserve"> </w:t>
      </w:r>
      <w:r w:rsidRPr="009353CA">
        <w:rPr>
          <w:rFonts w:asciiTheme="majorBidi" w:hAnsiTheme="majorBidi" w:cstheme="majorBidi"/>
          <w:smallCaps/>
        </w:rPr>
        <w:t>CED Family Law—Property</w:t>
      </w:r>
      <w:r w:rsidRPr="009353CA">
        <w:rPr>
          <w:rFonts w:asciiTheme="majorBidi" w:hAnsiTheme="majorBidi" w:cstheme="majorBidi"/>
        </w:rPr>
        <w:t xml:space="preserve"> (4th ed. Oct. 2018 update); </w:t>
      </w:r>
      <w:r w:rsidRPr="009353CA">
        <w:rPr>
          <w:rFonts w:asciiTheme="majorBidi" w:hAnsiTheme="majorBidi"/>
          <w:smallCaps/>
        </w:rPr>
        <w:t>Matrimonial Property Law in Canada</w:t>
      </w:r>
      <w:r w:rsidRPr="009353CA">
        <w:rPr>
          <w:rFonts w:asciiTheme="majorBidi" w:hAnsiTheme="majorBidi"/>
        </w:rPr>
        <w:t xml:space="preserve"> (James G. McLeod &amp; Alfred A. </w:t>
      </w:r>
      <w:proofErr w:type="spellStart"/>
      <w:r w:rsidRPr="009353CA">
        <w:rPr>
          <w:rFonts w:asciiTheme="majorBidi" w:hAnsiTheme="majorBidi"/>
        </w:rPr>
        <w:t>Mamo</w:t>
      </w:r>
      <w:proofErr w:type="spellEnd"/>
      <w:r w:rsidRPr="009353CA">
        <w:rPr>
          <w:rFonts w:asciiTheme="majorBidi" w:hAnsiTheme="majorBidi"/>
        </w:rPr>
        <w:t xml:space="preserve"> eds., 2019 update)</w:t>
      </w:r>
      <w:r w:rsidRPr="009353CA">
        <w:rPr>
          <w:rFonts w:ascii="Century" w:hAnsi="Century" w:hint="cs"/>
          <w:sz w:val="22"/>
          <w:rtl/>
        </w:rPr>
        <w:t xml:space="preserve">; וכן </w:t>
      </w:r>
      <w:r w:rsidRPr="009353CA">
        <w:rPr>
          <w:rFonts w:asciiTheme="majorBidi" w:hAnsiTheme="majorBidi" w:cstheme="majorBidi"/>
        </w:rPr>
        <w:t xml:space="preserve">Kerr v. </w:t>
      </w:r>
      <w:proofErr w:type="spellStart"/>
      <w:r w:rsidRPr="009353CA">
        <w:rPr>
          <w:rFonts w:asciiTheme="majorBidi" w:hAnsiTheme="majorBidi" w:cstheme="majorBidi"/>
        </w:rPr>
        <w:t>Baranow</w:t>
      </w:r>
      <w:proofErr w:type="spellEnd"/>
      <w:r w:rsidRPr="009353CA">
        <w:rPr>
          <w:rFonts w:asciiTheme="majorBidi" w:hAnsiTheme="majorBidi" w:cstheme="majorBidi"/>
        </w:rPr>
        <w:t>, [2011] 1 S.C.R. 269</w:t>
      </w:r>
      <w:r w:rsidRPr="009353CA">
        <w:rPr>
          <w:rFonts w:hint="cs"/>
          <w:rtl/>
        </w:rPr>
        <w:t xml:space="preserve">). זאת, בכפוף לחריג סטטוטורי אשר חוקק בכמה מחוזות של קנדה, ואשר קובע חלוקה שוויונית של בית המגורים של בני הזוג ללא קשר לבעלות הפורמלית באותו בית ולמקורות הכספיים ששימשו ברכישתו (ראו: </w:t>
      </w:r>
      <w:r w:rsidRPr="009353CA">
        <w:rPr>
          <w:rFonts w:asciiTheme="majorBidi" w:hAnsiTheme="majorBidi" w:cstheme="majorBidi"/>
        </w:rPr>
        <w:t xml:space="preserve">Family Law Act s. 4 (Can. Ont.); </w:t>
      </w:r>
      <w:proofErr w:type="gramStart"/>
      <w:r w:rsidRPr="009353CA">
        <w:rPr>
          <w:rFonts w:asciiTheme="majorBidi" w:hAnsiTheme="majorBidi" w:cstheme="majorBidi"/>
        </w:rPr>
        <w:t>The</w:t>
      </w:r>
      <w:proofErr w:type="gramEnd"/>
      <w:r w:rsidRPr="009353CA">
        <w:rPr>
          <w:rFonts w:asciiTheme="majorBidi" w:hAnsiTheme="majorBidi" w:cstheme="majorBidi"/>
        </w:rPr>
        <w:t xml:space="preserve"> Family Property Act s. 22 (Can. Sask.); Family Property and Support Act s. 4 (Can. Yukon)</w:t>
      </w:r>
      <w:r w:rsidRPr="009353CA">
        <w:rPr>
          <w:rFonts w:hint="cs"/>
          <w:rtl/>
        </w:rPr>
        <w:t xml:space="preserve">). </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הדין האנגלי, אף הוא קובע כי שמירה על נכסיו הפרטיים של בן הזוג כשלוֹ בלבד היא בגדר כלל בסיסי ממנו אפשר לסטות רק על ידי התנאה חוזית מפורשת, כדוגמת הקמת נאמנות לטובת בן הזוג נטול הנכסים (ראו, למשל: </w:t>
      </w:r>
      <w:r w:rsidRPr="009353CA">
        <w:rPr>
          <w:rFonts w:asciiTheme="majorBidi" w:hAnsiTheme="majorBidi" w:cstheme="majorBidi"/>
        </w:rPr>
        <w:t>White v. White [2000] UKHL 5</w:t>
      </w:r>
      <w:r w:rsidRPr="009353CA">
        <w:rPr>
          <w:rFonts w:ascii="Century" w:hAnsi="Century" w:hint="cs"/>
          <w:sz w:val="22"/>
          <w:rtl/>
        </w:rPr>
        <w:t xml:space="preserve">). בתוך כך, בבתי המשפט של הממלכה המאוחדת מסתמנת מגמה לקבוע חלוקה שווה של בית המגורים של בני הזוג (ראו: </w:t>
      </w:r>
      <w:r w:rsidRPr="009353CA">
        <w:rPr>
          <w:rFonts w:asciiTheme="majorBidi" w:hAnsiTheme="majorBidi" w:cstheme="majorBidi"/>
        </w:rPr>
        <w:t xml:space="preserve">Brian Sloan, </w:t>
      </w:r>
      <w:r w:rsidRPr="009353CA">
        <w:rPr>
          <w:rFonts w:asciiTheme="majorBidi" w:hAnsiTheme="majorBidi" w:cstheme="majorBidi"/>
          <w:i/>
          <w:iCs/>
        </w:rPr>
        <w:t xml:space="preserve">Keeping Up with the </w:t>
      </w:r>
      <w:r w:rsidRPr="009353CA">
        <w:rPr>
          <w:rFonts w:asciiTheme="majorBidi" w:hAnsiTheme="majorBidi" w:cstheme="majorBidi"/>
        </w:rPr>
        <w:t>Jones</w:t>
      </w:r>
      <w:r w:rsidRPr="009353CA">
        <w:rPr>
          <w:rFonts w:asciiTheme="majorBidi" w:hAnsiTheme="majorBidi" w:cstheme="majorBidi"/>
          <w:i/>
          <w:iCs/>
        </w:rPr>
        <w:t xml:space="preserve"> Case: Establishing Constructive Trusts in ‘Sole Legal Owner’ Scenarios</w:t>
      </w:r>
      <w:r w:rsidRPr="009353CA">
        <w:rPr>
          <w:rFonts w:asciiTheme="majorBidi" w:hAnsiTheme="majorBidi" w:cstheme="majorBidi"/>
        </w:rPr>
        <w:t xml:space="preserve">, 25 </w:t>
      </w:r>
      <w:r w:rsidRPr="009353CA">
        <w:rPr>
          <w:rFonts w:asciiTheme="majorBidi" w:hAnsiTheme="majorBidi" w:cstheme="majorBidi"/>
          <w:smallCaps/>
        </w:rPr>
        <w:t>Legal Stud.</w:t>
      </w:r>
      <w:r w:rsidRPr="009353CA">
        <w:rPr>
          <w:rFonts w:asciiTheme="majorBidi" w:hAnsiTheme="majorBidi" w:cstheme="majorBidi"/>
        </w:rPr>
        <w:t xml:space="preserve"> 226 (2015)</w:t>
      </w:r>
      <w:r w:rsidRPr="009353CA">
        <w:rPr>
          <w:rFonts w:ascii="Century" w:hAnsi="Century" w:hint="cs"/>
          <w:sz w:val="22"/>
          <w:rtl/>
        </w:rPr>
        <w:t xml:space="preserve">) לצד תשלומי איזון עליהם בתי המשפט מוסמכים לצוות </w:t>
      </w:r>
      <w:r w:rsidRPr="009353CA">
        <w:rPr>
          <w:rFonts w:ascii="Century" w:hAnsi="Century" w:hint="cs"/>
          <w:sz w:val="22"/>
          <w:rtl/>
        </w:rPr>
        <w:lastRenderedPageBreak/>
        <w:t xml:space="preserve">במקרים של פירוד במצב של חוסר שוויון קיצוני בין בני הזוג (ראו: </w:t>
      </w:r>
      <w:r w:rsidRPr="009353CA">
        <w:rPr>
          <w:rFonts w:asciiTheme="majorBidi" w:hAnsiTheme="majorBidi" w:cstheme="majorBidi"/>
        </w:rPr>
        <w:t>Miller v. Miller; McFarlane v. McFarlane [2006] 2 AC 618</w:t>
      </w:r>
      <w:r w:rsidRPr="009353CA">
        <w:rPr>
          <w:rFonts w:hint="cs"/>
          <w:rtl/>
        </w:rPr>
        <w:t>).</w:t>
      </w:r>
    </w:p>
    <w:p w:rsidR="00917458" w:rsidRPr="009353CA" w:rsidRDefault="00917458" w:rsidP="00917458">
      <w:pPr>
        <w:pStyle w:val="Ruller41"/>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 xml:space="preserve">התיקון של </w:t>
      </w:r>
      <w:r w:rsidRPr="009353CA">
        <w:rPr>
          <w:rFonts w:ascii="Century" w:hAnsi="Century" w:cs="Miriam" w:hint="eastAsia"/>
          <w:b/>
          <w:spacing w:val="0"/>
          <w:szCs w:val="24"/>
          <w:rtl/>
        </w:rPr>
        <w:t>דוקטרינת</w:t>
      </w:r>
      <w:r w:rsidRPr="009353CA">
        <w:rPr>
          <w:rFonts w:ascii="Century" w:hAnsi="Century" w:cs="Miriam"/>
          <w:b/>
          <w:spacing w:val="0"/>
          <w:szCs w:val="24"/>
          <w:rtl/>
        </w:rPr>
        <w:t xml:space="preserve"> </w:t>
      </w:r>
      <w:r w:rsidRPr="009353CA">
        <w:rPr>
          <w:rFonts w:ascii="Century" w:hAnsi="Century" w:cs="Miriam" w:hint="eastAsia"/>
          <w:b/>
          <w:spacing w:val="0"/>
          <w:szCs w:val="24"/>
          <w:rtl/>
        </w:rPr>
        <w:t>השיתוף</w:t>
      </w:r>
      <w:r w:rsidRPr="009353CA">
        <w:rPr>
          <w:rFonts w:ascii="Century" w:hAnsi="Century" w:cs="Miriam"/>
          <w:b/>
          <w:spacing w:val="0"/>
          <w:szCs w:val="24"/>
          <w:rtl/>
        </w:rPr>
        <w:t xml:space="preserve"> </w:t>
      </w:r>
      <w:r w:rsidRPr="009353CA">
        <w:rPr>
          <w:rFonts w:ascii="Century" w:hAnsi="Century" w:cs="Miriam" w:hint="eastAsia"/>
          <w:b/>
          <w:spacing w:val="0"/>
          <w:szCs w:val="24"/>
          <w:rtl/>
        </w:rPr>
        <w:t>הספציפי</w:t>
      </w:r>
      <w:r w:rsidRPr="009353CA">
        <w:rPr>
          <w:rFonts w:ascii="Century" w:hAnsi="Century" w:cs="Miriam" w:hint="cs"/>
          <w:b/>
          <w:spacing w:val="0"/>
          <w:szCs w:val="24"/>
          <w:rtl/>
        </w:rPr>
        <w:t>: נוסחת השיתוף החדשה</w:t>
      </w:r>
    </w:p>
    <w:p w:rsidR="00917458" w:rsidRPr="009353CA" w:rsidRDefault="00917458" w:rsidP="00917458">
      <w:pPr>
        <w:pStyle w:val="Ruller41"/>
      </w:pPr>
    </w:p>
    <w:p w:rsidR="00917458" w:rsidRPr="009353CA" w:rsidRDefault="00917458" w:rsidP="00917458">
      <w:pPr>
        <w:pStyle w:val="Ruller4"/>
        <w:rPr>
          <w:rtl/>
        </w:rPr>
      </w:pPr>
      <w:r w:rsidRPr="009353CA">
        <w:rPr>
          <w:rFonts w:hint="cs"/>
          <w:rtl/>
        </w:rPr>
        <w:t xml:space="preserve">מהטעמים שמניתי, הנני סבור כי עלינו להחליף את דוקטרינת השיתוף הספציפי במשטר משפטי אחר אשר קובע </w:t>
      </w:r>
      <w:r w:rsidRPr="009353CA">
        <w:rPr>
          <w:rFonts w:ascii="Century" w:hAnsi="Century" w:cs="Miriam" w:hint="cs"/>
          <w:b/>
          <w:spacing w:val="0"/>
          <w:sz w:val="22"/>
          <w:szCs w:val="24"/>
          <w:rtl/>
        </w:rPr>
        <w:t>שיתוף הדרגתי</w:t>
      </w:r>
      <w:r w:rsidRPr="009353CA">
        <w:rPr>
          <w:rFonts w:hint="cs"/>
          <w:rtl/>
        </w:rPr>
        <w:t xml:space="preserve">, שבמסגרתו כל אחד מבני הזוג רוכש בכל שנת נישואין שלפני הפירוד אחוז אחד (1%) מהזכויות בנכסים האישיים של בן או בת זוגו </w:t>
      </w:r>
      <w:r w:rsidRPr="009353CA">
        <w:rPr>
          <w:rtl/>
        </w:rPr>
        <w:t>–</w:t>
      </w:r>
      <w:r w:rsidRPr="009353CA">
        <w:rPr>
          <w:rFonts w:hint="cs"/>
          <w:rtl/>
        </w:rPr>
        <w:t xml:space="preserve"> זאת, זולת אם בני הזוג קבעו ביניהם הסדר אחר בהסכם ממון אשר נערך ואושר בהתאם לחוק יחסי ממון. פתרון זה עדיף על כל יתר הפתרונות לבעיית חוסר האיזון </w:t>
      </w:r>
      <w:proofErr w:type="spellStart"/>
      <w:r w:rsidRPr="009353CA">
        <w:rPr>
          <w:rFonts w:hint="cs"/>
          <w:rtl/>
        </w:rPr>
        <w:t>הרכושי</w:t>
      </w:r>
      <w:proofErr w:type="spellEnd"/>
      <w:r w:rsidRPr="009353CA">
        <w:rPr>
          <w:rFonts w:hint="cs"/>
          <w:rtl/>
        </w:rPr>
        <w:t xml:space="preserve">, לרבות הפתרון שהוצע, אגב הבעת ספקות לגבי נכונותו, על ידי פרופ' </w:t>
      </w:r>
      <w:r w:rsidRPr="009353CA">
        <w:rPr>
          <w:rFonts w:ascii="Century" w:hAnsi="Century" w:cs="Miriam" w:hint="cs"/>
          <w:b/>
          <w:spacing w:val="0"/>
          <w:sz w:val="22"/>
          <w:szCs w:val="24"/>
          <w:rtl/>
        </w:rPr>
        <w:t xml:space="preserve">שרי </w:t>
      </w:r>
      <w:proofErr w:type="spellStart"/>
      <w:r w:rsidRPr="009353CA">
        <w:rPr>
          <w:rFonts w:ascii="Century" w:hAnsi="Century" w:cs="Miriam" w:hint="cs"/>
          <w:b/>
          <w:spacing w:val="0"/>
          <w:sz w:val="22"/>
          <w:szCs w:val="24"/>
          <w:rtl/>
        </w:rPr>
        <w:t>מוטרו</w:t>
      </w:r>
      <w:proofErr w:type="spellEnd"/>
      <w:r w:rsidRPr="009353CA">
        <w:rPr>
          <w:rFonts w:hint="cs"/>
          <w:rtl/>
        </w:rPr>
        <w:t>, שניתחה את הבעיה באופן מיטבי ומשכנע במאמרה הנזכר לעיל. המשטר החדש אשר מוצע על ידי דומה לזה שהוצע על ידי המכון למשפט אמריקני (</w:t>
      </w:r>
      <w:r w:rsidRPr="009353CA">
        <w:rPr>
          <w:rFonts w:asciiTheme="majorBidi" w:hAnsiTheme="majorBidi" w:cstheme="majorBidi"/>
          <w:szCs w:val="24"/>
        </w:rPr>
        <w:t>American Law Institute</w:t>
      </w:r>
      <w:r w:rsidRPr="009353CA">
        <w:rPr>
          <w:rFonts w:hint="cs"/>
          <w:rtl/>
        </w:rPr>
        <w:t xml:space="preserve">, להלן: </w:t>
      </w:r>
      <w:r w:rsidRPr="009353CA">
        <w:rPr>
          <w:rFonts w:asciiTheme="majorBidi" w:hAnsiTheme="majorBidi" w:cstheme="majorBidi"/>
          <w:szCs w:val="24"/>
        </w:rPr>
        <w:t>ALI</w:t>
      </w:r>
      <w:r w:rsidRPr="009353CA">
        <w:rPr>
          <w:rFonts w:hint="cs"/>
          <w:rtl/>
        </w:rPr>
        <w:t xml:space="preserve">), המוסד הרשמי המרכזי אשר עוסק בהאחדה ובפיתוח הדין בארצות הברית. לפי הצעת </w:t>
      </w:r>
      <w:r>
        <w:rPr>
          <w:rFonts w:hint="cs"/>
          <w:rtl/>
        </w:rPr>
        <w:t>ה-</w:t>
      </w:r>
      <w:r w:rsidRPr="009353CA">
        <w:rPr>
          <w:rFonts w:asciiTheme="majorBidi" w:hAnsiTheme="majorBidi" w:cstheme="majorBidi"/>
        </w:rPr>
        <w:t>ALI</w:t>
      </w:r>
      <w:r>
        <w:rPr>
          <w:rFonts w:hint="cs"/>
          <w:rtl/>
        </w:rPr>
        <w:t xml:space="preserve"> </w:t>
      </w:r>
      <w:r>
        <w:rPr>
          <w:rtl/>
        </w:rPr>
        <w:t>–</w:t>
      </w:r>
      <w:r>
        <w:rPr>
          <w:rFonts w:hint="cs"/>
          <w:rtl/>
        </w:rPr>
        <w:t xml:space="preserve"> </w:t>
      </w:r>
      <w:r w:rsidRPr="009353CA">
        <w:rPr>
          <w:rFonts w:hint="cs"/>
          <w:rtl/>
        </w:rPr>
        <w:t xml:space="preserve"> </w:t>
      </w:r>
    </w:p>
    <w:p w:rsidR="00917458" w:rsidRPr="009353CA" w:rsidRDefault="00917458" w:rsidP="00917458">
      <w:pPr>
        <w:pStyle w:val="Ruller41"/>
        <w:rPr>
          <w:rtl/>
        </w:rPr>
      </w:pPr>
    </w:p>
    <w:p w:rsidR="00917458" w:rsidRPr="009353CA" w:rsidRDefault="00917458" w:rsidP="00917458">
      <w:pPr>
        <w:pStyle w:val="af3"/>
        <w:spacing w:line="240" w:lineRule="auto"/>
        <w:ind w:left="1080" w:right="1106"/>
        <w:jc w:val="both"/>
        <w:rPr>
          <w:rFonts w:asciiTheme="majorBidi" w:hAnsiTheme="majorBidi" w:cstheme="majorBidi"/>
        </w:rPr>
      </w:pPr>
      <w:r w:rsidRPr="009353CA">
        <w:rPr>
          <w:rFonts w:asciiTheme="majorBidi" w:hAnsiTheme="majorBidi" w:cstheme="majorBidi"/>
        </w:rPr>
        <w:t xml:space="preserve">(1) In marriages that exceed a minimum duration […] a portion of the separate property that each spouse held at the time of their marriage should be </w:t>
      </w:r>
      <w:proofErr w:type="spellStart"/>
      <w:r w:rsidRPr="009353CA">
        <w:rPr>
          <w:rFonts w:asciiTheme="majorBidi" w:hAnsiTheme="majorBidi" w:cstheme="majorBidi"/>
        </w:rPr>
        <w:t>recharacterized</w:t>
      </w:r>
      <w:proofErr w:type="spellEnd"/>
      <w:r w:rsidRPr="009353CA">
        <w:rPr>
          <w:rFonts w:asciiTheme="majorBidi" w:hAnsiTheme="majorBidi" w:cstheme="majorBidi"/>
        </w:rPr>
        <w:t xml:space="preserve"> at dissolution as marital property. (a) The percentage of separate property that is </w:t>
      </w:r>
      <w:proofErr w:type="spellStart"/>
      <w:r w:rsidRPr="009353CA">
        <w:rPr>
          <w:rFonts w:asciiTheme="majorBidi" w:hAnsiTheme="majorBidi" w:cstheme="majorBidi"/>
        </w:rPr>
        <w:t>recharacterized</w:t>
      </w:r>
      <w:proofErr w:type="spellEnd"/>
      <w:r w:rsidRPr="009353CA">
        <w:rPr>
          <w:rFonts w:asciiTheme="majorBidi" w:hAnsiTheme="majorBidi" w:cstheme="majorBidi"/>
        </w:rPr>
        <w:t xml:space="preserve"> as marital property under Paragraph (1) should be determined by the duration of the marriage, according to a formula. […]</w:t>
      </w:r>
    </w:p>
    <w:p w:rsidR="00917458" w:rsidRPr="009353CA" w:rsidRDefault="00917458" w:rsidP="00917458">
      <w:pPr>
        <w:pStyle w:val="af3"/>
        <w:spacing w:line="240" w:lineRule="auto"/>
        <w:ind w:left="1088" w:right="1106"/>
        <w:jc w:val="both"/>
        <w:rPr>
          <w:rFonts w:asciiTheme="majorBidi" w:hAnsiTheme="majorBidi" w:cstheme="majorBidi"/>
        </w:rPr>
      </w:pPr>
    </w:p>
    <w:p w:rsidR="00917458" w:rsidRPr="009353CA" w:rsidRDefault="00917458" w:rsidP="00917458">
      <w:pPr>
        <w:pStyle w:val="af3"/>
        <w:spacing w:line="240" w:lineRule="auto"/>
        <w:ind w:left="1088" w:right="1106"/>
        <w:jc w:val="both"/>
        <w:rPr>
          <w:rFonts w:asciiTheme="majorBidi" w:hAnsiTheme="majorBidi" w:cstheme="majorBidi"/>
        </w:rPr>
      </w:pPr>
      <w:r w:rsidRPr="009353CA">
        <w:rPr>
          <w:rFonts w:asciiTheme="majorBidi" w:hAnsiTheme="majorBidi" w:cstheme="majorBidi"/>
          <w:smallCaps/>
        </w:rPr>
        <w:t xml:space="preserve">Principles of the Law of Family Dissolution: Analysis and Recommendations </w:t>
      </w:r>
      <w:r w:rsidRPr="009353CA">
        <w:rPr>
          <w:rFonts w:asciiTheme="majorBidi" w:hAnsiTheme="majorBidi" w:cstheme="majorBidi"/>
        </w:rPr>
        <w:t>§ 4.12 (Am. Law Inst. 2002).</w:t>
      </w:r>
    </w:p>
    <w:p w:rsidR="00917458" w:rsidRPr="009353CA" w:rsidRDefault="00917458" w:rsidP="00917458">
      <w:pPr>
        <w:pStyle w:val="Ruller41"/>
        <w:rPr>
          <w:rtl/>
        </w:rPr>
      </w:pPr>
    </w:p>
    <w:p w:rsidR="00917458" w:rsidRPr="009353CA" w:rsidRDefault="00917458" w:rsidP="00917458">
      <w:pPr>
        <w:pStyle w:val="Ruller41"/>
        <w:rPr>
          <w:rtl/>
        </w:rPr>
      </w:pPr>
      <w:r w:rsidRPr="009353CA">
        <w:rPr>
          <w:rtl/>
        </w:rPr>
        <w:tab/>
      </w:r>
      <w:r w:rsidRPr="009353CA">
        <w:rPr>
          <w:rFonts w:hint="cs"/>
          <w:rtl/>
        </w:rPr>
        <w:t xml:space="preserve">במאמר מוסגר, אציין, כי הצעתו האמורה של </w:t>
      </w:r>
      <w:r w:rsidRPr="009353CA">
        <w:rPr>
          <w:rFonts w:asciiTheme="majorBidi" w:hAnsiTheme="majorBidi" w:cstheme="majorBidi"/>
          <w:sz w:val="24"/>
          <w:szCs w:val="24"/>
        </w:rPr>
        <w:t>ALI</w:t>
      </w:r>
      <w:r w:rsidRPr="009353CA">
        <w:rPr>
          <w:rFonts w:hint="cs"/>
          <w:rtl/>
        </w:rPr>
        <w:t xml:space="preserve"> הומלצה במאמר שכתבו הפרופסורים </w:t>
      </w:r>
      <w:r w:rsidRPr="009353CA">
        <w:rPr>
          <w:rFonts w:ascii="Century" w:hAnsi="Century" w:cs="Miriam" w:hint="cs"/>
          <w:b/>
          <w:spacing w:val="0"/>
          <w:szCs w:val="24"/>
          <w:rtl/>
        </w:rPr>
        <w:t>דגן והקר</w:t>
      </w:r>
      <w:r w:rsidRPr="009353CA">
        <w:rPr>
          <w:rFonts w:hint="cs"/>
          <w:rtl/>
        </w:rPr>
        <w:t>, שהזכרתיו לעיל.</w:t>
      </w:r>
    </w:p>
    <w:p w:rsidR="00917458" w:rsidRPr="009353CA" w:rsidRDefault="00917458" w:rsidP="00917458">
      <w:pPr>
        <w:pStyle w:val="Ruller41"/>
      </w:pPr>
    </w:p>
    <w:p w:rsidR="00917458" w:rsidRPr="009353CA" w:rsidRDefault="00917458" w:rsidP="00917458">
      <w:pPr>
        <w:pStyle w:val="Ruller4"/>
        <w:rPr>
          <w:rFonts w:ascii="Century" w:hAnsi="Century"/>
          <w:sz w:val="22"/>
        </w:rPr>
      </w:pPr>
      <w:r w:rsidRPr="009353CA">
        <w:rPr>
          <w:rFonts w:hint="cs"/>
          <w:rtl/>
        </w:rPr>
        <w:t xml:space="preserve">המשטר המוצע על ידי כאן מושתת על הרעיון שבחלוף 50 שנות נישואין וחיים משותפים </w:t>
      </w:r>
      <w:r w:rsidRPr="009353CA">
        <w:rPr>
          <w:rtl/>
        </w:rPr>
        <w:t>–</w:t>
      </w:r>
      <w:r w:rsidRPr="009353CA">
        <w:rPr>
          <w:rFonts w:hint="cs"/>
          <w:rtl/>
        </w:rPr>
        <w:t xml:space="preserve"> במועד המכונה "חתונת הזהב" </w:t>
      </w:r>
      <w:r w:rsidRPr="009353CA">
        <w:rPr>
          <w:rtl/>
        </w:rPr>
        <w:t>–</w:t>
      </w:r>
      <w:r w:rsidRPr="009353CA">
        <w:rPr>
          <w:rFonts w:hint="cs"/>
          <w:rtl/>
        </w:rPr>
        <w:t xml:space="preserve"> בני הזוג החיים יחדיו יחלקו את כלל רכושם, לרבות הרכוש האישי של כל אחד מהם, בחלקים שווים. צבירה הדרגתית של זכויות על ידי אחד מבני הזוג בנכסיו של בן הזוג השני, שתיעשה בדרך זו, תיצור משטר רכושי מאוזן וצודק, אשר ירפא את הפגמים שדוקטרינת השיתוף הספציפי לוקה בהם וימנע את העיוותים הנוצרים בעטיים. במסגרתו של משטר חדש זה, שלא כמו תחת דוקטרינת השיתוף הספציפי הקיימת, שיתוף שווה-זכויות בנכסיהם האישיים של בני הזוג הנשואים ייווצר באופן הדרגתי ומאוזן, ולא באבחה אחת של מַעֲבָר מ-0% ל-50%. </w:t>
      </w:r>
      <w:r w:rsidRPr="009353CA">
        <w:rPr>
          <w:rFonts w:hint="cs"/>
          <w:rtl/>
        </w:rPr>
        <w:lastRenderedPageBreak/>
        <w:t xml:space="preserve">כמו כן יתקן המשטר החדש את המצב האנומלי של שנות נישואין ריקות מבחינת צבירת הזכויות כאמור </w:t>
      </w:r>
      <w:r w:rsidRPr="009353CA">
        <w:rPr>
          <w:rtl/>
        </w:rPr>
        <w:t>–</w:t>
      </w:r>
      <w:r w:rsidRPr="009353CA">
        <w:rPr>
          <w:rFonts w:hint="cs"/>
          <w:rtl/>
        </w:rPr>
        <w:t xml:space="preserve"> אשר פוגע באינטרס </w:t>
      </w:r>
      <w:r>
        <w:rPr>
          <w:rFonts w:hint="cs"/>
          <w:rtl/>
        </w:rPr>
        <w:t>ה</w:t>
      </w:r>
      <w:r w:rsidRPr="009353CA">
        <w:rPr>
          <w:rFonts w:hint="cs"/>
          <w:rtl/>
        </w:rPr>
        <w:t xml:space="preserve">לגיטימי של בן הזוג נטול הרכוש </w:t>
      </w:r>
      <w:r w:rsidRPr="009353CA">
        <w:rPr>
          <w:rtl/>
        </w:rPr>
        <w:t>–</w:t>
      </w:r>
      <w:r w:rsidRPr="009353CA">
        <w:rPr>
          <w:rFonts w:hint="cs"/>
          <w:rtl/>
        </w:rPr>
        <w:t xml:space="preserve"> וייצור ודאות בכל הנוגע לרכישת זכויות שיתוף של בת </w:t>
      </w:r>
      <w:r>
        <w:rPr>
          <w:rFonts w:hint="cs"/>
          <w:rtl/>
        </w:rPr>
        <w:t>ה</w:t>
      </w:r>
      <w:r w:rsidRPr="009353CA">
        <w:rPr>
          <w:rFonts w:hint="cs"/>
          <w:rtl/>
        </w:rPr>
        <w:t xml:space="preserve">זוג בנכסיו האישיים של בן זוגה (ולהיפך). </w:t>
      </w:r>
      <w:r>
        <w:rPr>
          <w:rFonts w:hint="cs"/>
          <w:rtl/>
        </w:rPr>
        <w:t>זאת ועוד</w:t>
      </w:r>
      <w:r w:rsidRPr="009353CA">
        <w:rPr>
          <w:rFonts w:hint="cs"/>
          <w:rtl/>
        </w:rPr>
        <w:t xml:space="preserve">, המשטר החדש </w:t>
      </w:r>
      <w:r>
        <w:rPr>
          <w:rFonts w:hint="cs"/>
          <w:rtl/>
        </w:rPr>
        <w:t xml:space="preserve">יבטל </w:t>
      </w:r>
      <w:r w:rsidRPr="009353CA">
        <w:rPr>
          <w:rFonts w:hint="cs"/>
          <w:rtl/>
        </w:rPr>
        <w:t xml:space="preserve">את </w:t>
      </w:r>
      <w:r w:rsidRPr="009353CA">
        <w:rPr>
          <w:rFonts w:hint="eastAsia"/>
          <w:rtl/>
        </w:rPr>
        <w:t>התמריצים</w:t>
      </w:r>
      <w:r w:rsidRPr="009353CA">
        <w:rPr>
          <w:rtl/>
        </w:rPr>
        <w:t xml:space="preserve"> </w:t>
      </w:r>
      <w:r w:rsidRPr="009353CA">
        <w:rPr>
          <w:rFonts w:hint="eastAsia"/>
          <w:rtl/>
        </w:rPr>
        <w:t>המעוותים</w:t>
      </w:r>
      <w:r w:rsidRPr="009353CA">
        <w:rPr>
          <w:rtl/>
        </w:rPr>
        <w:t xml:space="preserve"> </w:t>
      </w:r>
      <w:r w:rsidRPr="009353CA">
        <w:rPr>
          <w:rFonts w:hint="eastAsia"/>
          <w:rtl/>
        </w:rPr>
        <w:t>להתנהלותו</w:t>
      </w:r>
      <w:r w:rsidRPr="009353CA">
        <w:rPr>
          <w:rtl/>
        </w:rPr>
        <w:t xml:space="preserve"> </w:t>
      </w:r>
      <w:r w:rsidRPr="009353CA">
        <w:rPr>
          <w:rFonts w:hint="eastAsia"/>
          <w:rtl/>
        </w:rPr>
        <w:t>של</w:t>
      </w:r>
      <w:r w:rsidRPr="009353CA">
        <w:rPr>
          <w:rtl/>
        </w:rPr>
        <w:t xml:space="preserve"> </w:t>
      </w:r>
      <w:r w:rsidRPr="009353CA">
        <w:rPr>
          <w:rFonts w:hint="eastAsia"/>
          <w:rtl/>
        </w:rPr>
        <w:t>כל</w:t>
      </w:r>
      <w:r w:rsidRPr="009353CA">
        <w:rPr>
          <w:rtl/>
        </w:rPr>
        <w:t xml:space="preserve"> </w:t>
      </w:r>
      <w:r w:rsidRPr="009353CA">
        <w:rPr>
          <w:rFonts w:hint="eastAsia"/>
          <w:rtl/>
        </w:rPr>
        <w:t>אחד</w:t>
      </w:r>
      <w:r w:rsidRPr="009353CA">
        <w:rPr>
          <w:rtl/>
        </w:rPr>
        <w:t xml:space="preserve"> </w:t>
      </w:r>
      <w:r w:rsidRPr="009353CA">
        <w:rPr>
          <w:rFonts w:hint="eastAsia"/>
          <w:rtl/>
        </w:rPr>
        <w:t>מבני</w:t>
      </w:r>
      <w:r w:rsidRPr="009353CA">
        <w:rPr>
          <w:rtl/>
        </w:rPr>
        <w:t xml:space="preserve"> </w:t>
      </w:r>
      <w:r w:rsidRPr="009353CA">
        <w:rPr>
          <w:rFonts w:hint="eastAsia"/>
          <w:rtl/>
        </w:rPr>
        <w:t>הזוג</w:t>
      </w:r>
      <w:r w:rsidRPr="009353CA">
        <w:rPr>
          <w:rtl/>
        </w:rPr>
        <w:t xml:space="preserve"> </w:t>
      </w:r>
      <w:r w:rsidRPr="009353CA">
        <w:rPr>
          <w:rFonts w:hint="eastAsia"/>
          <w:rtl/>
        </w:rPr>
        <w:t>ביחסיו</w:t>
      </w:r>
      <w:r w:rsidRPr="009353CA">
        <w:rPr>
          <w:rtl/>
        </w:rPr>
        <w:t xml:space="preserve"> </w:t>
      </w:r>
      <w:r w:rsidRPr="009353CA">
        <w:rPr>
          <w:rFonts w:hint="eastAsia"/>
          <w:rtl/>
        </w:rPr>
        <w:t>עם</w:t>
      </w:r>
      <w:r w:rsidRPr="009353CA">
        <w:rPr>
          <w:rtl/>
        </w:rPr>
        <w:t xml:space="preserve"> </w:t>
      </w:r>
      <w:r w:rsidRPr="009353CA">
        <w:rPr>
          <w:rFonts w:hint="eastAsia"/>
          <w:rtl/>
        </w:rPr>
        <w:t>בן</w:t>
      </w:r>
      <w:r w:rsidRPr="009353CA">
        <w:rPr>
          <w:rtl/>
        </w:rPr>
        <w:t xml:space="preserve"> </w:t>
      </w:r>
      <w:r w:rsidRPr="009353CA">
        <w:rPr>
          <w:rFonts w:hint="eastAsia"/>
          <w:rtl/>
        </w:rPr>
        <w:t>או</w:t>
      </w:r>
      <w:r w:rsidRPr="009353CA">
        <w:rPr>
          <w:rtl/>
        </w:rPr>
        <w:t xml:space="preserve"> </w:t>
      </w:r>
      <w:r w:rsidRPr="009353CA">
        <w:rPr>
          <w:rFonts w:hint="eastAsia"/>
          <w:rtl/>
        </w:rPr>
        <w:t>בת</w:t>
      </w:r>
      <w:r w:rsidRPr="009353CA">
        <w:rPr>
          <w:rtl/>
        </w:rPr>
        <w:t xml:space="preserve"> </w:t>
      </w:r>
      <w:r w:rsidRPr="009353CA">
        <w:rPr>
          <w:rFonts w:hint="eastAsia"/>
          <w:rtl/>
        </w:rPr>
        <w:t>זוגו</w:t>
      </w:r>
      <w:r w:rsidRPr="009353CA">
        <w:rPr>
          <w:rtl/>
        </w:rPr>
        <w:t xml:space="preserve">, </w:t>
      </w:r>
      <w:r w:rsidRPr="009353CA">
        <w:rPr>
          <w:rFonts w:hint="cs"/>
          <w:rtl/>
        </w:rPr>
        <w:t>אשר נוצרו ב</w:t>
      </w:r>
      <w:r>
        <w:rPr>
          <w:rFonts w:hint="cs"/>
          <w:rtl/>
        </w:rPr>
        <w:t>חסותה</w:t>
      </w:r>
      <w:r w:rsidRPr="009353CA">
        <w:rPr>
          <w:rFonts w:hint="cs"/>
          <w:rtl/>
        </w:rPr>
        <w:t xml:space="preserve"> של דוקטרינת השיתוף הספציפי. המשטר החדש גם ייתן ביטוי אופטימלי ל</w:t>
      </w:r>
      <w:r w:rsidRPr="009353CA">
        <w:rPr>
          <w:rFonts w:hint="eastAsia"/>
          <w:rtl/>
        </w:rPr>
        <w:t>רצונם</w:t>
      </w:r>
      <w:r w:rsidRPr="009353CA">
        <w:rPr>
          <w:rtl/>
        </w:rPr>
        <w:t xml:space="preserve"> </w:t>
      </w:r>
      <w:r w:rsidRPr="009353CA">
        <w:rPr>
          <w:rFonts w:hint="eastAsia"/>
          <w:rtl/>
        </w:rPr>
        <w:t>הטיפוסי</w:t>
      </w:r>
      <w:r w:rsidRPr="009353CA">
        <w:rPr>
          <w:rtl/>
        </w:rPr>
        <w:t xml:space="preserve"> </w:t>
      </w:r>
      <w:r w:rsidRPr="009353CA">
        <w:rPr>
          <w:rFonts w:hint="eastAsia"/>
          <w:rtl/>
        </w:rPr>
        <w:t>והשכיח</w:t>
      </w:r>
      <w:r w:rsidRPr="009353CA">
        <w:rPr>
          <w:rtl/>
        </w:rPr>
        <w:t xml:space="preserve"> </w:t>
      </w:r>
      <w:r w:rsidRPr="009353CA">
        <w:rPr>
          <w:rFonts w:hint="eastAsia"/>
          <w:rtl/>
        </w:rPr>
        <w:t>של</w:t>
      </w:r>
      <w:r w:rsidRPr="009353CA">
        <w:rPr>
          <w:rtl/>
        </w:rPr>
        <w:t xml:space="preserve"> </w:t>
      </w:r>
      <w:r w:rsidRPr="009353CA">
        <w:rPr>
          <w:rFonts w:hint="eastAsia"/>
          <w:rtl/>
        </w:rPr>
        <w:t>בני</w:t>
      </w:r>
      <w:r w:rsidRPr="009353CA">
        <w:rPr>
          <w:rtl/>
        </w:rPr>
        <w:t xml:space="preserve"> </w:t>
      </w:r>
      <w:r w:rsidRPr="009353CA">
        <w:rPr>
          <w:rFonts w:hint="eastAsia"/>
          <w:rtl/>
        </w:rPr>
        <w:t>הזוג</w:t>
      </w:r>
      <w:r w:rsidRPr="009353CA">
        <w:rPr>
          <w:rtl/>
        </w:rPr>
        <w:t xml:space="preserve"> </w:t>
      </w:r>
      <w:r w:rsidRPr="009353CA">
        <w:rPr>
          <w:rFonts w:hint="eastAsia"/>
          <w:rtl/>
        </w:rPr>
        <w:t>הנישאים</w:t>
      </w:r>
      <w:r w:rsidRPr="009353CA">
        <w:rPr>
          <w:rtl/>
        </w:rPr>
        <w:t xml:space="preserve"> </w:t>
      </w:r>
      <w:r w:rsidRPr="009353CA">
        <w:rPr>
          <w:rFonts w:hint="eastAsia"/>
          <w:rtl/>
        </w:rPr>
        <w:t>במצב</w:t>
      </w:r>
      <w:r w:rsidRPr="009353CA">
        <w:rPr>
          <w:rtl/>
        </w:rPr>
        <w:t xml:space="preserve"> </w:t>
      </w:r>
      <w:r w:rsidRPr="009353CA">
        <w:rPr>
          <w:rFonts w:hint="eastAsia"/>
          <w:rtl/>
        </w:rPr>
        <w:t>של</w:t>
      </w:r>
      <w:r w:rsidRPr="009353CA">
        <w:rPr>
          <w:rtl/>
        </w:rPr>
        <w:t xml:space="preserve"> </w:t>
      </w:r>
      <w:r w:rsidRPr="009353CA">
        <w:rPr>
          <w:rFonts w:hint="eastAsia"/>
          <w:rtl/>
        </w:rPr>
        <w:t>חוסר</w:t>
      </w:r>
      <w:r w:rsidRPr="009353CA">
        <w:rPr>
          <w:rtl/>
        </w:rPr>
        <w:t xml:space="preserve"> </w:t>
      </w:r>
      <w:r w:rsidRPr="009353CA">
        <w:rPr>
          <w:rFonts w:hint="eastAsia"/>
          <w:rtl/>
        </w:rPr>
        <w:t>שוויון</w:t>
      </w:r>
      <w:r w:rsidRPr="009353CA">
        <w:rPr>
          <w:rtl/>
        </w:rPr>
        <w:t xml:space="preserve"> </w:t>
      </w:r>
      <w:r w:rsidRPr="009353CA">
        <w:rPr>
          <w:rFonts w:hint="eastAsia"/>
          <w:rtl/>
        </w:rPr>
        <w:t>רכושי</w:t>
      </w:r>
      <w:r w:rsidRPr="009353CA">
        <w:rPr>
          <w:rFonts w:hint="cs"/>
          <w:rtl/>
        </w:rPr>
        <w:t xml:space="preserve"> ויבטל את </w:t>
      </w:r>
      <w:r w:rsidRPr="009353CA">
        <w:rPr>
          <w:rtl/>
        </w:rPr>
        <w:t>"</w:t>
      </w:r>
      <w:r w:rsidRPr="009353CA">
        <w:rPr>
          <w:rFonts w:hint="eastAsia"/>
          <w:rtl/>
        </w:rPr>
        <w:t>מלכודת</w:t>
      </w:r>
      <w:r w:rsidRPr="009353CA">
        <w:rPr>
          <w:rtl/>
        </w:rPr>
        <w:t xml:space="preserve"> </w:t>
      </w:r>
      <w:r w:rsidRPr="009353CA">
        <w:rPr>
          <w:rFonts w:hint="cs"/>
          <w:rtl/>
        </w:rPr>
        <w:t>ה</w:t>
      </w:r>
      <w:r w:rsidRPr="009353CA">
        <w:rPr>
          <w:rFonts w:hint="eastAsia"/>
          <w:rtl/>
        </w:rPr>
        <w:t>קניין</w:t>
      </w:r>
      <w:r w:rsidRPr="009353CA">
        <w:rPr>
          <w:rtl/>
        </w:rPr>
        <w:t xml:space="preserve">" </w:t>
      </w:r>
      <w:r w:rsidRPr="009353CA">
        <w:rPr>
          <w:rFonts w:hint="cs"/>
          <w:rtl/>
        </w:rPr>
        <w:t xml:space="preserve">של דוקטרינת השיתוף הספציפי. בתוך כך, המשטר החדש גם יאיין את הצורך בעשיית הסכם ממון ברוב המקרים </w:t>
      </w:r>
      <w:r w:rsidRPr="009353CA">
        <w:rPr>
          <w:rFonts w:hint="eastAsia"/>
          <w:rtl/>
        </w:rPr>
        <w:t>של</w:t>
      </w:r>
      <w:r w:rsidRPr="009353CA">
        <w:rPr>
          <w:rtl/>
        </w:rPr>
        <w:t xml:space="preserve"> </w:t>
      </w:r>
      <w:r w:rsidRPr="009353CA">
        <w:rPr>
          <w:rFonts w:hint="eastAsia"/>
          <w:rtl/>
        </w:rPr>
        <w:t>חוסר</w:t>
      </w:r>
      <w:r w:rsidRPr="009353CA">
        <w:rPr>
          <w:rtl/>
        </w:rPr>
        <w:t xml:space="preserve"> </w:t>
      </w:r>
      <w:r w:rsidRPr="009353CA">
        <w:rPr>
          <w:rFonts w:hint="eastAsia"/>
          <w:rtl/>
        </w:rPr>
        <w:t>שוויון</w:t>
      </w:r>
      <w:r w:rsidRPr="009353CA">
        <w:rPr>
          <w:rtl/>
        </w:rPr>
        <w:t xml:space="preserve"> </w:t>
      </w:r>
      <w:r w:rsidRPr="009353CA">
        <w:rPr>
          <w:rFonts w:hint="eastAsia"/>
          <w:rtl/>
        </w:rPr>
        <w:t>רכושי</w:t>
      </w:r>
      <w:r w:rsidRPr="009353CA">
        <w:rPr>
          <w:rFonts w:hint="cs"/>
          <w:rtl/>
        </w:rPr>
        <w:t xml:space="preserve">, על כל הכרוך בכך. </w:t>
      </w:r>
    </w:p>
    <w:p w:rsidR="00917458" w:rsidRPr="009353CA" w:rsidRDefault="00917458" w:rsidP="00917458">
      <w:pPr>
        <w:pStyle w:val="Ruller4"/>
        <w:numPr>
          <w:ilvl w:val="0"/>
          <w:numId w:val="0"/>
        </w:numPr>
        <w:rPr>
          <w:rFonts w:ascii="Century" w:hAnsi="Century"/>
          <w:sz w:val="22"/>
        </w:rPr>
      </w:pPr>
    </w:p>
    <w:p w:rsidR="00917458" w:rsidRPr="009353CA" w:rsidRDefault="00917458" w:rsidP="00917458">
      <w:pPr>
        <w:pStyle w:val="Ruller4"/>
        <w:rPr>
          <w:rFonts w:ascii="Century" w:hAnsi="Century"/>
          <w:sz w:val="22"/>
          <w:rtl/>
        </w:rPr>
      </w:pPr>
      <w:r w:rsidRPr="009353CA">
        <w:rPr>
          <w:rFonts w:hint="cs"/>
          <w:rtl/>
        </w:rPr>
        <w:t xml:space="preserve">באשר לפלטפורמה משפטית </w:t>
      </w:r>
      <w:r w:rsidRPr="009353CA">
        <w:rPr>
          <w:rtl/>
        </w:rPr>
        <w:t>–</w:t>
      </w:r>
      <w:r w:rsidRPr="009353CA">
        <w:rPr>
          <w:rFonts w:hint="cs"/>
          <w:rtl/>
        </w:rPr>
        <w:t xml:space="preserve"> המשטר החדש יושתת על מניעת </w:t>
      </w:r>
      <w:r w:rsidRPr="009353CA">
        <w:rPr>
          <w:rFonts w:ascii="Century" w:hAnsi="Century" w:hint="cs"/>
          <w:sz w:val="22"/>
          <w:rtl/>
        </w:rPr>
        <w:t xml:space="preserve">התעשרותו הבלתי צודקת של בן הזוג בעל הנכסים האישיים על חשבון בת זוגו. כפי שהוסבר על ידי, התעשרות זו באה לידי ביטוי באופן הבא: </w:t>
      </w:r>
      <w:r w:rsidRPr="009353CA">
        <w:rPr>
          <w:rFonts w:ascii="Century" w:hAnsi="Century" w:cs="Miriam" w:hint="cs"/>
          <w:b/>
          <w:spacing w:val="0"/>
          <w:sz w:val="22"/>
          <w:szCs w:val="24"/>
          <w:rtl/>
        </w:rPr>
        <w:t>בן הזוג שבידו נכסים אישיים נפרד מבת זוגו, נטולת נכסים משל עצמה, כאשר הוא מנכס את המאמץ העודף שלה בשמירה על נכסיו האישיים במהלך החיים הזוגיים</w:t>
      </w:r>
      <w:r w:rsidRPr="009353CA">
        <w:rPr>
          <w:rFonts w:hint="cs"/>
          <w:rtl/>
        </w:rPr>
        <w:t xml:space="preserve">. הדוקטרינה המשפטית שנפעילה כדי למנוע ניכוס כאמור היא </w:t>
      </w:r>
      <w:r w:rsidRPr="009353CA">
        <w:rPr>
          <w:rFonts w:ascii="Century" w:hAnsi="Century" w:cs="Miriam" w:hint="cs"/>
          <w:b/>
          <w:spacing w:val="0"/>
          <w:sz w:val="22"/>
          <w:szCs w:val="24"/>
          <w:rtl/>
        </w:rPr>
        <w:t>עשיית עושר ולא במשפט</w:t>
      </w:r>
      <w:r w:rsidRPr="009353CA">
        <w:rPr>
          <w:rFonts w:hint="cs"/>
          <w:rtl/>
        </w:rPr>
        <w:t xml:space="preserve"> </w:t>
      </w:r>
      <w:r w:rsidRPr="009353CA">
        <w:rPr>
          <w:rtl/>
        </w:rPr>
        <w:t>–</w:t>
      </w:r>
      <w:r w:rsidRPr="009353CA">
        <w:rPr>
          <w:rFonts w:hint="cs"/>
          <w:rtl/>
        </w:rPr>
        <w:t xml:space="preserve"> להבדיל מחוזה מכללא. </w:t>
      </w:r>
      <w:r w:rsidRPr="009353CA">
        <w:rPr>
          <w:rFonts w:ascii="Century" w:hAnsi="Century" w:hint="cs"/>
          <w:sz w:val="22"/>
          <w:rtl/>
        </w:rPr>
        <w:t xml:space="preserve">כפועל יוצא מכך, ובשל היות המשטר החדש בלתי תלוי במעשה </w:t>
      </w:r>
      <w:proofErr w:type="spellStart"/>
      <w:r w:rsidRPr="009353CA">
        <w:rPr>
          <w:rFonts w:ascii="Century" w:hAnsi="Century" w:hint="cs"/>
          <w:sz w:val="22"/>
          <w:rtl/>
        </w:rPr>
        <w:t>ההקנייה</w:t>
      </w:r>
      <w:proofErr w:type="spellEnd"/>
      <w:r w:rsidRPr="009353CA">
        <w:rPr>
          <w:rFonts w:ascii="Century" w:hAnsi="Century" w:hint="cs"/>
          <w:sz w:val="22"/>
          <w:rtl/>
        </w:rPr>
        <w:t xml:space="preserve"> או ההענקה של בעל הרכוש, </w:t>
      </w:r>
      <w:r w:rsidRPr="009353CA">
        <w:rPr>
          <w:rFonts w:ascii="Century" w:hAnsi="Century" w:cs="Miriam" w:hint="cs"/>
          <w:b/>
          <w:spacing w:val="0"/>
          <w:sz w:val="22"/>
          <w:szCs w:val="24"/>
          <w:rtl/>
        </w:rPr>
        <w:t>לעניין של נאמנות מינית בין בני הזוג לא תהא עוד שום נפקות</w:t>
      </w:r>
      <w:r w:rsidRPr="009353CA">
        <w:rPr>
          <w:rFonts w:ascii="Century" w:hAnsi="Century" w:hint="cs"/>
          <w:sz w:val="22"/>
          <w:rtl/>
        </w:rPr>
        <w:t xml:space="preserve">. </w:t>
      </w:r>
    </w:p>
    <w:p w:rsidR="00917458" w:rsidRPr="009353CA" w:rsidRDefault="00917458" w:rsidP="00917458">
      <w:pPr>
        <w:pStyle w:val="Ruller41"/>
      </w:pPr>
    </w:p>
    <w:p w:rsidR="00917458" w:rsidRDefault="00917458" w:rsidP="00917458">
      <w:pPr>
        <w:pStyle w:val="Ruller4"/>
        <w:rPr>
          <w:rFonts w:ascii="Century" w:hAnsi="Century"/>
          <w:sz w:val="22"/>
          <w:rtl/>
        </w:rPr>
      </w:pPr>
      <w:r w:rsidRPr="009353CA">
        <w:rPr>
          <w:rFonts w:ascii="Century" w:hAnsi="Century" w:hint="cs"/>
          <w:sz w:val="22"/>
          <w:rtl/>
        </w:rPr>
        <w:t xml:space="preserve">זאת ועוד: ניתוקו של המשטר החדש מהמסגרת המשפטית של הסכם ומדיני החוזים יסיר את המתח הקיים כעת בין </w:t>
      </w:r>
      <w:r w:rsidRPr="009353CA">
        <w:rPr>
          <w:rFonts w:hint="cs"/>
          <w:rtl/>
        </w:rPr>
        <w:t>דוקטרינת השיתוף הספציפי</w:t>
      </w:r>
      <w:r w:rsidRPr="009353CA">
        <w:rPr>
          <w:rFonts w:ascii="Century" w:hAnsi="Century" w:hint="cs"/>
          <w:sz w:val="22"/>
          <w:rtl/>
        </w:rPr>
        <w:t xml:space="preserve"> לבין </w:t>
      </w:r>
      <w:r w:rsidRPr="009353CA">
        <w:rPr>
          <w:rFonts w:ascii="Century" w:hAnsi="Century" w:hint="eastAsia"/>
          <w:sz w:val="22"/>
          <w:rtl/>
        </w:rPr>
        <w:t>דרישות</w:t>
      </w:r>
      <w:r w:rsidRPr="009353CA">
        <w:rPr>
          <w:rFonts w:ascii="Century" w:hAnsi="Century"/>
          <w:sz w:val="22"/>
          <w:rtl/>
        </w:rPr>
        <w:t xml:space="preserve"> </w:t>
      </w:r>
      <w:r w:rsidRPr="009353CA">
        <w:rPr>
          <w:rFonts w:ascii="Century" w:hAnsi="Century" w:hint="eastAsia"/>
          <w:sz w:val="22"/>
          <w:rtl/>
        </w:rPr>
        <w:t>הכתב</w:t>
      </w:r>
      <w:r w:rsidRPr="009353CA">
        <w:rPr>
          <w:rFonts w:ascii="Century" w:hAnsi="Century"/>
          <w:sz w:val="22"/>
          <w:rtl/>
        </w:rPr>
        <w:t xml:space="preserve"> </w:t>
      </w:r>
      <w:r w:rsidRPr="009353CA">
        <w:rPr>
          <w:rFonts w:ascii="Century" w:hAnsi="Century" w:hint="eastAsia"/>
          <w:sz w:val="22"/>
          <w:rtl/>
        </w:rPr>
        <w:t>שבחוק</w:t>
      </w:r>
      <w:r w:rsidRPr="009353CA">
        <w:rPr>
          <w:rFonts w:ascii="Century" w:hAnsi="Century"/>
          <w:sz w:val="22"/>
          <w:rtl/>
        </w:rPr>
        <w:t xml:space="preserve"> </w:t>
      </w:r>
      <w:r w:rsidRPr="009353CA">
        <w:rPr>
          <w:rFonts w:ascii="Century" w:hAnsi="Century" w:hint="eastAsia"/>
          <w:sz w:val="22"/>
          <w:rtl/>
        </w:rPr>
        <w:t>יחסי</w:t>
      </w:r>
      <w:r w:rsidRPr="009353CA">
        <w:rPr>
          <w:rFonts w:ascii="Century" w:hAnsi="Century"/>
          <w:sz w:val="22"/>
          <w:rtl/>
        </w:rPr>
        <w:t xml:space="preserve"> </w:t>
      </w:r>
      <w:r w:rsidRPr="009353CA">
        <w:rPr>
          <w:rFonts w:ascii="Century" w:hAnsi="Century" w:hint="eastAsia"/>
          <w:sz w:val="22"/>
          <w:rtl/>
        </w:rPr>
        <w:t>ממון</w:t>
      </w:r>
      <w:r w:rsidRPr="009353CA">
        <w:rPr>
          <w:rFonts w:ascii="Century" w:hAnsi="Century"/>
          <w:sz w:val="22"/>
          <w:rtl/>
        </w:rPr>
        <w:t xml:space="preserve"> </w:t>
      </w:r>
      <w:r w:rsidRPr="009353CA">
        <w:rPr>
          <w:rFonts w:ascii="Century" w:hAnsi="Century" w:hint="eastAsia"/>
          <w:sz w:val="22"/>
          <w:rtl/>
        </w:rPr>
        <w:t>ובסעיף</w:t>
      </w:r>
      <w:r w:rsidRPr="009353CA">
        <w:rPr>
          <w:rFonts w:ascii="Century" w:hAnsi="Century"/>
          <w:sz w:val="22"/>
          <w:rtl/>
        </w:rPr>
        <w:t xml:space="preserve"> 8 </w:t>
      </w:r>
      <w:r w:rsidRPr="009353CA">
        <w:rPr>
          <w:rFonts w:ascii="Century" w:hAnsi="Century" w:hint="eastAsia"/>
          <w:sz w:val="22"/>
          <w:rtl/>
        </w:rPr>
        <w:t>לחוק</w:t>
      </w:r>
      <w:r w:rsidRPr="009353CA">
        <w:rPr>
          <w:rFonts w:ascii="Century" w:hAnsi="Century"/>
          <w:sz w:val="22"/>
          <w:rtl/>
        </w:rPr>
        <w:t xml:space="preserve"> </w:t>
      </w:r>
      <w:r w:rsidRPr="009353CA">
        <w:rPr>
          <w:rFonts w:ascii="Century" w:hAnsi="Century" w:hint="eastAsia"/>
          <w:sz w:val="22"/>
          <w:rtl/>
        </w:rPr>
        <w:t>המקרקעין</w:t>
      </w:r>
      <w:r w:rsidRPr="009353CA">
        <w:rPr>
          <w:rFonts w:ascii="Century" w:hAnsi="Century"/>
          <w:sz w:val="22"/>
          <w:rtl/>
        </w:rPr>
        <w:t>.</w:t>
      </w:r>
      <w:r w:rsidRPr="009353CA">
        <w:rPr>
          <w:rFonts w:ascii="Century" w:hAnsi="Century" w:hint="cs"/>
          <w:sz w:val="22"/>
          <w:rtl/>
        </w:rPr>
        <w:t xml:space="preserve"> ההלכה החדשה, שאותה אני מציע לקבוע חלף דוקטרינת השיתוף הספציפי, תמלא חלל משפטי שמחוקקנו השאיר בלא הסדרה. קביעתה של הלכה כאמור נופלת אפוא בדל"ת אמותיה של הסמכות השיפוטית הקבועה בסעיף 1 ל</w:t>
      </w:r>
      <w:r w:rsidRPr="009353CA">
        <w:rPr>
          <w:rFonts w:ascii="Century" w:hAnsi="Century" w:hint="eastAsia"/>
          <w:sz w:val="22"/>
          <w:rtl/>
        </w:rPr>
        <w:t>חוק</w:t>
      </w:r>
      <w:r w:rsidRPr="009353CA">
        <w:rPr>
          <w:rFonts w:ascii="Century" w:hAnsi="Century"/>
          <w:sz w:val="22"/>
          <w:rtl/>
        </w:rPr>
        <w:t xml:space="preserve"> </w:t>
      </w:r>
      <w:r w:rsidRPr="009353CA">
        <w:rPr>
          <w:rFonts w:ascii="Century" w:hAnsi="Century" w:hint="eastAsia"/>
          <w:sz w:val="22"/>
          <w:rtl/>
        </w:rPr>
        <w:t>יסודות</w:t>
      </w:r>
      <w:r w:rsidRPr="009353CA">
        <w:rPr>
          <w:rFonts w:ascii="Century" w:hAnsi="Century"/>
          <w:sz w:val="22"/>
          <w:rtl/>
        </w:rPr>
        <w:t xml:space="preserve"> </w:t>
      </w:r>
      <w:r w:rsidRPr="009353CA">
        <w:rPr>
          <w:rFonts w:ascii="Century" w:hAnsi="Century" w:hint="eastAsia"/>
          <w:sz w:val="22"/>
          <w:rtl/>
        </w:rPr>
        <w:t>המשפט</w:t>
      </w:r>
      <w:r w:rsidRPr="009353CA">
        <w:rPr>
          <w:rFonts w:ascii="Century" w:hAnsi="Century"/>
          <w:sz w:val="22"/>
          <w:rtl/>
        </w:rPr>
        <w:t xml:space="preserve">, </w:t>
      </w:r>
      <w:r w:rsidRPr="009353CA">
        <w:rPr>
          <w:rFonts w:ascii="Century" w:hAnsi="Century" w:hint="cs"/>
          <w:sz w:val="22"/>
          <w:rtl/>
        </w:rPr>
        <w:t>ה</w:t>
      </w:r>
      <w:r w:rsidRPr="009353CA">
        <w:rPr>
          <w:rFonts w:ascii="Century" w:hAnsi="Century" w:hint="eastAsia"/>
          <w:sz w:val="22"/>
          <w:rtl/>
        </w:rPr>
        <w:t>תש</w:t>
      </w:r>
      <w:r w:rsidRPr="009353CA">
        <w:rPr>
          <w:rFonts w:ascii="Century" w:hAnsi="Century"/>
          <w:sz w:val="22"/>
          <w:rtl/>
        </w:rPr>
        <w:t>"</w:t>
      </w:r>
      <w:r w:rsidRPr="009353CA">
        <w:rPr>
          <w:rFonts w:ascii="Century" w:hAnsi="Century" w:hint="eastAsia"/>
          <w:sz w:val="22"/>
          <w:rtl/>
        </w:rPr>
        <w:t>ם</w:t>
      </w:r>
      <w:r w:rsidRPr="009353CA">
        <w:rPr>
          <w:rFonts w:ascii="Century" w:hAnsi="Century"/>
          <w:sz w:val="22"/>
          <w:rtl/>
        </w:rPr>
        <w:t>-1980</w:t>
      </w:r>
      <w:r w:rsidRPr="009353CA">
        <w:rPr>
          <w:rFonts w:ascii="Century" w:hAnsi="Century" w:hint="cs"/>
          <w:sz w:val="22"/>
          <w:rtl/>
        </w:rPr>
        <w:t>.</w:t>
      </w:r>
    </w:p>
    <w:p w:rsidR="00917458" w:rsidRDefault="00917458" w:rsidP="00917458">
      <w:pPr>
        <w:pStyle w:val="Ruller41"/>
        <w:rPr>
          <w:rtl/>
        </w:rPr>
      </w:pPr>
    </w:p>
    <w:p w:rsidR="00917458" w:rsidRPr="0039413C" w:rsidRDefault="00917458" w:rsidP="00917458">
      <w:pPr>
        <w:pStyle w:val="Ruller41"/>
        <w:rPr>
          <w:rFonts w:ascii="Century" w:hAnsi="Century" w:cs="Miriam"/>
          <w:b/>
          <w:spacing w:val="0"/>
          <w:szCs w:val="24"/>
          <w:rtl/>
        </w:rPr>
      </w:pPr>
      <w:r w:rsidRPr="0039413C">
        <w:rPr>
          <w:rFonts w:ascii="Century" w:hAnsi="Century" w:cs="Miriam" w:hint="cs"/>
          <w:b/>
          <w:spacing w:val="0"/>
          <w:szCs w:val="24"/>
          <w:rtl/>
        </w:rPr>
        <w:t>הער</w:t>
      </w:r>
      <w:r>
        <w:rPr>
          <w:rFonts w:ascii="Century" w:hAnsi="Century" w:cs="Miriam" w:hint="cs"/>
          <w:b/>
          <w:spacing w:val="0"/>
          <w:szCs w:val="24"/>
          <w:rtl/>
        </w:rPr>
        <w:t>ות</w:t>
      </w:r>
      <w:r w:rsidRPr="0039413C">
        <w:rPr>
          <w:rFonts w:ascii="Century" w:hAnsi="Century" w:cs="Miriam" w:hint="cs"/>
          <w:b/>
          <w:spacing w:val="0"/>
          <w:szCs w:val="24"/>
          <w:rtl/>
        </w:rPr>
        <w:t xml:space="preserve"> נוספ</w:t>
      </w:r>
      <w:r>
        <w:rPr>
          <w:rFonts w:ascii="Century" w:hAnsi="Century" w:cs="Miriam" w:hint="cs"/>
          <w:b/>
          <w:spacing w:val="0"/>
          <w:szCs w:val="24"/>
          <w:rtl/>
        </w:rPr>
        <w:t>ו</w:t>
      </w:r>
      <w:r w:rsidRPr="0039413C">
        <w:rPr>
          <w:rFonts w:ascii="Century" w:hAnsi="Century" w:cs="Miriam" w:hint="cs"/>
          <w:b/>
          <w:spacing w:val="0"/>
          <w:szCs w:val="24"/>
          <w:rtl/>
        </w:rPr>
        <w:t>ת</w:t>
      </w:r>
      <w:r>
        <w:rPr>
          <w:rFonts w:ascii="Century" w:hAnsi="Century" w:cs="Miriam" w:hint="cs"/>
          <w:b/>
          <w:spacing w:val="0"/>
          <w:szCs w:val="24"/>
          <w:rtl/>
        </w:rPr>
        <w:t xml:space="preserve"> בעקבות דבריה של השופטת ד' ברק-ארז</w:t>
      </w:r>
    </w:p>
    <w:p w:rsidR="00917458" w:rsidRPr="0039413C" w:rsidRDefault="00917458" w:rsidP="00917458">
      <w:pPr>
        <w:pStyle w:val="Ruller41"/>
      </w:pPr>
    </w:p>
    <w:p w:rsidR="00917458" w:rsidRPr="0039413C" w:rsidRDefault="00917458" w:rsidP="00917458">
      <w:pPr>
        <w:pStyle w:val="Ruller4"/>
        <w:rPr>
          <w:rFonts w:ascii="Century" w:hAnsi="Century"/>
          <w:sz w:val="22"/>
          <w:rtl/>
        </w:rPr>
      </w:pPr>
      <w:r>
        <w:rPr>
          <w:rFonts w:hint="cs"/>
          <w:rtl/>
        </w:rPr>
        <w:t xml:space="preserve">במאמר מוסגר ובמענה לחברתי, השופטת </w:t>
      </w:r>
      <w:r w:rsidRPr="0039413C">
        <w:rPr>
          <w:rFonts w:ascii="Century" w:hAnsi="Century" w:cs="Miriam" w:hint="cs"/>
          <w:b/>
          <w:spacing w:val="0"/>
          <w:szCs w:val="24"/>
          <w:rtl/>
        </w:rPr>
        <w:t>ד' ברק-ארז</w:t>
      </w:r>
      <w:r>
        <w:rPr>
          <w:rFonts w:hint="cs"/>
          <w:rtl/>
        </w:rPr>
        <w:t xml:space="preserve">, אוסיף ואציין כי אם הערותיה נכונות, ושינויה של נוסחת השיתוף הספציפי, כמוצע על ידי להלן, הוא עניין המסור למחוקק </w:t>
      </w:r>
      <w:r>
        <w:rPr>
          <w:rtl/>
        </w:rPr>
        <w:t>–</w:t>
      </w:r>
      <w:r>
        <w:rPr>
          <w:rFonts w:hint="cs"/>
          <w:rtl/>
        </w:rPr>
        <w:t xml:space="preserve"> ולא לנו </w:t>
      </w:r>
      <w:r>
        <w:rPr>
          <w:rtl/>
        </w:rPr>
        <w:t>–</w:t>
      </w:r>
      <w:r>
        <w:rPr>
          <w:rFonts w:hint="cs"/>
          <w:rtl/>
        </w:rPr>
        <w:t xml:space="preserve"> הרי שיש בכך כדי להטיל ספק ממשי לגבי עצם תקפותה של הלכת השיתוף הספציפי, שכן היא עצמה נולדה וחיה כיציר הפסיקה אשר בא להוסיף לאמור בחוק יחסי ממון, ובמידה לא מבוטלת, אף לסתור את האמור בו בסעיפים 4 ו-5. </w:t>
      </w:r>
      <w:r>
        <w:rPr>
          <w:rFonts w:hint="cs"/>
          <w:rtl/>
        </w:rPr>
        <w:lastRenderedPageBreak/>
        <w:t xml:space="preserve">כפי שכבר ציינתי, הלכת השיתוף הספציפי יצרה משטר משפטי רווי עיוותים וכשלים </w:t>
      </w:r>
      <w:r>
        <w:rPr>
          <w:rtl/>
        </w:rPr>
        <w:t>–</w:t>
      </w:r>
      <w:r>
        <w:rPr>
          <w:rFonts w:hint="cs"/>
          <w:rtl/>
        </w:rPr>
        <w:t xml:space="preserve"> דבר שמחייב את בחינתה מחדש ואת החלפתה בנוסחת שיתוף אחרת אשר תשקף את רצונם הטיפוסי של רוב בני הזוג הנישאים במצב של אי-שוויון רכושי, כמוצע על ידי. </w:t>
      </w:r>
      <w:r w:rsidRPr="0039413C">
        <w:rPr>
          <w:rFonts w:ascii="Century" w:hAnsi="Century" w:cs="Miriam" w:hint="cs"/>
          <w:b/>
          <w:spacing w:val="0"/>
          <w:sz w:val="22"/>
          <w:szCs w:val="24"/>
          <w:rtl/>
        </w:rPr>
        <w:t>אשוב ואדגיש את אשר כבר אמרתי:</w:t>
      </w:r>
      <w:r w:rsidRPr="0039413C">
        <w:rPr>
          <w:rFonts w:ascii="Century" w:hAnsi="Century" w:cs="Miriam" w:hint="cs"/>
          <w:b/>
          <w:spacing w:val="0"/>
          <w:szCs w:val="24"/>
          <w:rtl/>
        </w:rPr>
        <w:t xml:space="preserve"> הפה שקבע הוא הפה שיכול לשנות</w:t>
      </w:r>
      <w:r>
        <w:rPr>
          <w:rFonts w:hint="cs"/>
          <w:rtl/>
        </w:rPr>
        <w:t>.</w:t>
      </w:r>
    </w:p>
    <w:p w:rsidR="00917458" w:rsidRDefault="00917458" w:rsidP="00917458">
      <w:pPr>
        <w:pStyle w:val="Ruller41"/>
        <w:rPr>
          <w:rtl/>
        </w:rPr>
      </w:pPr>
    </w:p>
    <w:p w:rsidR="00917458" w:rsidRPr="0039413C" w:rsidRDefault="00917458" w:rsidP="00917458">
      <w:pPr>
        <w:pStyle w:val="Ruller4"/>
      </w:pPr>
      <w:r>
        <w:rPr>
          <w:rFonts w:hint="cs"/>
          <w:rtl/>
        </w:rPr>
        <w:t xml:space="preserve">חברתי, השופטת </w:t>
      </w:r>
      <w:r w:rsidRPr="00A22AB1">
        <w:rPr>
          <w:rFonts w:ascii="Century" w:hAnsi="Century" w:cs="Miriam" w:hint="cs"/>
          <w:b/>
          <w:spacing w:val="0"/>
          <w:szCs w:val="24"/>
          <w:rtl/>
        </w:rPr>
        <w:t>ברק-ארז</w:t>
      </w:r>
      <w:r>
        <w:rPr>
          <w:rFonts w:hint="cs"/>
          <w:rtl/>
        </w:rPr>
        <w:t xml:space="preserve">, משתיתה את זכותו של בן זוג לשיתוף בנכסו האישי של בן הזוג האחר על חזקה משפטית אשר לשיטתה באה לעשות צדק בין בני הזוג </w:t>
      </w:r>
      <w:r>
        <w:rPr>
          <w:rtl/>
        </w:rPr>
        <w:t>–</w:t>
      </w:r>
      <w:r>
        <w:rPr>
          <w:rFonts w:hint="cs"/>
          <w:rtl/>
        </w:rPr>
        <w:t xml:space="preserve"> זאת, מבלי להיזקק לפעולת </w:t>
      </w:r>
      <w:proofErr w:type="spellStart"/>
      <w:r>
        <w:rPr>
          <w:rFonts w:hint="cs"/>
          <w:rtl/>
        </w:rPr>
        <w:t>ההקנייה</w:t>
      </w:r>
      <w:proofErr w:type="spellEnd"/>
      <w:r>
        <w:rPr>
          <w:rFonts w:hint="cs"/>
          <w:rtl/>
        </w:rPr>
        <w:t xml:space="preserve"> הרצונית של בעל הנכס. גישה זו איננה תואמת את ההלכה הפסוקה אשר משתיתה את השיתוף הספציפי מעיקרו על </w:t>
      </w:r>
      <w:r w:rsidRPr="000D1579">
        <w:rPr>
          <w:rFonts w:ascii="Century" w:hAnsi="Century" w:cs="Miriam" w:hint="cs"/>
          <w:b/>
          <w:spacing w:val="0"/>
          <w:szCs w:val="24"/>
          <w:rtl/>
        </w:rPr>
        <w:t>הקנייה רצונית מצדו של בעל הנכס</w:t>
      </w:r>
      <w:r>
        <w:rPr>
          <w:rFonts w:hint="cs"/>
          <w:rtl/>
        </w:rPr>
        <w:t xml:space="preserve">, שאותה בן הזוג הטוען לשיתוף חייב להוכיח לפי מאזן ההסתברויות </w:t>
      </w:r>
      <w:r>
        <w:rPr>
          <w:rtl/>
        </w:rPr>
        <w:t>–</w:t>
      </w:r>
      <w:r>
        <w:rPr>
          <w:rFonts w:hint="cs"/>
          <w:rtl/>
        </w:rPr>
        <w:t xml:space="preserve"> נטל הוכחה שבעניינו נקבע כי בעצם קיומם של נישואין ממושכים אין די (ראו: הלכת </w:t>
      </w:r>
      <w:r w:rsidRPr="009F07A4">
        <w:rPr>
          <w:rFonts w:ascii="Century" w:hAnsi="Century" w:cs="Miriam" w:hint="cs"/>
          <w:b/>
          <w:spacing w:val="0"/>
          <w:szCs w:val="24"/>
          <w:rtl/>
        </w:rPr>
        <w:t>אבו רומי</w:t>
      </w:r>
      <w:r>
        <w:rPr>
          <w:rFonts w:hint="cs"/>
          <w:rtl/>
        </w:rPr>
        <w:t xml:space="preserve">, בעמ' 184-183; וכן </w:t>
      </w:r>
      <w:r w:rsidRPr="009F07A4">
        <w:rPr>
          <w:rFonts w:ascii="Century" w:hAnsi="Century" w:cs="Miriam" w:hint="eastAsia"/>
          <w:b/>
          <w:spacing w:val="0"/>
          <w:szCs w:val="24"/>
          <w:rtl/>
        </w:rPr>
        <w:t>בע</w:t>
      </w:r>
      <w:r w:rsidRPr="009F07A4">
        <w:rPr>
          <w:rFonts w:ascii="Century" w:hAnsi="Century" w:cs="Miriam"/>
          <w:b/>
          <w:spacing w:val="0"/>
          <w:szCs w:val="24"/>
          <w:rtl/>
        </w:rPr>
        <w:t>"</w:t>
      </w:r>
      <w:r w:rsidRPr="009F07A4">
        <w:rPr>
          <w:rFonts w:ascii="Century" w:hAnsi="Century" w:cs="Miriam" w:hint="eastAsia"/>
          <w:b/>
          <w:spacing w:val="0"/>
          <w:szCs w:val="24"/>
          <w:rtl/>
        </w:rPr>
        <w:t>מ</w:t>
      </w:r>
      <w:r w:rsidRPr="009F07A4">
        <w:rPr>
          <w:rFonts w:ascii="Century" w:hAnsi="Century" w:cs="Miriam"/>
          <w:b/>
          <w:spacing w:val="0"/>
          <w:szCs w:val="24"/>
          <w:rtl/>
        </w:rPr>
        <w:t xml:space="preserve"> </w:t>
      </w:r>
      <w:r w:rsidRPr="009F07A4">
        <w:rPr>
          <w:rFonts w:ascii="Century" w:hAnsi="Century" w:cs="Miriam" w:hint="cs"/>
          <w:b/>
          <w:spacing w:val="0"/>
          <w:szCs w:val="24"/>
          <w:rtl/>
        </w:rPr>
        <w:t xml:space="preserve">1398/11, </w:t>
      </w:r>
      <w:r>
        <w:rPr>
          <w:rFonts w:hint="cs"/>
          <w:rtl/>
        </w:rPr>
        <w:t xml:space="preserve">פסקאות 17-16). כמו כן, סבורני כי גישתה זו של חברתי נוגדת את רצון המחוקק </w:t>
      </w:r>
      <w:r>
        <w:rPr>
          <w:rtl/>
        </w:rPr>
        <w:t>–</w:t>
      </w:r>
      <w:r>
        <w:rPr>
          <w:rFonts w:hint="cs"/>
          <w:rtl/>
        </w:rPr>
        <w:t xml:space="preserve"> אשר הורה בסעיף 4 לחוק יחסי ממון כי </w:t>
      </w:r>
      <w:r w:rsidRPr="00270910">
        <w:rPr>
          <w:rFonts w:ascii="Century" w:hAnsi="Century" w:cs="Miriam" w:hint="cs"/>
          <w:b/>
          <w:spacing w:val="0"/>
          <w:szCs w:val="24"/>
          <w:rtl/>
        </w:rPr>
        <w:t>"</w:t>
      </w:r>
      <w:r w:rsidRPr="00270910">
        <w:rPr>
          <w:rFonts w:ascii="Century" w:hAnsi="Century" w:cs="Miriam" w:hint="eastAsia"/>
          <w:b/>
          <w:spacing w:val="0"/>
          <w:szCs w:val="24"/>
          <w:rtl/>
        </w:rPr>
        <w:t>אין</w:t>
      </w:r>
      <w:r w:rsidRPr="00270910">
        <w:rPr>
          <w:rFonts w:ascii="Century" w:hAnsi="Century" w:cs="Miriam"/>
          <w:b/>
          <w:spacing w:val="0"/>
          <w:szCs w:val="24"/>
          <w:rtl/>
        </w:rPr>
        <w:t xml:space="preserve"> </w:t>
      </w:r>
      <w:r w:rsidRPr="00270910">
        <w:rPr>
          <w:rFonts w:ascii="Century" w:hAnsi="Century" w:cs="Miriam" w:hint="eastAsia"/>
          <w:b/>
          <w:spacing w:val="0"/>
          <w:szCs w:val="24"/>
          <w:rtl/>
        </w:rPr>
        <w:t>בכריתת</w:t>
      </w:r>
      <w:r w:rsidRPr="00270910">
        <w:rPr>
          <w:rFonts w:ascii="Century" w:hAnsi="Century" w:cs="Miriam"/>
          <w:b/>
          <w:spacing w:val="0"/>
          <w:szCs w:val="24"/>
          <w:rtl/>
        </w:rPr>
        <w:t xml:space="preserve"> </w:t>
      </w:r>
      <w:r w:rsidRPr="00270910">
        <w:rPr>
          <w:rFonts w:ascii="Century" w:hAnsi="Century" w:cs="Miriam" w:hint="eastAsia"/>
          <w:b/>
          <w:spacing w:val="0"/>
          <w:szCs w:val="24"/>
          <w:rtl/>
        </w:rPr>
        <w:t>הנישואין</w:t>
      </w:r>
      <w:r w:rsidRPr="00270910">
        <w:rPr>
          <w:rFonts w:ascii="Century" w:hAnsi="Century" w:cs="Miriam"/>
          <w:b/>
          <w:spacing w:val="0"/>
          <w:szCs w:val="24"/>
          <w:rtl/>
        </w:rPr>
        <w:t xml:space="preserve"> </w:t>
      </w:r>
      <w:r w:rsidRPr="00270910">
        <w:rPr>
          <w:rFonts w:ascii="Century" w:hAnsi="Century" w:cs="Miriam" w:hint="eastAsia"/>
          <w:b/>
          <w:spacing w:val="0"/>
          <w:szCs w:val="24"/>
          <w:rtl/>
        </w:rPr>
        <w:t>או</w:t>
      </w:r>
      <w:r w:rsidRPr="00270910">
        <w:rPr>
          <w:rFonts w:ascii="Century" w:hAnsi="Century" w:cs="Miriam"/>
          <w:b/>
          <w:spacing w:val="0"/>
          <w:szCs w:val="24"/>
          <w:rtl/>
        </w:rPr>
        <w:t xml:space="preserve"> </w:t>
      </w:r>
      <w:r w:rsidRPr="00270910">
        <w:rPr>
          <w:rFonts w:ascii="Century" w:hAnsi="Century" w:cs="Miriam" w:hint="eastAsia"/>
          <w:b/>
          <w:spacing w:val="0"/>
          <w:szCs w:val="24"/>
          <w:rtl/>
        </w:rPr>
        <w:t>בקיומם</w:t>
      </w:r>
      <w:r w:rsidRPr="00270910">
        <w:rPr>
          <w:rFonts w:ascii="Century" w:hAnsi="Century" w:cs="Miriam"/>
          <w:b/>
          <w:spacing w:val="0"/>
          <w:szCs w:val="24"/>
          <w:rtl/>
        </w:rPr>
        <w:t xml:space="preserve"> </w:t>
      </w:r>
      <w:r w:rsidRPr="00270910">
        <w:rPr>
          <w:rFonts w:ascii="Century" w:hAnsi="Century" w:cs="Miriam" w:hint="eastAsia"/>
          <w:b/>
          <w:spacing w:val="0"/>
          <w:szCs w:val="24"/>
          <w:rtl/>
        </w:rPr>
        <w:t>כשלעצמם</w:t>
      </w:r>
      <w:r w:rsidRPr="00270910">
        <w:rPr>
          <w:rFonts w:ascii="Century" w:hAnsi="Century" w:cs="Miriam"/>
          <w:b/>
          <w:spacing w:val="0"/>
          <w:szCs w:val="24"/>
          <w:rtl/>
        </w:rPr>
        <w:t xml:space="preserve"> </w:t>
      </w:r>
      <w:r w:rsidRPr="00270910">
        <w:rPr>
          <w:rFonts w:ascii="Century" w:hAnsi="Century" w:cs="Miriam" w:hint="eastAsia"/>
          <w:b/>
          <w:spacing w:val="0"/>
          <w:szCs w:val="24"/>
          <w:rtl/>
        </w:rPr>
        <w:t>כדי</w:t>
      </w:r>
      <w:r w:rsidRPr="00270910">
        <w:rPr>
          <w:rFonts w:ascii="Century" w:hAnsi="Century" w:cs="Miriam"/>
          <w:b/>
          <w:spacing w:val="0"/>
          <w:szCs w:val="24"/>
          <w:rtl/>
        </w:rPr>
        <w:t xml:space="preserve"> </w:t>
      </w:r>
      <w:r w:rsidRPr="00270910">
        <w:rPr>
          <w:rFonts w:ascii="Century" w:hAnsi="Century" w:cs="Miriam" w:hint="eastAsia"/>
          <w:b/>
          <w:spacing w:val="0"/>
          <w:szCs w:val="24"/>
          <w:rtl/>
        </w:rPr>
        <w:t>לפגוע</w:t>
      </w:r>
      <w:r w:rsidRPr="00270910">
        <w:rPr>
          <w:rFonts w:ascii="Century" w:hAnsi="Century" w:cs="Miriam"/>
          <w:b/>
          <w:spacing w:val="0"/>
          <w:szCs w:val="24"/>
          <w:rtl/>
        </w:rPr>
        <w:t xml:space="preserve"> </w:t>
      </w:r>
      <w:proofErr w:type="spellStart"/>
      <w:r w:rsidRPr="00270910">
        <w:rPr>
          <w:rFonts w:ascii="Century" w:hAnsi="Century" w:cs="Miriam" w:hint="eastAsia"/>
          <w:b/>
          <w:spacing w:val="0"/>
          <w:szCs w:val="24"/>
          <w:rtl/>
        </w:rPr>
        <w:t>בקנינים</w:t>
      </w:r>
      <w:proofErr w:type="spellEnd"/>
      <w:r w:rsidRPr="00270910">
        <w:rPr>
          <w:rFonts w:ascii="Century" w:hAnsi="Century" w:cs="Miriam"/>
          <w:b/>
          <w:spacing w:val="0"/>
          <w:szCs w:val="24"/>
          <w:rtl/>
        </w:rPr>
        <w:t xml:space="preserve"> </w:t>
      </w:r>
      <w:r w:rsidRPr="00270910">
        <w:rPr>
          <w:rFonts w:ascii="Century" w:hAnsi="Century" w:cs="Miriam" w:hint="eastAsia"/>
          <w:b/>
          <w:spacing w:val="0"/>
          <w:szCs w:val="24"/>
          <w:rtl/>
        </w:rPr>
        <w:t>של</w:t>
      </w:r>
      <w:r w:rsidRPr="00270910">
        <w:rPr>
          <w:rFonts w:ascii="Century" w:hAnsi="Century" w:cs="Miriam"/>
          <w:b/>
          <w:spacing w:val="0"/>
          <w:szCs w:val="24"/>
          <w:rtl/>
        </w:rPr>
        <w:t xml:space="preserve"> </w:t>
      </w:r>
      <w:r w:rsidRPr="00270910">
        <w:rPr>
          <w:rFonts w:ascii="Century" w:hAnsi="Century" w:cs="Miriam" w:hint="eastAsia"/>
          <w:b/>
          <w:spacing w:val="0"/>
          <w:szCs w:val="24"/>
          <w:rtl/>
        </w:rPr>
        <w:t>בני</w:t>
      </w:r>
      <w:r w:rsidRPr="00270910">
        <w:rPr>
          <w:rFonts w:ascii="Century" w:hAnsi="Century" w:cs="Miriam"/>
          <w:b/>
          <w:spacing w:val="0"/>
          <w:szCs w:val="24"/>
          <w:rtl/>
        </w:rPr>
        <w:t xml:space="preserve"> </w:t>
      </w:r>
      <w:r w:rsidRPr="00270910">
        <w:rPr>
          <w:rFonts w:ascii="Century" w:hAnsi="Century" w:cs="Miriam" w:hint="eastAsia"/>
          <w:b/>
          <w:spacing w:val="0"/>
          <w:szCs w:val="24"/>
          <w:rtl/>
        </w:rPr>
        <w:t>הזוג</w:t>
      </w:r>
      <w:r w:rsidRPr="00270910">
        <w:rPr>
          <w:rFonts w:ascii="Century" w:hAnsi="Century" w:cs="Miriam"/>
          <w:b/>
          <w:spacing w:val="0"/>
          <w:szCs w:val="24"/>
          <w:rtl/>
        </w:rPr>
        <w:t xml:space="preserve">, </w:t>
      </w:r>
      <w:r w:rsidRPr="00270910">
        <w:rPr>
          <w:rFonts w:ascii="Century" w:hAnsi="Century" w:cs="Miriam" w:hint="eastAsia"/>
          <w:b/>
          <w:spacing w:val="0"/>
          <w:szCs w:val="24"/>
          <w:rtl/>
        </w:rPr>
        <w:t>להקנות</w:t>
      </w:r>
      <w:r w:rsidRPr="00270910">
        <w:rPr>
          <w:rFonts w:ascii="Century" w:hAnsi="Century" w:cs="Miriam"/>
          <w:b/>
          <w:spacing w:val="0"/>
          <w:szCs w:val="24"/>
          <w:rtl/>
        </w:rPr>
        <w:t xml:space="preserve"> </w:t>
      </w:r>
      <w:r w:rsidRPr="00270910">
        <w:rPr>
          <w:rFonts w:ascii="Century" w:hAnsi="Century" w:cs="Miriam" w:hint="eastAsia"/>
          <w:b/>
          <w:spacing w:val="0"/>
          <w:szCs w:val="24"/>
          <w:rtl/>
        </w:rPr>
        <w:t>לאחד</w:t>
      </w:r>
      <w:r w:rsidRPr="00270910">
        <w:rPr>
          <w:rFonts w:ascii="Century" w:hAnsi="Century" w:cs="Miriam"/>
          <w:b/>
          <w:spacing w:val="0"/>
          <w:szCs w:val="24"/>
          <w:rtl/>
        </w:rPr>
        <w:t xml:space="preserve"> </w:t>
      </w:r>
      <w:r w:rsidRPr="00270910">
        <w:rPr>
          <w:rFonts w:ascii="Century" w:hAnsi="Century" w:cs="Miriam" w:hint="eastAsia"/>
          <w:b/>
          <w:spacing w:val="0"/>
          <w:szCs w:val="24"/>
          <w:rtl/>
        </w:rPr>
        <w:t>מהם</w:t>
      </w:r>
      <w:r w:rsidRPr="00270910">
        <w:rPr>
          <w:rFonts w:ascii="Century" w:hAnsi="Century" w:cs="Miriam"/>
          <w:b/>
          <w:spacing w:val="0"/>
          <w:szCs w:val="24"/>
          <w:rtl/>
        </w:rPr>
        <w:t xml:space="preserve"> </w:t>
      </w:r>
      <w:r w:rsidRPr="00270910">
        <w:rPr>
          <w:rFonts w:ascii="Century" w:hAnsi="Century" w:cs="Miriam" w:hint="eastAsia"/>
          <w:b/>
          <w:spacing w:val="0"/>
          <w:szCs w:val="24"/>
          <w:rtl/>
        </w:rPr>
        <w:t>זכויות</w:t>
      </w:r>
      <w:r w:rsidRPr="00270910">
        <w:rPr>
          <w:rFonts w:ascii="Century" w:hAnsi="Century" w:cs="Miriam"/>
          <w:b/>
          <w:spacing w:val="0"/>
          <w:szCs w:val="24"/>
          <w:rtl/>
        </w:rPr>
        <w:t xml:space="preserve"> </w:t>
      </w:r>
      <w:r w:rsidRPr="00270910">
        <w:rPr>
          <w:rFonts w:ascii="Century" w:hAnsi="Century" w:cs="Miriam" w:hint="eastAsia"/>
          <w:b/>
          <w:spacing w:val="0"/>
          <w:szCs w:val="24"/>
          <w:rtl/>
        </w:rPr>
        <w:t>בנכסי</w:t>
      </w:r>
      <w:r w:rsidRPr="00270910">
        <w:rPr>
          <w:rFonts w:ascii="Century" w:hAnsi="Century" w:cs="Miriam"/>
          <w:b/>
          <w:spacing w:val="0"/>
          <w:szCs w:val="24"/>
          <w:rtl/>
        </w:rPr>
        <w:t xml:space="preserve"> </w:t>
      </w:r>
      <w:r w:rsidRPr="00270910">
        <w:rPr>
          <w:rFonts w:ascii="Century" w:hAnsi="Century" w:cs="Miriam" w:hint="eastAsia"/>
          <w:b/>
          <w:spacing w:val="0"/>
          <w:szCs w:val="24"/>
          <w:rtl/>
        </w:rPr>
        <w:t>השני</w:t>
      </w:r>
      <w:r w:rsidRPr="00270910">
        <w:rPr>
          <w:rFonts w:ascii="Century" w:hAnsi="Century" w:cs="Miriam"/>
          <w:b/>
          <w:spacing w:val="0"/>
          <w:szCs w:val="24"/>
          <w:rtl/>
        </w:rPr>
        <w:t xml:space="preserve"> </w:t>
      </w:r>
      <w:r w:rsidRPr="00270910">
        <w:rPr>
          <w:rFonts w:ascii="Century" w:hAnsi="Century" w:cs="Miriam" w:hint="eastAsia"/>
          <w:b/>
          <w:spacing w:val="0"/>
          <w:szCs w:val="24"/>
          <w:rtl/>
        </w:rPr>
        <w:t>או</w:t>
      </w:r>
      <w:r w:rsidRPr="00270910">
        <w:rPr>
          <w:rFonts w:ascii="Century" w:hAnsi="Century" w:cs="Miriam"/>
          <w:b/>
          <w:spacing w:val="0"/>
          <w:szCs w:val="24"/>
          <w:rtl/>
        </w:rPr>
        <w:t xml:space="preserve"> </w:t>
      </w:r>
      <w:r w:rsidRPr="00270910">
        <w:rPr>
          <w:rFonts w:ascii="Century" w:hAnsi="Century" w:cs="Miriam" w:hint="eastAsia"/>
          <w:b/>
          <w:spacing w:val="0"/>
          <w:szCs w:val="24"/>
          <w:rtl/>
        </w:rPr>
        <w:t>להטיל</w:t>
      </w:r>
      <w:r w:rsidRPr="00270910">
        <w:rPr>
          <w:rFonts w:ascii="Century" w:hAnsi="Century" w:cs="Miriam"/>
          <w:b/>
          <w:spacing w:val="0"/>
          <w:szCs w:val="24"/>
          <w:rtl/>
        </w:rPr>
        <w:t xml:space="preserve"> </w:t>
      </w:r>
      <w:r w:rsidRPr="00270910">
        <w:rPr>
          <w:rFonts w:ascii="Century" w:hAnsi="Century" w:cs="Miriam" w:hint="eastAsia"/>
          <w:b/>
          <w:spacing w:val="0"/>
          <w:szCs w:val="24"/>
          <w:rtl/>
        </w:rPr>
        <w:t>עליו</w:t>
      </w:r>
      <w:r w:rsidRPr="00270910">
        <w:rPr>
          <w:rFonts w:ascii="Century" w:hAnsi="Century" w:cs="Miriam"/>
          <w:b/>
          <w:spacing w:val="0"/>
          <w:szCs w:val="24"/>
          <w:rtl/>
        </w:rPr>
        <w:t xml:space="preserve"> </w:t>
      </w:r>
      <w:r w:rsidRPr="00270910">
        <w:rPr>
          <w:rFonts w:ascii="Century" w:hAnsi="Century" w:cs="Miriam" w:hint="eastAsia"/>
          <w:b/>
          <w:spacing w:val="0"/>
          <w:szCs w:val="24"/>
          <w:rtl/>
        </w:rPr>
        <w:t>אחריות</w:t>
      </w:r>
      <w:r w:rsidRPr="00270910">
        <w:rPr>
          <w:rFonts w:ascii="Century" w:hAnsi="Century" w:cs="Miriam"/>
          <w:b/>
          <w:spacing w:val="0"/>
          <w:szCs w:val="24"/>
          <w:rtl/>
        </w:rPr>
        <w:t xml:space="preserve"> </w:t>
      </w:r>
      <w:r w:rsidRPr="00270910">
        <w:rPr>
          <w:rFonts w:ascii="Century" w:hAnsi="Century" w:cs="Miriam" w:hint="eastAsia"/>
          <w:b/>
          <w:spacing w:val="0"/>
          <w:szCs w:val="24"/>
          <w:rtl/>
        </w:rPr>
        <w:t>לחובות</w:t>
      </w:r>
      <w:r w:rsidRPr="00270910">
        <w:rPr>
          <w:rFonts w:ascii="Century" w:hAnsi="Century" w:cs="Miriam"/>
          <w:b/>
          <w:spacing w:val="0"/>
          <w:szCs w:val="24"/>
          <w:rtl/>
        </w:rPr>
        <w:t xml:space="preserve"> </w:t>
      </w:r>
      <w:r w:rsidRPr="00270910">
        <w:rPr>
          <w:rFonts w:ascii="Century" w:hAnsi="Century" w:cs="Miriam" w:hint="eastAsia"/>
          <w:b/>
          <w:spacing w:val="0"/>
          <w:szCs w:val="24"/>
          <w:rtl/>
        </w:rPr>
        <w:t>השני</w:t>
      </w:r>
      <w:r w:rsidRPr="00270910">
        <w:rPr>
          <w:rFonts w:ascii="Century" w:hAnsi="Century" w:cs="Miriam" w:hint="cs"/>
          <w:b/>
          <w:spacing w:val="0"/>
          <w:szCs w:val="24"/>
          <w:rtl/>
        </w:rPr>
        <w:t>"</w:t>
      </w:r>
      <w:r>
        <w:rPr>
          <w:rFonts w:hint="cs"/>
          <w:rtl/>
        </w:rPr>
        <w:t xml:space="preserve"> </w:t>
      </w:r>
      <w:r>
        <w:rPr>
          <w:rtl/>
        </w:rPr>
        <w:t>–</w:t>
      </w:r>
      <w:r>
        <w:rPr>
          <w:rFonts w:hint="cs"/>
          <w:rtl/>
        </w:rPr>
        <w:t xml:space="preserve"> ואף את רצון הרשות המכוננת שכאמור אסרה עלינו בסעיפים 3 ו-8 לחוק יסוד: כבוד האדם וחירותו לפגוע בקניינו של אדם, </w:t>
      </w:r>
      <w:r w:rsidRPr="00270910">
        <w:rPr>
          <w:rFonts w:ascii="Century" w:hAnsi="Century" w:cs="Miriam" w:hint="cs"/>
          <w:b/>
          <w:spacing w:val="0"/>
          <w:szCs w:val="24"/>
          <w:rtl/>
        </w:rPr>
        <w:t>אלא על פי הוראת חוק</w:t>
      </w:r>
      <w:r>
        <w:rPr>
          <w:rFonts w:hint="cs"/>
          <w:rtl/>
        </w:rPr>
        <w:t>. בבואה לקבוע, מטעמי צדק, כלל משפטי אשר מעביר זכות קניין מבן זוג אחד למשנהו מבלי שבעל הקניין הסכים לכך, חברתי אף מעצימה את "מלכודת הקניין" שלבטח אינה עושה צדק עם מי שנופל בתוכה.</w:t>
      </w:r>
    </w:p>
    <w:p w:rsidR="00917458" w:rsidRPr="009353CA" w:rsidRDefault="00917458" w:rsidP="00917458">
      <w:pPr>
        <w:pStyle w:val="Ruller4"/>
        <w:numPr>
          <w:ilvl w:val="0"/>
          <w:numId w:val="0"/>
        </w:numPr>
        <w:rPr>
          <w:rtl/>
        </w:rPr>
      </w:pPr>
    </w:p>
    <w:p w:rsidR="00917458" w:rsidRPr="009353CA" w:rsidRDefault="00917458" w:rsidP="00917458">
      <w:pPr>
        <w:pStyle w:val="Ruller41"/>
        <w:rPr>
          <w:rFonts w:ascii="Century" w:hAnsi="Century" w:cs="Miriam"/>
          <w:b/>
          <w:spacing w:val="0"/>
          <w:szCs w:val="24"/>
          <w:rtl/>
        </w:rPr>
      </w:pPr>
      <w:r w:rsidRPr="009353CA">
        <w:rPr>
          <w:rFonts w:ascii="Century" w:hAnsi="Century" w:cs="Miriam" w:hint="cs"/>
          <w:b/>
          <w:spacing w:val="0"/>
          <w:szCs w:val="24"/>
          <w:rtl/>
        </w:rPr>
        <w:t>סוף דבר</w:t>
      </w:r>
    </w:p>
    <w:p w:rsidR="00917458" w:rsidRPr="009353CA" w:rsidRDefault="00917458" w:rsidP="00917458">
      <w:pPr>
        <w:pStyle w:val="Ruller41"/>
      </w:pPr>
    </w:p>
    <w:p w:rsidR="00917458" w:rsidRPr="009353CA" w:rsidRDefault="00917458" w:rsidP="00917458">
      <w:pPr>
        <w:pStyle w:val="Ruller4"/>
      </w:pPr>
      <w:r w:rsidRPr="009353CA">
        <w:rPr>
          <w:rFonts w:hint="cs"/>
          <w:rtl/>
        </w:rPr>
        <w:t xml:space="preserve">מכל הטעמים דלעיל, הנני מציע לחבריי לבטל את דוקטרינת השיתוף הספציפי ולהעמיד במקומה הלכה חדשה: משטר השיתוף ההדרגתי המוצע על ידי, שבמסגרתו כל אחד מבני הזוג יקבל לידיו, בגין כל שנת נישואין שלפני הפירוד מבן או מבת זוגו, אחוז אחד (1%) מהזכויות בנכסים האישיים של בן או בת זוגו </w:t>
      </w:r>
      <w:r w:rsidRPr="009353CA">
        <w:rPr>
          <w:rtl/>
        </w:rPr>
        <w:t>–</w:t>
      </w:r>
      <w:r w:rsidRPr="009353CA">
        <w:rPr>
          <w:rFonts w:hint="cs"/>
          <w:rtl/>
        </w:rPr>
        <w:t xml:space="preserve"> זולת אם בני הזוג קבעו ביניהם הסדר אחר בהסכם ממון אשר נערך ואושר בהתאם לחוק יחסי ממון. ביחס לשנת הנישואין האחרונה, שהיא גם שנת הפירוד, אחוז הצבירה ייקבע באופן יחסי לפי מספר הימים שלפני הפירוד (</w:t>
      </w:r>
      <w:r w:rsidRPr="009353CA">
        <w:rPr>
          <w:rFonts w:asciiTheme="majorBidi" w:hAnsiTheme="majorBidi" w:cstheme="majorBidi"/>
        </w:rPr>
        <w:t>n</w:t>
      </w:r>
      <w:r w:rsidRPr="009353CA">
        <w:rPr>
          <w:rFonts w:hint="cs"/>
          <w:rtl/>
        </w:rPr>
        <w:t xml:space="preserve">), דהיינו, לפי הנוסחה הבאה: </w:t>
      </w:r>
      <m:oMath>
        <m:r>
          <w:rPr>
            <w:rFonts w:ascii="Cambria Math" w:hAnsi="Cambria Math"/>
            <w:sz w:val="22"/>
            <w:szCs w:val="22"/>
          </w:rPr>
          <m:t xml:space="preserve">. 1%× </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365</m:t>
            </m:r>
          </m:den>
        </m:f>
      </m:oMath>
      <w:r w:rsidRPr="009353CA">
        <w:rPr>
          <w:rFonts w:hint="cs"/>
          <w:rtl/>
        </w:rPr>
        <w:t xml:space="preserve"> </w:t>
      </w:r>
    </w:p>
    <w:p w:rsidR="00917458" w:rsidRPr="009353CA" w:rsidRDefault="00917458" w:rsidP="00917458">
      <w:pPr>
        <w:pStyle w:val="Ruller4"/>
        <w:numPr>
          <w:ilvl w:val="0"/>
          <w:numId w:val="0"/>
        </w:numPr>
        <w:rPr>
          <w:rtl/>
        </w:rPr>
      </w:pPr>
    </w:p>
    <w:p w:rsidR="00917458" w:rsidRPr="009353CA" w:rsidRDefault="00917458" w:rsidP="00917458">
      <w:pPr>
        <w:pStyle w:val="Ruller4"/>
        <w:numPr>
          <w:ilvl w:val="0"/>
          <w:numId w:val="0"/>
        </w:numPr>
        <w:rPr>
          <w:rtl/>
        </w:rPr>
      </w:pPr>
      <w:r w:rsidRPr="009353CA">
        <w:rPr>
          <w:rtl/>
        </w:rPr>
        <w:tab/>
      </w:r>
      <w:r w:rsidRPr="009353CA">
        <w:rPr>
          <w:rFonts w:hint="cs"/>
          <w:rtl/>
        </w:rPr>
        <w:t xml:space="preserve">כמו כן הנני מציע שהסדר כאמור יחול רק על בני זוג שיינשאו ביום 1.1.2022 או אחריו. על בני זוג שנישאו לפני 1.1.2022 ימשיך לחול ההסדר הישן של דוקטרינת השיתוף הספציפי אשר נקבע בהלכת </w:t>
      </w:r>
      <w:r w:rsidRPr="009353CA">
        <w:rPr>
          <w:rFonts w:ascii="Century" w:hAnsi="Century" w:cs="Miriam" w:hint="cs"/>
          <w:b/>
          <w:spacing w:val="0"/>
          <w:sz w:val="22"/>
          <w:szCs w:val="24"/>
          <w:rtl/>
        </w:rPr>
        <w:t>אבו רומי</w:t>
      </w:r>
      <w:r w:rsidRPr="009353CA">
        <w:rPr>
          <w:rFonts w:hint="cs"/>
          <w:rtl/>
        </w:rPr>
        <w:t xml:space="preserve"> ובפסקי הדין שבאו בעקבותיה. </w:t>
      </w:r>
    </w:p>
    <w:p w:rsidR="00917458" w:rsidRPr="009353CA" w:rsidRDefault="00917458" w:rsidP="00917458">
      <w:pPr>
        <w:pStyle w:val="Ruller41"/>
        <w:rPr>
          <w:rtl/>
        </w:rPr>
      </w:pPr>
    </w:p>
    <w:p w:rsidR="00625FD4" w:rsidRDefault="00917458" w:rsidP="00936FFE">
      <w:pPr>
        <w:pStyle w:val="Ruller4"/>
        <w:rPr>
          <w:rtl/>
        </w:rPr>
      </w:pPr>
      <w:r w:rsidRPr="009353CA">
        <w:rPr>
          <w:rFonts w:hint="cs"/>
          <w:rtl/>
        </w:rPr>
        <w:lastRenderedPageBreak/>
        <w:t>באשר למקרה הספציפי שהוכרע בהליך הקודם, סבורני כי טוב נעשה אם נשאיר את ההכרעה אשר ניתנה על ידינו בבג"ץ 4602/13 על כנה, ללא צו להוצאות.</w:t>
      </w:r>
    </w:p>
    <w:p w:rsidR="00936FFE" w:rsidRDefault="00936FFE" w:rsidP="00936FFE">
      <w:pPr>
        <w:pStyle w:val="Ruller41"/>
        <w:rPr>
          <w:rtl/>
        </w:rPr>
      </w:pPr>
    </w:p>
    <w:p w:rsidR="00936FFE" w:rsidRPr="00936FFE" w:rsidRDefault="00936FFE" w:rsidP="00936FFE">
      <w:pPr>
        <w:pStyle w:val="Ruller41"/>
        <w:rPr>
          <w:rtl/>
        </w:rPr>
      </w:pPr>
    </w:p>
    <w:tbl>
      <w:tblPr>
        <w:bidiVisual/>
        <w:tblW w:w="8363" w:type="dxa"/>
        <w:tblLook w:val="01E0" w:firstRow="1" w:lastRow="1" w:firstColumn="1" w:lastColumn="1" w:noHBand="0" w:noVBand="0"/>
      </w:tblPr>
      <w:tblGrid>
        <w:gridCol w:w="2783"/>
        <w:gridCol w:w="2797"/>
        <w:gridCol w:w="2783"/>
      </w:tblGrid>
      <w:tr w:rsidR="008864F4" w:rsidTr="00760584">
        <w:tc>
          <w:tcPr>
            <w:tcW w:w="2783" w:type="dxa"/>
            <w:shd w:val="clear" w:color="auto" w:fill="auto"/>
          </w:tcPr>
          <w:p w:rsidR="008864F4" w:rsidRDefault="008864F4" w:rsidP="00760584">
            <w:pPr>
              <w:pStyle w:val="Ruller41"/>
              <w:spacing w:line="240" w:lineRule="auto"/>
              <w:rPr>
                <w:rtl/>
              </w:rPr>
            </w:pPr>
          </w:p>
        </w:tc>
        <w:tc>
          <w:tcPr>
            <w:tcW w:w="2797" w:type="dxa"/>
            <w:shd w:val="clear" w:color="auto" w:fill="auto"/>
          </w:tcPr>
          <w:p w:rsidR="008864F4" w:rsidRDefault="008864F4" w:rsidP="00760584">
            <w:pPr>
              <w:pStyle w:val="Ruller41"/>
              <w:spacing w:line="240" w:lineRule="auto"/>
              <w:jc w:val="center"/>
              <w:rPr>
                <w:rtl/>
              </w:rPr>
            </w:pPr>
          </w:p>
        </w:tc>
        <w:tc>
          <w:tcPr>
            <w:tcW w:w="2783" w:type="dxa"/>
            <w:shd w:val="clear" w:color="auto" w:fill="auto"/>
          </w:tcPr>
          <w:p w:rsidR="008864F4" w:rsidRDefault="008864F4" w:rsidP="00760584">
            <w:pPr>
              <w:pStyle w:val="Ruller41"/>
              <w:spacing w:line="240" w:lineRule="auto"/>
              <w:jc w:val="center"/>
              <w:rPr>
                <w:rtl/>
              </w:rPr>
            </w:pPr>
            <w:r>
              <w:rPr>
                <w:rFonts w:hint="cs"/>
                <w:rtl/>
              </w:rPr>
              <w:t xml:space="preserve">ש ו פ ט </w:t>
            </w:r>
          </w:p>
        </w:tc>
      </w:tr>
    </w:tbl>
    <w:p w:rsidR="00613311" w:rsidRDefault="00613311" w:rsidP="008864F4">
      <w:pPr>
        <w:rPr>
          <w:szCs w:val="20"/>
          <w:rtl/>
        </w:rPr>
      </w:pPr>
    </w:p>
    <w:p w:rsidR="00613311" w:rsidRPr="00503A3E" w:rsidRDefault="00C64103" w:rsidP="00613311">
      <w:pPr>
        <w:pStyle w:val="BODYVERDICT"/>
        <w:rPr>
          <w:rFonts w:cs="Miriam"/>
          <w:sz w:val="24"/>
          <w:szCs w:val="24"/>
          <w:u w:val="single"/>
          <w:rtl/>
        </w:rPr>
      </w:pPr>
      <w:r>
        <w:rPr>
          <w:rFonts w:cs="Miriam"/>
          <w:sz w:val="24"/>
          <w:szCs w:val="24"/>
          <w:u w:val="single"/>
          <w:rtl/>
        </w:rPr>
        <w:br/>
      </w:r>
      <w:r>
        <w:rPr>
          <w:rFonts w:cs="Miriam"/>
          <w:sz w:val="24"/>
          <w:szCs w:val="24"/>
          <w:u w:val="single"/>
          <w:rtl/>
        </w:rPr>
        <w:br/>
      </w:r>
      <w:r w:rsidR="00613311">
        <w:rPr>
          <w:rFonts w:cs="Miriam"/>
          <w:sz w:val="24"/>
          <w:szCs w:val="24"/>
          <w:u w:val="single"/>
          <w:rtl/>
        </w:rPr>
        <w:t>המשנה לנשיאה (</w:t>
      </w:r>
      <w:proofErr w:type="spellStart"/>
      <w:r w:rsidR="00613311">
        <w:rPr>
          <w:rFonts w:cs="Miriam"/>
          <w:sz w:val="24"/>
          <w:szCs w:val="24"/>
          <w:u w:val="single"/>
          <w:rtl/>
        </w:rPr>
        <w:t>בדימ</w:t>
      </w:r>
      <w:proofErr w:type="spellEnd"/>
      <w:r w:rsidR="00613311">
        <w:rPr>
          <w:rFonts w:cs="Miriam"/>
          <w:sz w:val="24"/>
          <w:szCs w:val="24"/>
          <w:u w:val="single"/>
          <w:rtl/>
        </w:rPr>
        <w:t>') ח' מלצר:</w:t>
      </w:r>
    </w:p>
    <w:p w:rsidR="00613311" w:rsidRDefault="00613311" w:rsidP="00613311">
      <w:pPr>
        <w:pStyle w:val="Ruller41"/>
        <w:rPr>
          <w:rtl/>
        </w:rPr>
      </w:pPr>
    </w:p>
    <w:p w:rsidR="00613311" w:rsidRDefault="00613311" w:rsidP="00613311">
      <w:pPr>
        <w:pStyle w:val="Ruller41"/>
        <w:rPr>
          <w:rtl/>
        </w:rPr>
      </w:pPr>
      <w:r>
        <w:rPr>
          <w:rFonts w:hint="cs"/>
          <w:rtl/>
        </w:rPr>
        <w:t xml:space="preserve">1. </w:t>
      </w:r>
      <w:r>
        <w:rPr>
          <w:rtl/>
        </w:rPr>
        <w:tab/>
      </w:r>
      <w:r>
        <w:rPr>
          <w:rFonts w:hint="cs"/>
          <w:rtl/>
        </w:rPr>
        <w:t xml:space="preserve">הנני מצטרף בהסכמה לחוות דעתה המנומקת של חברתי הנשיאה, </w:t>
      </w:r>
      <w:r w:rsidRPr="00E03EBA">
        <w:rPr>
          <w:rFonts w:ascii="Century" w:hAnsi="Century" w:cs="Miriam" w:hint="cs"/>
          <w:b/>
          <w:spacing w:val="0"/>
          <w:szCs w:val="24"/>
          <w:rtl/>
        </w:rPr>
        <w:t>א' חיות</w:t>
      </w:r>
      <w:r>
        <w:rPr>
          <w:rFonts w:hint="cs"/>
          <w:rtl/>
        </w:rPr>
        <w:t xml:space="preserve">, לתוצאה שאליה הגיעה ולדרך הילוכה, וארשה לעצמי להוסיף רק מספר הבהרות והערות. </w:t>
      </w:r>
    </w:p>
    <w:p w:rsidR="00613311" w:rsidRDefault="00613311" w:rsidP="00613311">
      <w:pPr>
        <w:pStyle w:val="Ruller41"/>
        <w:rPr>
          <w:rtl/>
        </w:rPr>
      </w:pPr>
    </w:p>
    <w:p w:rsidR="00613311" w:rsidRDefault="00613311" w:rsidP="004F1C85">
      <w:pPr>
        <w:pStyle w:val="Ruller41"/>
        <w:rPr>
          <w:rtl/>
        </w:rPr>
      </w:pPr>
      <w:r>
        <w:rPr>
          <w:rFonts w:hint="cs"/>
          <w:rtl/>
        </w:rPr>
        <w:t xml:space="preserve">2. </w:t>
      </w:r>
      <w:r>
        <w:rPr>
          <w:rtl/>
        </w:rPr>
        <w:tab/>
      </w:r>
      <w:r w:rsidR="004F1C85">
        <w:rPr>
          <w:rFonts w:hint="cs"/>
          <w:rtl/>
        </w:rPr>
        <w:t xml:space="preserve">"הלכת השיתוף הספציפי" מגבילה ביחס </w:t>
      </w:r>
      <w:r>
        <w:rPr>
          <w:rFonts w:hint="cs"/>
          <w:rtl/>
        </w:rPr>
        <w:t xml:space="preserve">להתגבשות של זכות מעין-קניינית בנכס שאיננה כרוכה בהכרח בהתנאה מפורשת להעברת הקניין בין הצדדים (ככל שהוכח לגביו "דבר מה נוסף", המעיד על כוונת שיתוף) </w:t>
      </w:r>
      <w:r>
        <w:rPr>
          <w:rtl/>
        </w:rPr>
        <w:t>–</w:t>
      </w:r>
      <w:r>
        <w:rPr>
          <w:rFonts w:hint="cs"/>
          <w:rtl/>
        </w:rPr>
        <w:t xml:space="preserve"> ראו: ע"א 8672/00 </w:t>
      </w:r>
      <w:r>
        <w:rPr>
          <w:rFonts w:ascii="Century" w:hAnsi="Century" w:cs="Miriam" w:hint="cs"/>
          <w:b/>
          <w:spacing w:val="0"/>
          <w:szCs w:val="24"/>
          <w:rtl/>
        </w:rPr>
        <w:t xml:space="preserve"> אבו-רומי נ' אבו-רומי</w:t>
      </w:r>
      <w:r>
        <w:rPr>
          <w:rFonts w:ascii="Century" w:hAnsi="Century" w:hint="cs"/>
          <w:rtl/>
        </w:rPr>
        <w:t xml:space="preserve">, פ"ד נ"ו (6), 175 (2002), ועיינו: </w:t>
      </w:r>
      <w:r w:rsidRPr="00475F7B">
        <w:rPr>
          <w:rFonts w:ascii="Century" w:hAnsi="Century" w:hint="cs"/>
          <w:rtl/>
        </w:rPr>
        <w:t>ניסים</w:t>
      </w:r>
      <w:r w:rsidRPr="00475F7B">
        <w:rPr>
          <w:rFonts w:hint="cs"/>
          <w:rtl/>
        </w:rPr>
        <w:t xml:space="preserve"> </w:t>
      </w:r>
      <w:r>
        <w:rPr>
          <w:rFonts w:hint="cs"/>
          <w:rtl/>
        </w:rPr>
        <w:t xml:space="preserve">שלם, </w:t>
      </w:r>
      <w:r>
        <w:rPr>
          <w:rFonts w:ascii="Century" w:hAnsi="Century" w:cs="Miriam" w:hint="cs"/>
          <w:b/>
          <w:spacing w:val="0"/>
          <w:szCs w:val="24"/>
          <w:rtl/>
        </w:rPr>
        <w:t xml:space="preserve">יחסי ממון ורכוש </w:t>
      </w:r>
      <w:r w:rsidRPr="00E561A2">
        <w:rPr>
          <w:rFonts w:ascii="Century" w:hAnsi="Century"/>
          <w:rtl/>
        </w:rPr>
        <w:t>–</w:t>
      </w:r>
      <w:r>
        <w:rPr>
          <w:rFonts w:ascii="Century" w:hAnsi="Century" w:cs="Miriam" w:hint="cs"/>
          <w:b/>
          <w:spacing w:val="0"/>
          <w:szCs w:val="24"/>
          <w:rtl/>
        </w:rPr>
        <w:t xml:space="preserve"> הדין והפסיקה, כרך א'</w:t>
      </w:r>
      <w:r>
        <w:rPr>
          <w:rFonts w:ascii="Century" w:hAnsi="Century" w:hint="cs"/>
          <w:rtl/>
        </w:rPr>
        <w:t xml:space="preserve">, עמ' 223-185 (מהדורה שניה </w:t>
      </w:r>
      <w:r>
        <w:rPr>
          <w:rFonts w:ascii="Century" w:hAnsi="Century"/>
          <w:rtl/>
        </w:rPr>
        <w:t>–</w:t>
      </w:r>
      <w:r>
        <w:rPr>
          <w:rFonts w:ascii="Century" w:hAnsi="Century" w:hint="cs"/>
          <w:rtl/>
        </w:rPr>
        <w:t xml:space="preserve"> תשע"ט-2019; להלן: </w:t>
      </w:r>
      <w:r>
        <w:rPr>
          <w:rFonts w:ascii="Century" w:hAnsi="Century" w:cs="Miriam" w:hint="cs"/>
          <w:b/>
          <w:spacing w:val="0"/>
          <w:szCs w:val="24"/>
          <w:rtl/>
        </w:rPr>
        <w:t>שלם</w:t>
      </w:r>
      <w:r>
        <w:rPr>
          <w:rFonts w:ascii="Century" w:hAnsi="Century" w:hint="cs"/>
          <w:rtl/>
        </w:rPr>
        <w:t>)</w:t>
      </w:r>
      <w:r>
        <w:rPr>
          <w:rFonts w:hint="cs"/>
          <w:rtl/>
        </w:rPr>
        <w:t xml:space="preserve">. </w:t>
      </w:r>
    </w:p>
    <w:p w:rsidR="00613311" w:rsidRDefault="00613311" w:rsidP="00613311">
      <w:pPr>
        <w:pStyle w:val="Ruller41"/>
        <w:rPr>
          <w:rtl/>
        </w:rPr>
      </w:pPr>
      <w:r>
        <w:rPr>
          <w:rFonts w:hint="cs"/>
          <w:rtl/>
        </w:rPr>
        <w:t xml:space="preserve">זכות מעין-קניינית זו איננה, </w:t>
      </w:r>
      <w:r w:rsidRPr="00F1753A">
        <w:rPr>
          <w:rFonts w:hint="cs"/>
          <w:rtl/>
        </w:rPr>
        <w:t>לרוב</w:t>
      </w:r>
      <w:r>
        <w:rPr>
          <w:rFonts w:hint="cs"/>
          <w:rtl/>
        </w:rPr>
        <w:t>, בבחינת</w:t>
      </w:r>
      <w:r w:rsidRPr="00B43104">
        <w:rPr>
          <w:rFonts w:hint="cs"/>
          <w:b/>
          <w:bCs/>
          <w:rtl/>
        </w:rPr>
        <w:t xml:space="preserve"> </w:t>
      </w:r>
      <w:r w:rsidRPr="00FC4E58">
        <w:rPr>
          <w:rFonts w:hint="cs"/>
          <w:rtl/>
        </w:rPr>
        <w:t>זכות על תנאי</w:t>
      </w:r>
      <w:r>
        <w:rPr>
          <w:rFonts w:hint="cs"/>
          <w:rtl/>
        </w:rPr>
        <w:t xml:space="preserve">, ולכן לא ניתן לשלול אותה בדיעבד לאחר התגבשותה </w:t>
      </w:r>
      <w:r>
        <w:rPr>
          <w:rtl/>
        </w:rPr>
        <w:t>–</w:t>
      </w:r>
      <w:r>
        <w:rPr>
          <w:rFonts w:hint="cs"/>
          <w:rtl/>
        </w:rPr>
        <w:t xml:space="preserve"> בעילה של חוסר נאמנות מינית של בן הזוג. קריאה של תנאי כזה אל תוך תהליך התגבשות הזכות מנוגדת לכאורה להוראות הדין האזרחי הנוהג עמנו (ראו: חנוך דגן ודפנה הקר "</w:t>
      </w:r>
      <w:r>
        <w:rPr>
          <w:rtl/>
        </w:rPr>
        <w:t xml:space="preserve">הלכת השיתוף הספציפי – לקראת המערכה הרביעית בבג"ץ </w:t>
      </w:r>
      <w:r>
        <w:rPr>
          <w:rFonts w:hint="cs"/>
          <w:rtl/>
        </w:rPr>
        <w:t xml:space="preserve">4602/13" </w:t>
      </w:r>
      <w:r w:rsidRPr="00525499">
        <w:rPr>
          <w:rFonts w:ascii="Century" w:hAnsi="Century" w:cs="Miriam" w:hint="cs"/>
          <w:b/>
          <w:spacing w:val="0"/>
          <w:szCs w:val="24"/>
          <w:rtl/>
        </w:rPr>
        <w:t>מחקרי משפט</w:t>
      </w:r>
      <w:r>
        <w:rPr>
          <w:rFonts w:hint="cs"/>
          <w:rtl/>
        </w:rPr>
        <w:t xml:space="preserve"> לב 519 (2019)). </w:t>
      </w:r>
    </w:p>
    <w:p w:rsidR="00613311" w:rsidRDefault="00613311" w:rsidP="00613311">
      <w:pPr>
        <w:pStyle w:val="Ruller41"/>
        <w:rPr>
          <w:rFonts w:ascii="Century" w:hAnsi="Century"/>
          <w:rtl/>
        </w:rPr>
      </w:pPr>
      <w:r>
        <w:rPr>
          <w:rFonts w:hint="cs"/>
          <w:rtl/>
        </w:rPr>
        <w:t xml:space="preserve">הנה כי כן אלמלא נכרכו כאן עניני הרכוש לתביעת הגירושין והיו נידונים בבית המשפט לענייני משפחה </w:t>
      </w:r>
      <w:r>
        <w:rPr>
          <w:rtl/>
        </w:rPr>
        <w:t>–</w:t>
      </w:r>
      <w:r>
        <w:rPr>
          <w:rFonts w:hint="cs"/>
          <w:rtl/>
        </w:rPr>
        <w:t xml:space="preserve"> דומה שעל בסיס העובדות, שנתמכו בראיות שהוצגו, האישה </w:t>
      </w:r>
      <w:proofErr w:type="spellStart"/>
      <w:r>
        <w:rPr>
          <w:rFonts w:hint="cs"/>
          <w:rtl/>
        </w:rPr>
        <w:t>היתה</w:t>
      </w:r>
      <w:proofErr w:type="spellEnd"/>
      <w:r>
        <w:rPr>
          <w:rFonts w:hint="cs"/>
          <w:rtl/>
        </w:rPr>
        <w:t xml:space="preserve"> זוכה שם, קרוב לוודאי, בפסק דין המאשר את זכותה במחצית הבית, זאת בהתבסס על ההלכות שנפסקו ב-בג"צ 1000/92 </w:t>
      </w:r>
      <w:r>
        <w:rPr>
          <w:rFonts w:ascii="Century" w:hAnsi="Century" w:cs="Miriam" w:hint="cs"/>
          <w:b/>
          <w:spacing w:val="0"/>
          <w:szCs w:val="24"/>
          <w:rtl/>
        </w:rPr>
        <w:t xml:space="preserve">בבלי נ' בית הדין הרבני </w:t>
      </w:r>
      <w:r w:rsidRPr="00C618E3">
        <w:rPr>
          <w:rFonts w:ascii="Century" w:hAnsi="Century" w:cs="Miriam" w:hint="cs"/>
          <w:b/>
          <w:spacing w:val="0"/>
          <w:szCs w:val="24"/>
          <w:rtl/>
        </w:rPr>
        <w:t>הגדול</w:t>
      </w:r>
      <w:r>
        <w:rPr>
          <w:rFonts w:ascii="Century" w:hAnsi="Century" w:hint="cs"/>
          <w:rtl/>
        </w:rPr>
        <w:t xml:space="preserve">, פ"ד מ"ח (2), 221 (1994) </w:t>
      </w:r>
      <w:proofErr w:type="spellStart"/>
      <w:r>
        <w:rPr>
          <w:rFonts w:ascii="Century" w:hAnsi="Century" w:hint="cs"/>
          <w:rtl/>
        </w:rPr>
        <w:t>וב</w:t>
      </w:r>
      <w:proofErr w:type="spellEnd"/>
      <w:r>
        <w:rPr>
          <w:rFonts w:ascii="Century" w:hAnsi="Century" w:hint="cs"/>
          <w:rtl/>
        </w:rPr>
        <w:t xml:space="preserve">-בע"מ </w:t>
      </w:r>
      <w:r>
        <w:rPr>
          <w:rFonts w:hint="cs"/>
          <w:rtl/>
        </w:rPr>
        <w:t xml:space="preserve">1398/11 </w:t>
      </w:r>
      <w:r>
        <w:rPr>
          <w:rFonts w:ascii="Century" w:hAnsi="Century" w:cs="Miriam" w:hint="cs"/>
          <w:b/>
          <w:spacing w:val="0"/>
          <w:szCs w:val="24"/>
          <w:rtl/>
        </w:rPr>
        <w:t>פלונית נ' פלוני</w:t>
      </w:r>
      <w:r>
        <w:rPr>
          <w:rFonts w:ascii="Century" w:hAnsi="Century" w:hint="cs"/>
          <w:rtl/>
        </w:rPr>
        <w:t xml:space="preserve"> (21.08.2013). התעלמות </w:t>
      </w:r>
      <w:r w:rsidRPr="00A66E1E">
        <w:rPr>
          <w:rFonts w:ascii="Century" w:hAnsi="Century" w:hint="cs"/>
          <w:b/>
          <w:bCs/>
          <w:rtl/>
        </w:rPr>
        <w:t>למעשה</w:t>
      </w:r>
      <w:r>
        <w:rPr>
          <w:rFonts w:ascii="Century" w:hAnsi="Century" w:hint="cs"/>
          <w:rtl/>
        </w:rPr>
        <w:t xml:space="preserve"> </w:t>
      </w:r>
      <w:r w:rsidRPr="006E0B08">
        <w:rPr>
          <w:rFonts w:ascii="Century" w:hAnsi="Century" w:hint="cs"/>
          <w:rtl/>
        </w:rPr>
        <w:t>מהלכות</w:t>
      </w:r>
      <w:r>
        <w:rPr>
          <w:rFonts w:ascii="Century" w:hAnsi="Century" w:hint="cs"/>
          <w:rtl/>
        </w:rPr>
        <w:t xml:space="preserve"> אלו, האמורות לחול גם על בתי הדין הרבניים, יש בה לכאורה משום חריגה מסמכות, המצדיקה התערבות בג"ץ (ראו והשוו: בג"ץ 5416/09 </w:t>
      </w:r>
      <w:r>
        <w:rPr>
          <w:rFonts w:ascii="Century" w:hAnsi="Century" w:cs="Miriam" w:hint="cs"/>
          <w:b/>
          <w:spacing w:val="0"/>
          <w:szCs w:val="24"/>
          <w:rtl/>
        </w:rPr>
        <w:t>פלונית נ' פלוני</w:t>
      </w:r>
      <w:r>
        <w:rPr>
          <w:rFonts w:ascii="Century" w:hAnsi="Century" w:hint="cs"/>
          <w:rtl/>
        </w:rPr>
        <w:t xml:space="preserve"> (10.02.2010) ועיינו: </w:t>
      </w:r>
      <w:r>
        <w:rPr>
          <w:rFonts w:ascii="Century" w:hAnsi="Century" w:cs="Miriam" w:hint="cs"/>
          <w:b/>
          <w:spacing w:val="0"/>
          <w:szCs w:val="24"/>
          <w:rtl/>
        </w:rPr>
        <w:t>שלם</w:t>
      </w:r>
      <w:r>
        <w:rPr>
          <w:rFonts w:ascii="Century" w:hAnsi="Century" w:hint="cs"/>
          <w:rtl/>
        </w:rPr>
        <w:t>, בעמ' 223-222).</w:t>
      </w:r>
    </w:p>
    <w:p w:rsidR="00613311" w:rsidRDefault="00613311" w:rsidP="00613311">
      <w:pPr>
        <w:pStyle w:val="Ruller41"/>
        <w:rPr>
          <w:rtl/>
        </w:rPr>
      </w:pPr>
      <w:r>
        <w:rPr>
          <w:rFonts w:hint="cs"/>
          <w:rtl/>
        </w:rPr>
        <w:t xml:space="preserve"> </w:t>
      </w:r>
    </w:p>
    <w:p w:rsidR="00613311" w:rsidRDefault="00613311" w:rsidP="00613311">
      <w:pPr>
        <w:pStyle w:val="Ruller41"/>
        <w:rPr>
          <w:rtl/>
        </w:rPr>
      </w:pPr>
      <w:r>
        <w:rPr>
          <w:rFonts w:hint="cs"/>
          <w:rtl/>
        </w:rPr>
        <w:t xml:space="preserve">3. </w:t>
      </w:r>
      <w:r>
        <w:rPr>
          <w:rtl/>
        </w:rPr>
        <w:tab/>
      </w:r>
      <w:r>
        <w:rPr>
          <w:rFonts w:hint="cs"/>
          <w:rtl/>
        </w:rPr>
        <w:t xml:space="preserve">ברצוני למנות כמה טעמים נוספים הניצבים בבסיס גישת המשפט האזרחי הנ"ל. כפי שציין חברי, השופט </w:t>
      </w:r>
      <w:r w:rsidRPr="007B76AC">
        <w:rPr>
          <w:rFonts w:ascii="Century" w:hAnsi="Century" w:cs="Miriam" w:hint="cs"/>
          <w:b/>
          <w:spacing w:val="0"/>
          <w:szCs w:val="24"/>
          <w:rtl/>
        </w:rPr>
        <w:t>י' עמית</w:t>
      </w:r>
      <w:r>
        <w:rPr>
          <w:rFonts w:hint="cs"/>
          <w:rtl/>
        </w:rPr>
        <w:t xml:space="preserve">, </w:t>
      </w:r>
      <w:proofErr w:type="spellStart"/>
      <w:r>
        <w:rPr>
          <w:rFonts w:hint="cs"/>
          <w:rtl/>
        </w:rPr>
        <w:t>בפיסקה</w:t>
      </w:r>
      <w:proofErr w:type="spellEnd"/>
      <w:r>
        <w:rPr>
          <w:rFonts w:hint="cs"/>
          <w:rtl/>
        </w:rPr>
        <w:t xml:space="preserve"> 13 לחוות דעתו ב-</w:t>
      </w:r>
      <w:r>
        <w:rPr>
          <w:rFonts w:hint="cs"/>
          <w:sz w:val="28"/>
          <w:rtl/>
        </w:rPr>
        <w:t xml:space="preserve">בג"ץ 4602/13 </w:t>
      </w:r>
      <w:r w:rsidRPr="00B87C3F">
        <w:rPr>
          <w:rFonts w:ascii="Century" w:hAnsi="Century" w:cs="Miriam" w:hint="cs"/>
          <w:b/>
          <w:spacing w:val="0"/>
          <w:szCs w:val="24"/>
          <w:rtl/>
        </w:rPr>
        <w:t>פלונית נ' בית הדין הרבני האזורי בחיפה</w:t>
      </w:r>
      <w:r w:rsidRPr="00B87C3F">
        <w:rPr>
          <w:rFonts w:hint="cs"/>
          <w:sz w:val="28"/>
          <w:rtl/>
        </w:rPr>
        <w:t xml:space="preserve"> </w:t>
      </w:r>
      <w:r>
        <w:rPr>
          <w:rFonts w:hint="cs"/>
          <w:sz w:val="28"/>
          <w:rtl/>
        </w:rPr>
        <w:t>(18.11.2018, נושא הדיון הנוסף שבפנינו)</w:t>
      </w:r>
      <w:r>
        <w:rPr>
          <w:rFonts w:hint="cs"/>
          <w:rtl/>
        </w:rPr>
        <w:t xml:space="preserve"> </w:t>
      </w:r>
      <w:r>
        <w:rPr>
          <w:rtl/>
        </w:rPr>
        <w:t>–</w:t>
      </w:r>
      <w:r>
        <w:rPr>
          <w:rFonts w:hint="cs"/>
          <w:rtl/>
        </w:rPr>
        <w:t xml:space="preserve"> המגמה בדין האזרחי היא לנתק את העיסוק בהתנהגות המינית של הצדדים מהסכסוך </w:t>
      </w:r>
      <w:proofErr w:type="spellStart"/>
      <w:r>
        <w:rPr>
          <w:rFonts w:hint="cs"/>
          <w:rtl/>
        </w:rPr>
        <w:t>הרכושי</w:t>
      </w:r>
      <w:proofErr w:type="spellEnd"/>
      <w:r>
        <w:rPr>
          <w:rFonts w:hint="cs"/>
          <w:rtl/>
        </w:rPr>
        <w:t xml:space="preserve"> (עיינו: </w:t>
      </w:r>
      <w:r>
        <w:rPr>
          <w:rFonts w:hint="cs"/>
          <w:rtl/>
        </w:rPr>
        <w:lastRenderedPageBreak/>
        <w:t xml:space="preserve">ע"א 264/77 </w:t>
      </w:r>
      <w:r>
        <w:rPr>
          <w:rFonts w:ascii="Century" w:hAnsi="Century" w:cs="Miriam" w:hint="cs"/>
          <w:b/>
          <w:spacing w:val="0"/>
          <w:szCs w:val="24"/>
          <w:rtl/>
        </w:rPr>
        <w:t>דרור נ' דרור</w:t>
      </w:r>
      <w:r>
        <w:rPr>
          <w:rFonts w:ascii="Century" w:hAnsi="Century" w:hint="cs"/>
          <w:rtl/>
        </w:rPr>
        <w:t>, פ"ד ל"ב (1), 829 (1978))</w:t>
      </w:r>
      <w:r>
        <w:rPr>
          <w:rFonts w:hint="cs"/>
          <w:rtl/>
        </w:rPr>
        <w:t xml:space="preserve">, בין היתר כדי למנוע בהקשר זה עיסוק פולשני שעלול לפגוע בפרטיותם של בני הזוג. לנימוק חשוב זה, יש להוסיף גם את התפיסה העדכנית של מוסד הנישואים, הגורסת כי לכל צד נתונה הבחירה לסיים את קשר הנישואין, מה שמבטא את האוטונומיה של הפרט ומייתר את הצורך בזיהוי האשם בפירוק ההתקשרות, </w:t>
      </w:r>
      <w:r>
        <w:rPr>
          <w:rtl/>
        </w:rPr>
        <w:t>ו</w:t>
      </w:r>
      <w:r w:rsidRPr="005E01BF">
        <w:rPr>
          <w:rtl/>
        </w:rPr>
        <w:t>לוּ</w:t>
      </w:r>
      <w:r>
        <w:rPr>
          <w:rFonts w:hint="cs"/>
          <w:rtl/>
        </w:rPr>
        <w:t xml:space="preserve"> בהיבט </w:t>
      </w:r>
      <w:proofErr w:type="spellStart"/>
      <w:r>
        <w:rPr>
          <w:rFonts w:hint="cs"/>
          <w:rtl/>
        </w:rPr>
        <w:t>הרכושי</w:t>
      </w:r>
      <w:proofErr w:type="spellEnd"/>
      <w:r>
        <w:rPr>
          <w:rFonts w:hint="cs"/>
          <w:rtl/>
        </w:rPr>
        <w:t xml:space="preserve">. </w:t>
      </w:r>
      <w:r>
        <w:rPr>
          <w:rtl/>
        </w:rPr>
        <w:br/>
      </w:r>
      <w:r>
        <w:rPr>
          <w:rFonts w:hint="cs"/>
          <w:rtl/>
        </w:rPr>
        <w:t xml:space="preserve">עוד יצוין כי במערכת המורכבת והייחודית של יחסים זוגיים, ממילא ישנו קושי ממשי לזהות גורם אחד, אשר אחראי לסיום הקשר, שכן מדובר ביחסי גומלין עדינים, רגישים וטעונים, שבהם, מטבע הדברים, התנהגויות שונות כרוכות יחדיו ומשפיעות זו על זו </w:t>
      </w:r>
      <w:r>
        <w:rPr>
          <w:rtl/>
        </w:rPr>
        <w:t>–</w:t>
      </w:r>
      <w:r>
        <w:rPr>
          <w:rFonts w:hint="cs"/>
          <w:rtl/>
        </w:rPr>
        <w:t xml:space="preserve"> מה שיוצר סבך פתלתל, שאל לו לבית המשפט לחוקרו במישור הממוני ולנסות לשנותו </w:t>
      </w:r>
      <w:proofErr w:type="spellStart"/>
      <w:r>
        <w:rPr>
          <w:rFonts w:hint="cs"/>
          <w:rtl/>
        </w:rPr>
        <w:t>רכושית</w:t>
      </w:r>
      <w:proofErr w:type="spellEnd"/>
      <w:r>
        <w:rPr>
          <w:rFonts w:hint="cs"/>
          <w:rtl/>
        </w:rPr>
        <w:t xml:space="preserve"> בדיעבד (להרחבה עיינו: </w:t>
      </w:r>
      <w:r w:rsidRPr="00FA0302">
        <w:rPr>
          <w:rtl/>
        </w:rPr>
        <w:t>שחר ליפשיץ "שיפוט מוסרי של התנה</w:t>
      </w:r>
      <w:r>
        <w:rPr>
          <w:rtl/>
        </w:rPr>
        <w:t>גות מינית בנישואים: אוטונומיה ו</w:t>
      </w:r>
      <w:r>
        <w:rPr>
          <w:rFonts w:hint="cs"/>
          <w:rtl/>
        </w:rPr>
        <w:t>'</w:t>
      </w:r>
      <w:r w:rsidRPr="00FA0302">
        <w:rPr>
          <w:rtl/>
        </w:rPr>
        <w:t>משיל</w:t>
      </w:r>
      <w:r>
        <w:rPr>
          <w:rtl/>
        </w:rPr>
        <w:t>ות</w:t>
      </w:r>
      <w:r>
        <w:rPr>
          <w:rFonts w:hint="cs"/>
          <w:rtl/>
        </w:rPr>
        <w:t>'</w:t>
      </w:r>
      <w:r w:rsidRPr="00FA0302">
        <w:rPr>
          <w:rtl/>
        </w:rPr>
        <w:t xml:space="preserve"> בעקבות בג"ץ 4602/13"</w:t>
      </w:r>
      <w:r>
        <w:rPr>
          <w:rFonts w:hint="cs"/>
          <w:rtl/>
        </w:rPr>
        <w:t xml:space="preserve"> </w:t>
      </w:r>
      <w:r w:rsidRPr="000913D4">
        <w:rPr>
          <w:rFonts w:ascii="Century" w:hAnsi="Century" w:cs="Miriam" w:hint="cs"/>
          <w:b/>
          <w:spacing w:val="0"/>
          <w:szCs w:val="24"/>
          <w:rtl/>
        </w:rPr>
        <w:t>עיוני משפט</w:t>
      </w:r>
      <w:r>
        <w:rPr>
          <w:rFonts w:hint="cs"/>
          <w:rtl/>
        </w:rPr>
        <w:t xml:space="preserve"> מג 5, 75-70 (2020)). </w:t>
      </w:r>
    </w:p>
    <w:p w:rsidR="00613311" w:rsidRDefault="00613311" w:rsidP="00613311">
      <w:pPr>
        <w:pStyle w:val="Ruller41"/>
        <w:rPr>
          <w:rFonts w:ascii="Century" w:hAnsi="Century"/>
          <w:rtl/>
        </w:rPr>
      </w:pPr>
      <w:r>
        <w:rPr>
          <w:rFonts w:hint="cs"/>
          <w:rtl/>
        </w:rPr>
        <w:t>דין מיוחד ושונה עשוי לחול מכוח סעיף 8 ל</w:t>
      </w:r>
      <w:r>
        <w:rPr>
          <w:rFonts w:ascii="Century" w:hAnsi="Century" w:cs="Miriam" w:hint="cs"/>
          <w:b/>
          <w:spacing w:val="0"/>
          <w:szCs w:val="24"/>
          <w:rtl/>
        </w:rPr>
        <w:t>חוק יחסי ממון בין בני זוג, תשל"ג-1973</w:t>
      </w:r>
      <w:r>
        <w:rPr>
          <w:rFonts w:ascii="Century" w:hAnsi="Century" w:hint="cs"/>
          <w:rtl/>
        </w:rPr>
        <w:t xml:space="preserve"> בעת שבני זוג מתגרשים לאחר שבמהלך חיי הנישואים נקט אחד מהם אלימות קשה וחמורה כלפי משנהו (עיינו: בע"מ 7272/10 </w:t>
      </w:r>
      <w:r>
        <w:rPr>
          <w:rFonts w:ascii="Century" w:hAnsi="Century" w:cs="Miriam" w:hint="cs"/>
          <w:b/>
          <w:spacing w:val="0"/>
          <w:szCs w:val="24"/>
          <w:rtl/>
        </w:rPr>
        <w:t>פלונית נ' פלוני</w:t>
      </w:r>
      <w:r>
        <w:rPr>
          <w:rFonts w:ascii="Century" w:hAnsi="Century" w:hint="cs"/>
          <w:rtl/>
        </w:rPr>
        <w:t xml:space="preserve"> (07.01.2014)).</w:t>
      </w:r>
    </w:p>
    <w:p w:rsidR="00613311" w:rsidRDefault="00613311" w:rsidP="00613311">
      <w:pPr>
        <w:pStyle w:val="Ruller41"/>
        <w:rPr>
          <w:rFonts w:ascii="Century" w:hAnsi="Century"/>
          <w:rtl/>
        </w:rPr>
      </w:pPr>
    </w:p>
    <w:p w:rsidR="009C74C4" w:rsidRDefault="00613311" w:rsidP="009604BE">
      <w:pPr>
        <w:pStyle w:val="Ruller41"/>
        <w:rPr>
          <w:rFonts w:ascii="Century" w:hAnsi="Century"/>
          <w:rtl/>
        </w:rPr>
      </w:pPr>
      <w:r>
        <w:rPr>
          <w:rFonts w:ascii="Century" w:hAnsi="Century" w:hint="cs"/>
          <w:rtl/>
        </w:rPr>
        <w:t>4.</w:t>
      </w:r>
      <w:r>
        <w:rPr>
          <w:rFonts w:ascii="Century" w:hAnsi="Century" w:hint="cs"/>
          <w:rtl/>
        </w:rPr>
        <w:tab/>
        <w:t>נוכח כל המקובץ, אף אני סבור כאמור כי דין העתירה להתקבל, כמוצע ע"י חברתי הנשיאה.</w:t>
      </w:r>
    </w:p>
    <w:p w:rsidR="009604BE" w:rsidRPr="009C74C4" w:rsidRDefault="009604BE" w:rsidP="009604BE">
      <w:pPr>
        <w:pStyle w:val="Ruller41"/>
        <w:rPr>
          <w:rFonts w:ascii="Century" w:hAnsi="Century"/>
          <w:rtl/>
        </w:rPr>
      </w:pPr>
    </w:p>
    <w:tbl>
      <w:tblPr>
        <w:bidiVisual/>
        <w:tblW w:w="8363" w:type="dxa"/>
        <w:tblLook w:val="01E0" w:firstRow="1" w:lastRow="1" w:firstColumn="1" w:lastColumn="1" w:noHBand="0" w:noVBand="0"/>
      </w:tblPr>
      <w:tblGrid>
        <w:gridCol w:w="2783"/>
        <w:gridCol w:w="2797"/>
        <w:gridCol w:w="2783"/>
      </w:tblGrid>
      <w:tr w:rsidR="00613311" w:rsidTr="00AB57CE">
        <w:trPr>
          <w:trHeight w:val="80"/>
        </w:trPr>
        <w:tc>
          <w:tcPr>
            <w:tcW w:w="2783" w:type="dxa"/>
            <w:shd w:val="clear" w:color="auto" w:fill="auto"/>
          </w:tcPr>
          <w:p w:rsidR="00613311" w:rsidRDefault="00613311" w:rsidP="00760584">
            <w:pPr>
              <w:pStyle w:val="Ruller41"/>
              <w:spacing w:line="240" w:lineRule="auto"/>
              <w:rPr>
                <w:rtl/>
              </w:rPr>
            </w:pPr>
          </w:p>
        </w:tc>
        <w:tc>
          <w:tcPr>
            <w:tcW w:w="2797" w:type="dxa"/>
            <w:shd w:val="clear" w:color="auto" w:fill="auto"/>
          </w:tcPr>
          <w:p w:rsidR="00613311" w:rsidRDefault="00613311" w:rsidP="00760584">
            <w:pPr>
              <w:pStyle w:val="Ruller41"/>
              <w:spacing w:line="240" w:lineRule="auto"/>
              <w:jc w:val="center"/>
              <w:rPr>
                <w:rtl/>
              </w:rPr>
            </w:pPr>
          </w:p>
        </w:tc>
        <w:tc>
          <w:tcPr>
            <w:tcW w:w="2783" w:type="dxa"/>
            <w:shd w:val="clear" w:color="auto" w:fill="auto"/>
          </w:tcPr>
          <w:p w:rsidR="00613311" w:rsidRDefault="00613311" w:rsidP="00760584">
            <w:pPr>
              <w:pStyle w:val="Ruller41"/>
              <w:spacing w:line="240" w:lineRule="auto"/>
              <w:jc w:val="center"/>
              <w:rPr>
                <w:rtl/>
              </w:rPr>
            </w:pPr>
            <w:r>
              <w:rPr>
                <w:rFonts w:ascii="FrankRuehl" w:hint="cs"/>
                <w:color w:val="333333"/>
                <w:sz w:val="28"/>
                <w:shd w:val="clear" w:color="auto" w:fill="FFFFFF"/>
                <w:rtl/>
              </w:rPr>
              <w:t>המשנה לנשיאה (בדימ')</w:t>
            </w:r>
          </w:p>
        </w:tc>
      </w:tr>
    </w:tbl>
    <w:p w:rsidR="00B8566E" w:rsidRDefault="00B8566E" w:rsidP="008864F4">
      <w:pPr>
        <w:rPr>
          <w:szCs w:val="20"/>
          <w:rtl/>
        </w:rPr>
      </w:pPr>
    </w:p>
    <w:p w:rsidR="00B8566E" w:rsidRDefault="00B8566E" w:rsidP="008864F4">
      <w:pPr>
        <w:rPr>
          <w:szCs w:val="20"/>
          <w:rtl/>
        </w:rPr>
      </w:pPr>
    </w:p>
    <w:p w:rsidR="00B8566E" w:rsidRDefault="00B8566E" w:rsidP="008864F4">
      <w:pPr>
        <w:rPr>
          <w:szCs w:val="20"/>
          <w:rtl/>
        </w:rPr>
      </w:pPr>
    </w:p>
    <w:p w:rsidR="00B8566E" w:rsidRPr="00503A3E" w:rsidRDefault="00B8566E" w:rsidP="00B8566E">
      <w:pPr>
        <w:pStyle w:val="BODYVERDICT"/>
        <w:rPr>
          <w:rFonts w:cs="Miriam"/>
          <w:sz w:val="24"/>
          <w:szCs w:val="24"/>
          <w:u w:val="single"/>
          <w:rtl/>
        </w:rPr>
      </w:pPr>
      <w:r>
        <w:rPr>
          <w:rFonts w:cs="Miriam"/>
          <w:sz w:val="24"/>
          <w:szCs w:val="24"/>
          <w:u w:val="single"/>
          <w:rtl/>
        </w:rPr>
        <w:t>השופטת ד' ברק-ארז</w:t>
      </w:r>
      <w:r w:rsidRPr="00C0292F">
        <w:rPr>
          <w:rFonts w:cs="Miriam"/>
          <w:sz w:val="24"/>
          <w:szCs w:val="24"/>
          <w:rtl/>
        </w:rPr>
        <w:t>:</w:t>
      </w:r>
    </w:p>
    <w:p w:rsidR="00B8566E" w:rsidRDefault="00B8566E" w:rsidP="00B8566E">
      <w:pPr>
        <w:pStyle w:val="Ruller41"/>
        <w:rPr>
          <w:rtl/>
        </w:rPr>
      </w:pPr>
    </w:p>
    <w:p w:rsidR="00B8566E" w:rsidRDefault="00B8566E" w:rsidP="00B8566E">
      <w:pPr>
        <w:pStyle w:val="Ruller41"/>
        <w:rPr>
          <w:rtl/>
        </w:rPr>
      </w:pPr>
      <w:r>
        <w:rPr>
          <w:rFonts w:hint="cs"/>
          <w:rtl/>
        </w:rPr>
        <w:t xml:space="preserve">1. </w:t>
      </w:r>
      <w:r>
        <w:rPr>
          <w:rFonts w:hint="cs"/>
          <w:rtl/>
        </w:rPr>
        <w:tab/>
        <w:t xml:space="preserve">האם חוסר נאמנות מינית הוא שיקול שאמור להשליך על אופן חלוקת הנכסים בין בני הזוג בעת פירוד בכלל, ועל חלוקת הזכויות בדירת המגורים המשפחתית בפרט? מנקודת מבטי, זוהי השאלה העיקרית שנדרשה להכרעתנו במסגרת הדיון הנוסף. זאת, מבלי לגרוע מכך שהמענה לשאלה כרוך בהכרח בסוגיות נוספות הנוגעות לחלוקת הרכוש המשפחתי, ובעיקר לחלוקת הזכויות בדירת המגורים המשפחתית. אקדים ואומר כי אני מסכימה לפסק דינה של חברתי הנשיאה </w:t>
      </w:r>
      <w:r w:rsidRPr="008E0D31">
        <w:rPr>
          <w:rFonts w:ascii="Century" w:hAnsi="Century" w:cs="Miriam" w:hint="cs"/>
          <w:b/>
          <w:spacing w:val="0"/>
          <w:szCs w:val="24"/>
          <w:rtl/>
        </w:rPr>
        <w:t>א' חיות</w:t>
      </w:r>
      <w:r>
        <w:rPr>
          <w:rFonts w:hint="cs"/>
          <w:rtl/>
        </w:rPr>
        <w:t>, אך מבקשת להוסיף עליו מספר דגשים והטעמות הנוגעים למוקד המחלוקת מנקודת מבטי.</w:t>
      </w:r>
    </w:p>
    <w:p w:rsidR="00B8566E" w:rsidRDefault="00B8566E" w:rsidP="00B8566E">
      <w:pPr>
        <w:pStyle w:val="Ruller41"/>
        <w:rPr>
          <w:rtl/>
        </w:rPr>
      </w:pPr>
    </w:p>
    <w:p w:rsidR="00B8566E" w:rsidRDefault="00B8566E" w:rsidP="00B8566E">
      <w:pPr>
        <w:pStyle w:val="Ruller41"/>
        <w:rPr>
          <w:rtl/>
        </w:rPr>
      </w:pPr>
      <w:r>
        <w:rPr>
          <w:rFonts w:hint="cs"/>
          <w:rtl/>
        </w:rPr>
        <w:t xml:space="preserve">2. </w:t>
      </w:r>
      <w:r>
        <w:rPr>
          <w:rtl/>
        </w:rPr>
        <w:tab/>
      </w:r>
      <w:r>
        <w:rPr>
          <w:rFonts w:hint="cs"/>
          <w:rtl/>
        </w:rPr>
        <w:t xml:space="preserve">ראוי לפתוח בכך שבני הזוג אשר עניינם נדון בפנינו היו נשואים זה לזו למעלה משלושים שנים. במשך תקופה של יותר מעשרים שנים הם התגוררו בבית שהוקם על מגרש שקיבל הבעל בירושה, אך נבנה במהלך הנישואין בעת שבני הזוג חיו בהרמוניה, </w:t>
      </w:r>
      <w:r>
        <w:rPr>
          <w:rFonts w:hint="cs"/>
          <w:rtl/>
        </w:rPr>
        <w:lastRenderedPageBreak/>
        <w:t>ביססו את חייהם המשותפים וגידלו את ילדיהם. חרף זאת, פסק דינו של בית הדין הרבני הגדול קבע כי כעת, לאחר שהתגרשו, אין לאשה כל זכויות בבית המגורים המשפחתי, תוך התייחסות לטענות בדבר חוסר נאמנות מינית לכאורה מצדה בתקופה של שלהי הנישואין. הייתכן?</w:t>
      </w:r>
    </w:p>
    <w:p w:rsidR="00B8566E" w:rsidRDefault="00B8566E" w:rsidP="00B8566E">
      <w:pPr>
        <w:pStyle w:val="Ruller41"/>
        <w:rPr>
          <w:rtl/>
        </w:rPr>
      </w:pPr>
    </w:p>
    <w:p w:rsidR="00B8566E" w:rsidRDefault="00B8566E" w:rsidP="00B8566E">
      <w:pPr>
        <w:pStyle w:val="Ruller41"/>
        <w:rPr>
          <w:rtl/>
        </w:rPr>
      </w:pPr>
      <w:r>
        <w:rPr>
          <w:rFonts w:hint="cs"/>
          <w:rtl/>
        </w:rPr>
        <w:t xml:space="preserve">3. </w:t>
      </w:r>
      <w:r>
        <w:rPr>
          <w:rFonts w:hint="cs"/>
          <w:rtl/>
        </w:rPr>
        <w:tab/>
        <w:t xml:space="preserve">לכאורה, ניתן היה לומר כי לא "כצעקתה", מאחר שבפנינו מחלוקת יישומית בלבד. אולם, לשיטתי, כפי שסבר חברי השופט </w:t>
      </w:r>
      <w:r w:rsidRPr="009F3A9D">
        <w:rPr>
          <w:rFonts w:ascii="Century" w:hAnsi="Century" w:cs="Miriam" w:hint="cs"/>
          <w:b/>
          <w:spacing w:val="0"/>
          <w:szCs w:val="24"/>
          <w:rtl/>
        </w:rPr>
        <w:t>י' עמית</w:t>
      </w:r>
      <w:r>
        <w:rPr>
          <w:rFonts w:hint="cs"/>
          <w:rtl/>
        </w:rPr>
        <w:t xml:space="preserve">, בדעת המיעוט שלו בפסק הדין שעליו נסב הדיון הנוסף (להלן: </w:t>
      </w:r>
      <w:r w:rsidRPr="00BB2545">
        <w:rPr>
          <w:rFonts w:ascii="Century" w:hAnsi="Century" w:cs="Miriam" w:hint="cs"/>
          <w:b/>
          <w:spacing w:val="0"/>
          <w:szCs w:val="24"/>
          <w:rtl/>
        </w:rPr>
        <w:t>פסק הדין הקודם</w:t>
      </w:r>
      <w:r>
        <w:rPr>
          <w:rFonts w:hint="cs"/>
          <w:rtl/>
        </w:rPr>
        <w:t>), וכפי שסבורה אף חברתי הנשיאה, לא אלה הם פני הדברים. הקושי העולה מפסק דינו של בית הדין הרבני הגדול אינו נוגע לפן היישומי-קונקרטי של הדין הנוהג בנסיבותיו העובדתיות של מקרה פרטני, כי אם להגדרת הנורמות המשפטיות החלות על חלוקת הרכוש בין בני זוג בישראל. אינני סבורה כי מקורה של המחלוקת במקרה זה הוא עובדתי. לא מיותר להזכיר בהקשר זה כי בית הדין הרבני הגדול הפך את פסק דינו של בית הדין הרבני האזורי, שהגיע למסקנה שונה על סמך אותן קביעות עובדתיות. אם כן, לא מחלוקת עובדתית גרידא עומדת ביסוד ההכרעות השונות במקרה זה.</w:t>
      </w:r>
    </w:p>
    <w:p w:rsidR="00B8566E" w:rsidRDefault="00B8566E" w:rsidP="00B8566E">
      <w:pPr>
        <w:pStyle w:val="Ruller41"/>
        <w:rPr>
          <w:rtl/>
        </w:rPr>
      </w:pPr>
    </w:p>
    <w:p w:rsidR="00B8566E" w:rsidRDefault="00B8566E" w:rsidP="00B8566E">
      <w:pPr>
        <w:pStyle w:val="Ruller41"/>
        <w:rPr>
          <w:rtl/>
        </w:rPr>
      </w:pPr>
      <w:r>
        <w:rPr>
          <w:rFonts w:hint="cs"/>
          <w:rtl/>
        </w:rPr>
        <w:t xml:space="preserve">4. </w:t>
      </w:r>
      <w:r>
        <w:rPr>
          <w:rFonts w:hint="cs"/>
          <w:rtl/>
        </w:rPr>
        <w:tab/>
        <w:t xml:space="preserve">עוד הערה שחשוב להקדים היא שהביקורת על פסיקתו של בית הדין הרבני הגדול במקרה זה נופלת </w:t>
      </w:r>
      <w:proofErr w:type="spellStart"/>
      <w:r>
        <w:rPr>
          <w:rFonts w:hint="cs"/>
          <w:rtl/>
        </w:rPr>
        <w:t>לגדריה</w:t>
      </w:r>
      <w:proofErr w:type="spellEnd"/>
      <w:r>
        <w:rPr>
          <w:rFonts w:hint="cs"/>
          <w:rtl/>
        </w:rPr>
        <w:t xml:space="preserve"> של המסגרת שהותוותה להתערבות בפסיקתם של בתי הדין הדתיים. אכן, בתי הדין הרבניים, בדומה לבתי הדין הדתיים האחרים במדינת ישראל, נהנים מאוטונומיה שיפוטית רחבה. אולם, אוטונומיה זו מוגבלת בהיבטים מסוימים, ואחד מהם הוא החובה לנהוג בתחום </w:t>
      </w:r>
      <w:proofErr w:type="spellStart"/>
      <w:r>
        <w:rPr>
          <w:rFonts w:hint="cs"/>
          <w:rtl/>
        </w:rPr>
        <w:t>הרכושי</w:t>
      </w:r>
      <w:proofErr w:type="spellEnd"/>
      <w:r>
        <w:rPr>
          <w:rFonts w:hint="cs"/>
          <w:rtl/>
        </w:rPr>
        <w:t xml:space="preserve"> בהתאם לעקרונות הבסיסיים של דיני הקניין והחוזים של המשפט הישראלי. כך נפסק בבג"ץ 1000/92 </w:t>
      </w:r>
      <w:r w:rsidRPr="009F3A9D">
        <w:rPr>
          <w:rFonts w:ascii="Century" w:hAnsi="Century" w:cs="Miriam" w:hint="cs"/>
          <w:b/>
          <w:spacing w:val="0"/>
          <w:szCs w:val="24"/>
          <w:rtl/>
        </w:rPr>
        <w:t>בבלי נ' בית הדין הרבני הגדול</w:t>
      </w:r>
      <w:r>
        <w:rPr>
          <w:rFonts w:hint="cs"/>
          <w:rtl/>
        </w:rPr>
        <w:t>, פ"ד מח(2) 221 (1994) לפני שנים רבות, וכך יש לנהוג גם בענייננו. לעמדתי, במקרה שבפנינו נעשתה חריגה של ממש מן העקרונות האמורים, ועל כן דומה שזהו אחד מאותם הקשרים שבהם אין באוטונומיה של בתי הדין הדתיים כדי להכריע את הכף. לא למותר לציין, כי מלכתחילה האוטונומיה הרחבה של בתי הדין הדתיים נעוצה גם בתפיסה בדבר מומחיותם המובהקת בדין הדתי. אין ספק שנקודת האיזון היא שונה כאשר בתי הדין הדתיים מיישמים את הדין הכללי, אשר ביחס אליו בית המשפט העליון הוא הפרשן המוסמך.</w:t>
      </w:r>
    </w:p>
    <w:p w:rsidR="00B8566E" w:rsidRDefault="00B8566E" w:rsidP="00B8566E">
      <w:pPr>
        <w:pStyle w:val="Ruller41"/>
        <w:rPr>
          <w:rtl/>
        </w:rPr>
      </w:pPr>
    </w:p>
    <w:p w:rsidR="00B8566E" w:rsidRDefault="00B8566E" w:rsidP="00B8566E">
      <w:pPr>
        <w:pStyle w:val="Ruller41"/>
        <w:rPr>
          <w:rtl/>
        </w:rPr>
      </w:pPr>
      <w:r>
        <w:rPr>
          <w:rFonts w:hint="cs"/>
          <w:rtl/>
        </w:rPr>
        <w:t xml:space="preserve">5. </w:t>
      </w:r>
      <w:r>
        <w:rPr>
          <w:rFonts w:hint="cs"/>
          <w:rtl/>
        </w:rPr>
        <w:tab/>
        <w:t xml:space="preserve">כאמור, אבקש להתמקד בסוגיה שבעיני היא העיקר, ולמיטב הבנתי עמדה ביסוד ההחלטה לקיים דיון נוסף בפסק הדין הקודם: שאלת ההתחשבות בשיקולים שעניינם חוסר נאמנות מינית לצורך הכרעות הנוגעות לרכוש המשפחתי. בהקשר לכך אבקש להתייחס לשני עקרונות משלימים. ראשית, אני סבורה כי אין מקום להתחשבות </w:t>
      </w:r>
      <w:r>
        <w:rPr>
          <w:rFonts w:hint="cs"/>
          <w:rtl/>
        </w:rPr>
        <w:lastRenderedPageBreak/>
        <w:t xml:space="preserve">בשיקולים שעניינם חוסר נאמנות מינית כבסיס לשלילת שיתוף בנכסים בין בני זוג. זאת, על בסיס עמדה עקרונית השוללת ככלל התחשבות בשיקולי אשם בחלוקת הרכוש המשפחתי. שנית, אני סבורה כי אין לסטות ממסקנה זו על בסיס עמדה של כוונה מיוחסת לצדדים. </w:t>
      </w:r>
    </w:p>
    <w:p w:rsidR="00B8566E" w:rsidRDefault="00B8566E" w:rsidP="00B8566E">
      <w:pPr>
        <w:pStyle w:val="Ruller41"/>
        <w:rPr>
          <w:rtl/>
        </w:rPr>
      </w:pPr>
    </w:p>
    <w:p w:rsidR="00B8566E" w:rsidRDefault="00B8566E" w:rsidP="00B8566E">
      <w:pPr>
        <w:pStyle w:val="Ruller41"/>
        <w:rPr>
          <w:rtl/>
        </w:rPr>
      </w:pPr>
      <w:r>
        <w:rPr>
          <w:rFonts w:hint="cs"/>
          <w:rtl/>
        </w:rPr>
        <w:t xml:space="preserve">6. </w:t>
      </w:r>
      <w:r>
        <w:rPr>
          <w:rtl/>
        </w:rPr>
        <w:tab/>
      </w:r>
      <w:r>
        <w:rPr>
          <w:rFonts w:hint="cs"/>
          <w:rtl/>
        </w:rPr>
        <w:t>לצד זאת, ולאחר שחלק מחבריי להרכב פרסו יריעה רחבה הנוגעת לדינים החלים על שיתוף ספציפי בדירת מגורים אדרש בקצרה אף לכך. בעיקרו של דבר, אדגיש בהקשר זה כי שיתוף כאמור אינו אמור להיות מבוסס רק על חישובים הנוגעים לתרומה כספית-כלכלית לתא המשפחתי.</w:t>
      </w:r>
    </w:p>
    <w:p w:rsidR="00B8566E" w:rsidRDefault="00B8566E" w:rsidP="00B8566E">
      <w:pPr>
        <w:pStyle w:val="Ruller41"/>
        <w:rPr>
          <w:rtl/>
        </w:rPr>
      </w:pPr>
    </w:p>
    <w:p w:rsidR="00B8566E" w:rsidRDefault="00B8566E" w:rsidP="00B8566E">
      <w:pPr>
        <w:pStyle w:val="Ruller41"/>
        <w:rPr>
          <w:rtl/>
        </w:rPr>
      </w:pPr>
      <w:r>
        <w:rPr>
          <w:rFonts w:ascii="Century" w:hAnsi="Century" w:cs="Miriam" w:hint="cs"/>
          <w:b/>
          <w:spacing w:val="0"/>
          <w:szCs w:val="24"/>
          <w:rtl/>
        </w:rPr>
        <w:t>חוסר נאמנות מינית ו</w:t>
      </w:r>
      <w:r w:rsidRPr="00CF6E8F">
        <w:rPr>
          <w:rFonts w:ascii="Century" w:hAnsi="Century" w:cs="Miriam" w:hint="cs"/>
          <w:b/>
          <w:spacing w:val="0"/>
          <w:szCs w:val="24"/>
          <w:rtl/>
        </w:rPr>
        <w:t>שיקולי אשם בחלוקת רכוש</w:t>
      </w:r>
    </w:p>
    <w:p w:rsidR="00B8566E" w:rsidRDefault="00B8566E" w:rsidP="00B8566E">
      <w:pPr>
        <w:pStyle w:val="Ruller41"/>
        <w:rPr>
          <w:rtl/>
        </w:rPr>
      </w:pPr>
    </w:p>
    <w:p w:rsidR="00B8566E" w:rsidRPr="00A45D0D" w:rsidRDefault="00B8566E" w:rsidP="00B8566E">
      <w:pPr>
        <w:pStyle w:val="Ruller41"/>
        <w:rPr>
          <w:rtl/>
        </w:rPr>
      </w:pPr>
      <w:r>
        <w:rPr>
          <w:rFonts w:hint="cs"/>
          <w:rtl/>
        </w:rPr>
        <w:t xml:space="preserve">7. </w:t>
      </w:r>
      <w:r>
        <w:rPr>
          <w:rFonts w:hint="cs"/>
          <w:rtl/>
        </w:rPr>
        <w:tab/>
        <w:t xml:space="preserve">כפי שהראתה חברתי הנשיאה, בית הדין הרבני הגדול אכן התבסס בפסיקתו על שיקולי אשם הנוגעים לסוגיית הנאמנות המינית. פסיקה זו אינה מתיישבת עם העמדה המשפטית הערכית והעקרונית שהתקבלה בשיטתנו, באשר לכך שביסודם של דברים המשטר </w:t>
      </w:r>
      <w:proofErr w:type="spellStart"/>
      <w:r>
        <w:rPr>
          <w:rFonts w:hint="cs"/>
          <w:rtl/>
        </w:rPr>
        <w:t>הרכושי</w:t>
      </w:r>
      <w:proofErr w:type="spellEnd"/>
      <w:r>
        <w:rPr>
          <w:rFonts w:hint="cs"/>
          <w:rtl/>
        </w:rPr>
        <w:t xml:space="preserve"> בדיני המשפחה שלנו אינו מבוסס </w:t>
      </w:r>
      <w:r>
        <w:rPr>
          <w:rtl/>
        </w:rPr>
        <w:t>–</w:t>
      </w:r>
      <w:r>
        <w:rPr>
          <w:rFonts w:hint="cs"/>
          <w:rtl/>
        </w:rPr>
        <w:t xml:space="preserve"> ככלל </w:t>
      </w:r>
      <w:r>
        <w:rPr>
          <w:rtl/>
        </w:rPr>
        <w:t>–</w:t>
      </w:r>
      <w:r>
        <w:rPr>
          <w:rFonts w:hint="cs"/>
          <w:rtl/>
        </w:rPr>
        <w:t xml:space="preserve"> על אשם (ראו: </w:t>
      </w:r>
      <w:proofErr w:type="spellStart"/>
      <w:r>
        <w:rPr>
          <w:rFonts w:hint="cs"/>
          <w:rtl/>
        </w:rPr>
        <w:t>בע"ם</w:t>
      </w:r>
      <w:proofErr w:type="spellEnd"/>
      <w:r>
        <w:rPr>
          <w:rFonts w:hint="cs"/>
          <w:rtl/>
        </w:rPr>
        <w:t xml:space="preserve"> 7272/10 </w:t>
      </w:r>
      <w:r w:rsidRPr="009F3A9D">
        <w:rPr>
          <w:rFonts w:ascii="Century" w:hAnsi="Century" w:cs="Miriam" w:hint="cs"/>
          <w:b/>
          <w:spacing w:val="0"/>
          <w:szCs w:val="24"/>
          <w:rtl/>
        </w:rPr>
        <w:t>פלונית נ' פלוני</w:t>
      </w:r>
      <w:r>
        <w:rPr>
          <w:rFonts w:hint="cs"/>
          <w:rtl/>
        </w:rPr>
        <w:t xml:space="preserve">, פסקה 24 לפסק דיני (7.1.2014) (להלן: </w:t>
      </w:r>
      <w:proofErr w:type="spellStart"/>
      <w:r w:rsidRPr="009F3A9D">
        <w:rPr>
          <w:rFonts w:ascii="Century" w:hAnsi="Century" w:cs="Miriam" w:hint="cs"/>
          <w:b/>
          <w:spacing w:val="0"/>
          <w:szCs w:val="24"/>
          <w:rtl/>
        </w:rPr>
        <w:t>בע"ם</w:t>
      </w:r>
      <w:proofErr w:type="spellEnd"/>
      <w:r w:rsidRPr="009F3A9D">
        <w:rPr>
          <w:rFonts w:ascii="Century" w:hAnsi="Century" w:cs="Miriam" w:hint="cs"/>
          <w:b/>
          <w:spacing w:val="0"/>
          <w:szCs w:val="24"/>
          <w:rtl/>
        </w:rPr>
        <w:t xml:space="preserve"> 7272/10</w:t>
      </w:r>
      <w:r>
        <w:rPr>
          <w:rFonts w:hint="cs"/>
          <w:rtl/>
        </w:rPr>
        <w:t xml:space="preserve">). לסקירה נוספת של המצב המשפטי בתחום זה, ראו: ליאור משאלי-שלומאי </w:t>
      </w:r>
      <w:r w:rsidRPr="00542508">
        <w:rPr>
          <w:rFonts w:ascii="Century" w:hAnsi="Century" w:cs="Miriam" w:hint="cs"/>
          <w:b/>
          <w:spacing w:val="0"/>
          <w:szCs w:val="24"/>
          <w:rtl/>
        </w:rPr>
        <w:t>שיפוט מוסרי של התנהגויות בדיני הגירושין והפיטורין</w:t>
      </w:r>
      <w:r>
        <w:rPr>
          <w:rFonts w:hint="cs"/>
          <w:rtl/>
        </w:rPr>
        <w:t xml:space="preserve"> 130-107 (חיבור לשם קבלת תואר "דוקטור לפילוסופיה", אוניברסיטת בר-אילן 2014)). זאת, בהתאם למגמה הכללית של מערכות משפט במדינות מערביות וליברליות, שאימצו משטר כללי של </w:t>
      </w:r>
      <w:r w:rsidRPr="002D7B9E">
        <w:rPr>
          <w:rFonts w:ascii="Times New Roman" w:hAnsi="Times New Roman" w:cs="Times New Roman"/>
          <w:sz w:val="24"/>
          <w:szCs w:val="24"/>
        </w:rPr>
        <w:t>No-Fault Divorce</w:t>
      </w:r>
      <w:r>
        <w:rPr>
          <w:rFonts w:hint="cs"/>
          <w:rtl/>
        </w:rPr>
        <w:t xml:space="preserve">, דהיינו גירושין ללא אשם (ראו: שחר ליפשיץ "ברצוני להתגרש </w:t>
      </w:r>
      <w:proofErr w:type="spellStart"/>
      <w:r>
        <w:rPr>
          <w:rFonts w:hint="cs"/>
          <w:rtl/>
        </w:rPr>
        <w:t>ומייד</w:t>
      </w:r>
      <w:proofErr w:type="spellEnd"/>
      <w:r>
        <w:rPr>
          <w:rFonts w:hint="cs"/>
          <w:rtl/>
        </w:rPr>
        <w:t xml:space="preserve">! על ההסדרה האזרחית של הגירושים" </w:t>
      </w:r>
      <w:r w:rsidRPr="00A45D0D">
        <w:rPr>
          <w:rFonts w:ascii="Century" w:hAnsi="Century" w:cs="Miriam" w:hint="cs"/>
          <w:b/>
          <w:spacing w:val="0"/>
          <w:szCs w:val="24"/>
          <w:rtl/>
        </w:rPr>
        <w:t>עיוני משפט</w:t>
      </w:r>
      <w:r>
        <w:rPr>
          <w:rFonts w:hint="cs"/>
          <w:rtl/>
        </w:rPr>
        <w:t xml:space="preserve"> </w:t>
      </w:r>
      <w:proofErr w:type="spellStart"/>
      <w:r>
        <w:rPr>
          <w:rFonts w:hint="cs"/>
          <w:rtl/>
        </w:rPr>
        <w:t>כח</w:t>
      </w:r>
      <w:proofErr w:type="spellEnd"/>
      <w:r>
        <w:rPr>
          <w:rFonts w:hint="cs"/>
          <w:rtl/>
        </w:rPr>
        <w:t xml:space="preserve"> 671, 688-680 (2005)). הטעמים התומכים בכך הם רבים, כמפורט להלן. </w:t>
      </w:r>
    </w:p>
    <w:p w:rsidR="00B8566E" w:rsidRDefault="00B8566E" w:rsidP="00B8566E">
      <w:pPr>
        <w:pStyle w:val="Ruller41"/>
        <w:rPr>
          <w:rFonts w:ascii="Century" w:hAnsi="Century" w:cs="Miriam"/>
          <w:b/>
          <w:spacing w:val="0"/>
          <w:szCs w:val="24"/>
          <w:rtl/>
        </w:rPr>
      </w:pPr>
    </w:p>
    <w:p w:rsidR="00B8566E" w:rsidRPr="009F3A9D" w:rsidRDefault="00B8566E" w:rsidP="00B8566E">
      <w:pPr>
        <w:pStyle w:val="Ruller41"/>
        <w:rPr>
          <w:rFonts w:ascii="Century" w:hAnsi="Century"/>
          <w:rtl/>
        </w:rPr>
      </w:pPr>
      <w:r>
        <w:rPr>
          <w:rFonts w:hint="cs"/>
          <w:rtl/>
        </w:rPr>
        <w:t>8.</w:t>
      </w:r>
      <w:r>
        <w:rPr>
          <w:rFonts w:ascii="Century" w:hAnsi="Century" w:cs="Miriam"/>
          <w:b/>
          <w:spacing w:val="0"/>
          <w:szCs w:val="24"/>
          <w:rtl/>
        </w:rPr>
        <w:tab/>
      </w:r>
      <w:r>
        <w:rPr>
          <w:rFonts w:hint="cs"/>
          <w:rtl/>
        </w:rPr>
        <w:t xml:space="preserve">משטר של אשם יוצר תמריץ להעמקת הסכסוך ולליבויו במסגרת הליך הגירושין. </w:t>
      </w:r>
      <w:r>
        <w:rPr>
          <w:rFonts w:ascii="Century" w:hAnsi="Century" w:hint="cs"/>
          <w:rtl/>
        </w:rPr>
        <w:t xml:space="preserve">כידוע, המגמה במשפטנו היא </w:t>
      </w:r>
      <w:r w:rsidRPr="009F3A9D">
        <w:rPr>
          <w:rFonts w:ascii="Century" w:hAnsi="Century" w:cs="Miriam" w:hint="cs"/>
          <w:b/>
          <w:spacing w:val="0"/>
          <w:szCs w:val="24"/>
          <w:rtl/>
        </w:rPr>
        <w:t>לצמצם</w:t>
      </w:r>
      <w:r w:rsidRPr="00DC54F9">
        <w:rPr>
          <w:rFonts w:ascii="Century" w:hAnsi="Century" w:hint="cs"/>
          <w:rtl/>
        </w:rPr>
        <w:t xml:space="preserve"> </w:t>
      </w:r>
      <w:r>
        <w:rPr>
          <w:rFonts w:ascii="Century" w:hAnsi="Century" w:hint="cs"/>
          <w:rtl/>
        </w:rPr>
        <w:t xml:space="preserve">את עצימות הסכסוך המשפחתי העומד ברקע הליך הגירושין, מתוך הכרה בהשפעות הקשות הכרוכות בכך הן על הצדדים והן על ילדיהם. מגמה זו עומדת ברקע לתיקוני חקיקה שמטרתם לקדם מנגנוני יישוב סכסוכים בהסכמה בדיני משפחה (ראו: </w:t>
      </w:r>
      <w:r w:rsidRPr="005D12A3">
        <w:rPr>
          <w:rFonts w:ascii="Century" w:hAnsi="Century" w:hint="eastAsia"/>
          <w:rtl/>
        </w:rPr>
        <w:t>חוק</w:t>
      </w:r>
      <w:r w:rsidRPr="005D12A3">
        <w:rPr>
          <w:rFonts w:ascii="Century" w:hAnsi="Century"/>
          <w:rtl/>
        </w:rPr>
        <w:t xml:space="preserve"> </w:t>
      </w:r>
      <w:r w:rsidRPr="005D12A3">
        <w:rPr>
          <w:rFonts w:ascii="Century" w:hAnsi="Century" w:hint="eastAsia"/>
          <w:rtl/>
        </w:rPr>
        <w:t>להסדר</w:t>
      </w:r>
      <w:r w:rsidRPr="005D12A3">
        <w:rPr>
          <w:rFonts w:ascii="Century" w:hAnsi="Century"/>
          <w:rtl/>
        </w:rPr>
        <w:t xml:space="preserve"> </w:t>
      </w:r>
      <w:r w:rsidRPr="005D12A3">
        <w:rPr>
          <w:rFonts w:ascii="Century" w:hAnsi="Century" w:hint="eastAsia"/>
          <w:rtl/>
        </w:rPr>
        <w:t>התדיינויות</w:t>
      </w:r>
      <w:r w:rsidRPr="005D12A3">
        <w:rPr>
          <w:rFonts w:ascii="Century" w:hAnsi="Century"/>
          <w:rtl/>
        </w:rPr>
        <w:t xml:space="preserve"> </w:t>
      </w:r>
      <w:r w:rsidRPr="005D12A3">
        <w:rPr>
          <w:rFonts w:ascii="Century" w:hAnsi="Century" w:hint="eastAsia"/>
          <w:rtl/>
        </w:rPr>
        <w:t>בסכסוכי</w:t>
      </w:r>
      <w:r w:rsidRPr="005D12A3">
        <w:rPr>
          <w:rFonts w:ascii="Century" w:hAnsi="Century"/>
          <w:rtl/>
        </w:rPr>
        <w:t xml:space="preserve"> </w:t>
      </w:r>
      <w:r w:rsidRPr="005D12A3">
        <w:rPr>
          <w:rFonts w:ascii="Century" w:hAnsi="Century" w:hint="eastAsia"/>
          <w:rtl/>
        </w:rPr>
        <w:t>משפחה</w:t>
      </w:r>
      <w:r w:rsidRPr="005D12A3">
        <w:rPr>
          <w:rFonts w:ascii="Century" w:hAnsi="Century"/>
          <w:rtl/>
        </w:rPr>
        <w:t xml:space="preserve"> (</w:t>
      </w:r>
      <w:r w:rsidRPr="005D12A3">
        <w:rPr>
          <w:rFonts w:ascii="Century" w:hAnsi="Century" w:hint="eastAsia"/>
          <w:rtl/>
        </w:rPr>
        <w:t>הוראת</w:t>
      </w:r>
      <w:r w:rsidRPr="005D12A3">
        <w:rPr>
          <w:rFonts w:ascii="Century" w:hAnsi="Century"/>
          <w:rtl/>
        </w:rPr>
        <w:t xml:space="preserve"> </w:t>
      </w:r>
      <w:r w:rsidRPr="005D12A3">
        <w:rPr>
          <w:rFonts w:ascii="Century" w:hAnsi="Century" w:hint="eastAsia"/>
          <w:rtl/>
        </w:rPr>
        <w:t>שעה</w:t>
      </w:r>
      <w:r w:rsidRPr="005D12A3">
        <w:rPr>
          <w:rFonts w:ascii="Century" w:hAnsi="Century"/>
          <w:rtl/>
        </w:rPr>
        <w:t xml:space="preserve">), </w:t>
      </w:r>
      <w:r>
        <w:rPr>
          <w:rFonts w:ascii="Century" w:hAnsi="Century" w:hint="cs"/>
          <w:rtl/>
        </w:rPr>
        <w:t>ה</w:t>
      </w:r>
      <w:r w:rsidRPr="005D12A3">
        <w:rPr>
          <w:rFonts w:ascii="Century" w:hAnsi="Century" w:hint="eastAsia"/>
          <w:rtl/>
        </w:rPr>
        <w:t>תשע</w:t>
      </w:r>
      <w:r w:rsidRPr="005D12A3">
        <w:rPr>
          <w:rFonts w:ascii="Century" w:hAnsi="Century"/>
          <w:rtl/>
        </w:rPr>
        <w:t>"</w:t>
      </w:r>
      <w:r w:rsidRPr="005D12A3">
        <w:rPr>
          <w:rFonts w:ascii="Century" w:hAnsi="Century" w:hint="eastAsia"/>
          <w:rtl/>
        </w:rPr>
        <w:t>ה</w:t>
      </w:r>
      <w:r w:rsidRPr="005D12A3">
        <w:rPr>
          <w:rFonts w:ascii="Century" w:hAnsi="Century"/>
          <w:rtl/>
        </w:rPr>
        <w:t>-2014</w:t>
      </w:r>
      <w:r>
        <w:rPr>
          <w:rFonts w:ascii="Century" w:hAnsi="Century" w:hint="cs"/>
          <w:rtl/>
        </w:rPr>
        <w:t xml:space="preserve">, ודברי ההסבר לחוק זה </w:t>
      </w:r>
      <w:r>
        <w:rPr>
          <w:rFonts w:ascii="Century" w:hAnsi="Century"/>
          <w:rtl/>
        </w:rPr>
        <w:t>–</w:t>
      </w:r>
      <w:r>
        <w:rPr>
          <w:rFonts w:ascii="Century" w:hAnsi="Century" w:hint="cs"/>
          <w:rtl/>
        </w:rPr>
        <w:t xml:space="preserve"> הצעת חוק להסדר התדיינות בסכסוכי משפחה, התשע"ד-2014, </w:t>
      </w:r>
      <w:proofErr w:type="spellStart"/>
      <w:r>
        <w:rPr>
          <w:rFonts w:ascii="Century" w:hAnsi="Century" w:hint="cs"/>
          <w:rtl/>
        </w:rPr>
        <w:t>ה"ח</w:t>
      </w:r>
      <w:proofErr w:type="spellEnd"/>
      <w:r>
        <w:rPr>
          <w:rFonts w:ascii="Century" w:hAnsi="Century" w:hint="cs"/>
          <w:rtl/>
        </w:rPr>
        <w:t xml:space="preserve"> 908. ראו גם: הילה מלר-שלו "המרחב </w:t>
      </w:r>
      <w:proofErr w:type="spellStart"/>
      <w:r>
        <w:rPr>
          <w:rFonts w:ascii="Century" w:hAnsi="Century" w:hint="cs"/>
          <w:rtl/>
        </w:rPr>
        <w:t>ה'משפטיפולי</w:t>
      </w:r>
      <w:proofErr w:type="spellEnd"/>
      <w:r>
        <w:rPr>
          <w:rFonts w:ascii="Century" w:hAnsi="Century" w:hint="cs"/>
          <w:rtl/>
        </w:rPr>
        <w:t xml:space="preserve">': מופעי המפגש בין ה'משפטי' ל'טיפולי' בעבודת יחידות הסיוע ובתי המשפט לענייני משפחה" </w:t>
      </w:r>
      <w:r w:rsidRPr="009F3A9D">
        <w:rPr>
          <w:rFonts w:ascii="Century" w:hAnsi="Century" w:cs="Miriam" w:hint="cs"/>
          <w:b/>
          <w:spacing w:val="0"/>
          <w:szCs w:val="24"/>
          <w:rtl/>
        </w:rPr>
        <w:t>המשפט</w:t>
      </w:r>
      <w:r w:rsidRPr="002765E2">
        <w:rPr>
          <w:rFonts w:ascii="Century" w:hAnsi="Century" w:hint="cs"/>
          <w:rtl/>
        </w:rPr>
        <w:t xml:space="preserve"> </w:t>
      </w:r>
      <w:proofErr w:type="spellStart"/>
      <w:r>
        <w:rPr>
          <w:rFonts w:ascii="Century" w:hAnsi="Century" w:hint="cs"/>
          <w:rtl/>
        </w:rPr>
        <w:t>כג</w:t>
      </w:r>
      <w:proofErr w:type="spellEnd"/>
      <w:r>
        <w:rPr>
          <w:rFonts w:ascii="Century" w:hAnsi="Century" w:hint="cs"/>
          <w:rtl/>
        </w:rPr>
        <w:t xml:space="preserve"> 87 (2017)). </w:t>
      </w:r>
    </w:p>
    <w:p w:rsidR="00B8566E" w:rsidRDefault="00B8566E" w:rsidP="00B8566E">
      <w:pPr>
        <w:pStyle w:val="Ruller41"/>
        <w:rPr>
          <w:rFonts w:ascii="Century" w:hAnsi="Century" w:cs="Miriam"/>
          <w:b/>
          <w:spacing w:val="0"/>
          <w:szCs w:val="24"/>
          <w:rtl/>
        </w:rPr>
      </w:pPr>
    </w:p>
    <w:p w:rsidR="00B8566E" w:rsidRDefault="00B8566E" w:rsidP="00B8566E">
      <w:pPr>
        <w:pStyle w:val="Ruller41"/>
        <w:rPr>
          <w:rtl/>
        </w:rPr>
      </w:pPr>
      <w:r>
        <w:rPr>
          <w:rFonts w:hint="cs"/>
          <w:rtl/>
        </w:rPr>
        <w:t>9.</w:t>
      </w:r>
      <w:r>
        <w:rPr>
          <w:rFonts w:ascii="Century" w:hAnsi="Century" w:cs="Miriam"/>
          <w:b/>
          <w:spacing w:val="0"/>
          <w:szCs w:val="24"/>
          <w:rtl/>
        </w:rPr>
        <w:tab/>
      </w:r>
      <w:r>
        <w:rPr>
          <w:rFonts w:hint="cs"/>
          <w:rtl/>
        </w:rPr>
        <w:t>משטר של אשם אף עלול לגרור את בית המשפט לבירור שאלות מורכבות מעולם הרגש ומדעי ההתנהגות שאינן מתאימות להכרעה שיפוטית. הוא גם מחייב להידרש לשאלה הערכית מהו בכלל אשם ביחסים זוגיים. למעשה, אם באשם עסקינן, הרי שאין מקום לבודד את ההתייחסות לשאלות של "בגידה" ונאמנות במישור המיני. התנהגות הפוגמת במערכת היחסים הזוגית יכולה לבוא לידי ביטוי גם במישורים אחרים, כדוגמת אכזריות רגשית והשפלה. התייחסות לחוסר נאמנות מינית בנפרד משלל התנהגויות פוגעניות וקשות אחרות אינה נכונה. כלל שבגדרו המסגרת המשפטית תשמש אכסניה אך לטענות שעניינן חוסר נאמנות מינית אך תסגור את הדלת בפני איומים חמורים אחרים על המערכת הזוגית איננו הגיוני. לעומת זאת, פתיחת הדלת כך שההתדיינות בין הצדדים תקיף את כלל ההתנהגויות האמורות אינה רצויה, אינה אפשרית ואף עלולה להפוך את בתי המשפט לזירת "התחשבנויות" כללית בין בני הזוג. הרצון להימנע מכך עמד אם כן ברקע המגמה הכללית הרווחת במדינות אחרות בעולם למעבר למשטר של גירושין ללא אשם (ראו: רות הלפרין-</w:t>
      </w:r>
      <w:proofErr w:type="spellStart"/>
      <w:r>
        <w:rPr>
          <w:rFonts w:hint="cs"/>
          <w:rtl/>
        </w:rPr>
        <w:t>קדרי</w:t>
      </w:r>
      <w:proofErr w:type="spellEnd"/>
      <w:r>
        <w:rPr>
          <w:rFonts w:hint="cs"/>
          <w:rtl/>
        </w:rPr>
        <w:t xml:space="preserve"> "שיקולי מוסר בדיני משפחה וקריאה פמיניסטית של פסיקת המשפחה בישראל" </w:t>
      </w:r>
      <w:r w:rsidRPr="009F3A9D">
        <w:rPr>
          <w:rFonts w:ascii="Century" w:hAnsi="Century" w:cs="Miriam" w:hint="cs"/>
          <w:b/>
          <w:spacing w:val="0"/>
          <w:szCs w:val="24"/>
          <w:rtl/>
        </w:rPr>
        <w:t>עיונים במשפט, מגדר ופמיניזם</w:t>
      </w:r>
      <w:r w:rsidRPr="00A64F02">
        <w:rPr>
          <w:rFonts w:hint="cs"/>
          <w:rtl/>
        </w:rPr>
        <w:t xml:space="preserve"> </w:t>
      </w:r>
      <w:r>
        <w:rPr>
          <w:rFonts w:hint="cs"/>
          <w:rtl/>
        </w:rPr>
        <w:t xml:space="preserve">651, 674-673 (דפנה ברק-ארז ואחרות עורכות, 2007)). אוסיף ואציין כי עמדתי על שיקולים אלה אף במקרה שבו נדונה ההשלכה של ניסיון רצח על חלוקת הרכוש המשפחתי (שבו סברתי כי בן הזוג שהורשע במעשה לא יוכל לחלוק בזכויות הפנסיה של אשתו, מאחר שבנסיבות אותו מקרה משמעות הדברים הייתה הנאה מפרי המעשה הפסול עצמו. ראו והשוו: </w:t>
      </w:r>
      <w:proofErr w:type="spellStart"/>
      <w:r w:rsidRPr="00676D69">
        <w:rPr>
          <w:rFonts w:ascii="Century" w:hAnsi="Century" w:cs="Miriam" w:hint="cs"/>
          <w:b/>
          <w:spacing w:val="0"/>
          <w:szCs w:val="24"/>
          <w:rtl/>
        </w:rPr>
        <w:t>בע"ם</w:t>
      </w:r>
      <w:proofErr w:type="spellEnd"/>
      <w:r w:rsidRPr="00676D69">
        <w:rPr>
          <w:rFonts w:ascii="Century" w:hAnsi="Century" w:cs="Miriam" w:hint="cs"/>
          <w:b/>
          <w:spacing w:val="0"/>
          <w:szCs w:val="24"/>
          <w:rtl/>
        </w:rPr>
        <w:t xml:space="preserve"> 7272/10</w:t>
      </w:r>
      <w:r>
        <w:rPr>
          <w:rFonts w:hint="cs"/>
          <w:rtl/>
        </w:rPr>
        <w:t>).</w:t>
      </w:r>
    </w:p>
    <w:p w:rsidR="00B8566E" w:rsidRDefault="00B8566E" w:rsidP="00B8566E">
      <w:pPr>
        <w:pStyle w:val="Ruller41"/>
        <w:rPr>
          <w:rtl/>
        </w:rPr>
      </w:pPr>
    </w:p>
    <w:p w:rsidR="00B8566E" w:rsidRDefault="00B8566E" w:rsidP="00B8566E">
      <w:pPr>
        <w:pStyle w:val="Ruller41"/>
        <w:rPr>
          <w:rtl/>
        </w:rPr>
      </w:pPr>
      <w:r>
        <w:rPr>
          <w:rFonts w:hint="cs"/>
          <w:rtl/>
        </w:rPr>
        <w:t xml:space="preserve">10. </w:t>
      </w:r>
      <w:r>
        <w:rPr>
          <w:rtl/>
        </w:rPr>
        <w:tab/>
      </w:r>
      <w:r>
        <w:rPr>
          <w:rFonts w:hint="cs"/>
          <w:rtl/>
        </w:rPr>
        <w:t xml:space="preserve">התחשבות בהתנהגות מוסרית פסולה לכאורה, בנסיבות שבהן זו התרחשה בשלב מאוחר של המערכת הזוגית, עלולה גם להוביל לפגיעה אנושה בביטחון הסוציאלי של בן הזוג הנוגע בדבר. התנהלותם של בני הזוג במישור החיים הכלכליים מושפעת גם מן המערכת הזוגית. במקרים רבים, אחד מבני הזוג </w:t>
      </w:r>
      <w:r>
        <w:rPr>
          <w:rtl/>
        </w:rPr>
        <w:t>–</w:t>
      </w:r>
      <w:r>
        <w:rPr>
          <w:rFonts w:hint="cs"/>
          <w:rtl/>
        </w:rPr>
        <w:t xml:space="preserve"> במציאות </w:t>
      </w:r>
      <w:proofErr w:type="spellStart"/>
      <w:r>
        <w:rPr>
          <w:rFonts w:hint="cs"/>
          <w:rtl/>
        </w:rPr>
        <w:t>דהיום</w:t>
      </w:r>
      <w:proofErr w:type="spellEnd"/>
      <w:r>
        <w:rPr>
          <w:rFonts w:hint="cs"/>
          <w:rtl/>
        </w:rPr>
        <w:t xml:space="preserve"> במקרים רבים יותר מדובר בבת הזוג, אך השיקול הוא בעל אופי עקרוני </w:t>
      </w:r>
      <w:r>
        <w:rPr>
          <w:rtl/>
        </w:rPr>
        <w:t>–</w:t>
      </w:r>
      <w:r>
        <w:rPr>
          <w:rFonts w:hint="cs"/>
          <w:rtl/>
        </w:rPr>
        <w:t xml:space="preserve"> אינו פועל כשחקן כלכלי מלא בזירה הכלכלית שמחוץ למסגרת הביתית, תוך הסתמכות על השיתוף בינו לבין בן זוגו. התחשבות בבגידה או בפגיעה קשה אחרת בבן הזוג בשלב מאוחר של המערכת הזוגית עלולה לטרוף הסתמכות כלכלית של חיים שלמים. זוהי תוצאה קשה שאין לה מקבילה בהקשרים משפטיים אחרים.</w:t>
      </w:r>
    </w:p>
    <w:p w:rsidR="00B8566E" w:rsidRDefault="00B8566E" w:rsidP="00B8566E">
      <w:pPr>
        <w:pStyle w:val="Ruller41"/>
        <w:rPr>
          <w:rtl/>
        </w:rPr>
      </w:pPr>
    </w:p>
    <w:p w:rsidR="00B8566E" w:rsidRPr="00DF4298" w:rsidRDefault="00B8566E" w:rsidP="00B8566E">
      <w:pPr>
        <w:pStyle w:val="Ruller41"/>
        <w:rPr>
          <w:rFonts w:ascii="Century" w:hAnsi="Century"/>
          <w:rtl/>
        </w:rPr>
      </w:pPr>
      <w:r>
        <w:rPr>
          <w:rFonts w:ascii="Century" w:hAnsi="Century" w:hint="cs"/>
          <w:rtl/>
        </w:rPr>
        <w:t>11</w:t>
      </w:r>
      <w:r w:rsidRPr="00DF4298">
        <w:rPr>
          <w:rFonts w:ascii="Century" w:hAnsi="Century" w:hint="cs"/>
          <w:rtl/>
        </w:rPr>
        <w:t xml:space="preserve">. </w:t>
      </w:r>
      <w:r w:rsidRPr="00DF4298">
        <w:rPr>
          <w:rFonts w:ascii="Century" w:hAnsi="Century" w:hint="cs"/>
          <w:rtl/>
        </w:rPr>
        <w:tab/>
        <w:t>ל</w:t>
      </w:r>
      <w:r>
        <w:rPr>
          <w:rFonts w:ascii="Century" w:hAnsi="Century" w:hint="cs"/>
          <w:rtl/>
        </w:rPr>
        <w:t xml:space="preserve">צדם של </w:t>
      </w:r>
      <w:r w:rsidRPr="00DF4298">
        <w:rPr>
          <w:rFonts w:ascii="Century" w:hAnsi="Century" w:hint="cs"/>
          <w:rtl/>
        </w:rPr>
        <w:t xml:space="preserve">שיקולים עקרוניים </w:t>
      </w:r>
      <w:r>
        <w:rPr>
          <w:rFonts w:ascii="Century" w:hAnsi="Century" w:hint="cs"/>
          <w:rtl/>
        </w:rPr>
        <w:t>נודעת חשיבות גם ל</w:t>
      </w:r>
      <w:r w:rsidRPr="00DF4298">
        <w:rPr>
          <w:rFonts w:ascii="Century" w:hAnsi="Century" w:hint="cs"/>
          <w:rtl/>
        </w:rPr>
        <w:t xml:space="preserve">שיקול </w:t>
      </w:r>
      <w:r>
        <w:rPr>
          <w:rFonts w:ascii="Century" w:hAnsi="Century" w:hint="cs"/>
          <w:rtl/>
        </w:rPr>
        <w:t>ה</w:t>
      </w:r>
      <w:r w:rsidRPr="00DF4298">
        <w:rPr>
          <w:rFonts w:ascii="Century" w:hAnsi="Century" w:hint="cs"/>
          <w:rtl/>
        </w:rPr>
        <w:t xml:space="preserve">מעשי שעניינו הרמוניה משפטית. בית משפט זה כבר פסק </w:t>
      </w:r>
      <w:r w:rsidRPr="00975733">
        <w:rPr>
          <w:rFonts w:ascii="Century" w:hAnsi="Century" w:hint="cs"/>
          <w:rtl/>
        </w:rPr>
        <w:t xml:space="preserve">כי חוסר נאמנות מינית במערכת היחסים הזוגית אינו מצדיק את דחייתה של הלכת השיתוף בין בני זוג (ראו: </w:t>
      </w:r>
      <w:r w:rsidRPr="00975733">
        <w:rPr>
          <w:rFonts w:ascii="Century" w:hAnsi="Century"/>
          <w:rtl/>
        </w:rPr>
        <w:t xml:space="preserve">ע"א 264/77 </w:t>
      </w:r>
      <w:r w:rsidRPr="00975733">
        <w:rPr>
          <w:rFonts w:ascii="Century" w:hAnsi="Century" w:cs="Miriam"/>
          <w:b/>
          <w:spacing w:val="0"/>
          <w:szCs w:val="24"/>
          <w:rtl/>
        </w:rPr>
        <w:t>דרור נ' דרור</w:t>
      </w:r>
      <w:r w:rsidRPr="00975733">
        <w:rPr>
          <w:rFonts w:ascii="Century" w:hAnsi="Century"/>
          <w:rtl/>
        </w:rPr>
        <w:t>, פ"ד לב</w:t>
      </w:r>
      <w:r w:rsidRPr="00C25C2C">
        <w:rPr>
          <w:rStyle w:val="big-number"/>
          <w:rFonts w:ascii="Century" w:hAnsi="Century"/>
          <w:sz w:val="24"/>
          <w:szCs w:val="24"/>
          <w:rtl/>
        </w:rPr>
        <w:t>(1) 829 (1978)</w:t>
      </w:r>
      <w:r w:rsidRPr="00975733">
        <w:rPr>
          <w:rStyle w:val="big-number"/>
          <w:rFonts w:ascii="Century" w:hAnsi="Century"/>
          <w:rtl/>
        </w:rPr>
        <w:t xml:space="preserve">; </w:t>
      </w:r>
      <w:r w:rsidRPr="00975733">
        <w:rPr>
          <w:rFonts w:ascii="Century" w:hAnsi="Century"/>
          <w:rtl/>
        </w:rPr>
        <w:t xml:space="preserve">ע"א 384/88 </w:t>
      </w:r>
      <w:proofErr w:type="spellStart"/>
      <w:r w:rsidRPr="00975733">
        <w:rPr>
          <w:rFonts w:ascii="Century" w:hAnsi="Century" w:cs="Miriam"/>
          <w:b/>
          <w:spacing w:val="0"/>
          <w:szCs w:val="24"/>
          <w:rtl/>
        </w:rPr>
        <w:t>זיסרמן</w:t>
      </w:r>
      <w:proofErr w:type="spellEnd"/>
      <w:r w:rsidRPr="00975733">
        <w:rPr>
          <w:rFonts w:ascii="Century" w:hAnsi="Century" w:cs="Miriam"/>
          <w:b/>
          <w:spacing w:val="0"/>
          <w:szCs w:val="24"/>
          <w:rtl/>
        </w:rPr>
        <w:t xml:space="preserve"> נ' </w:t>
      </w:r>
      <w:proofErr w:type="spellStart"/>
      <w:r w:rsidRPr="00975733">
        <w:rPr>
          <w:rFonts w:ascii="Century" w:hAnsi="Century" w:cs="Miriam"/>
          <w:b/>
          <w:spacing w:val="0"/>
          <w:szCs w:val="24"/>
          <w:rtl/>
        </w:rPr>
        <w:t>זיסרמן</w:t>
      </w:r>
      <w:proofErr w:type="spellEnd"/>
      <w:r w:rsidRPr="00975733">
        <w:rPr>
          <w:rFonts w:ascii="Century" w:hAnsi="Century"/>
          <w:rtl/>
        </w:rPr>
        <w:t>, פ"ד מג</w:t>
      </w:r>
      <w:r w:rsidRPr="00C25C2C">
        <w:rPr>
          <w:rStyle w:val="big-number"/>
          <w:rFonts w:ascii="Century" w:hAnsi="Century"/>
          <w:sz w:val="24"/>
          <w:szCs w:val="24"/>
          <w:rtl/>
        </w:rPr>
        <w:t>(3) 205 (1989)</w:t>
      </w:r>
      <w:r w:rsidRPr="00C25C2C">
        <w:rPr>
          <w:rFonts w:ascii="Century" w:hAnsi="Century" w:hint="cs"/>
          <w:sz w:val="24"/>
          <w:szCs w:val="24"/>
          <w:rtl/>
        </w:rPr>
        <w:t>)</w:t>
      </w:r>
      <w:r w:rsidRPr="00975733">
        <w:rPr>
          <w:rFonts w:ascii="Century" w:hAnsi="Century" w:hint="cs"/>
          <w:rtl/>
        </w:rPr>
        <w:t xml:space="preserve">. </w:t>
      </w:r>
      <w:r w:rsidRPr="00975733">
        <w:rPr>
          <w:rFonts w:ascii="Century" w:hAnsi="Century" w:hint="cs"/>
          <w:rtl/>
        </w:rPr>
        <w:lastRenderedPageBreak/>
        <w:t xml:space="preserve">כן נפסק כי זו אינה "נסיבה מיוחדת" המצדיקה חריגה מאיזון המשאבים השוויוני לפי חוק יחסי ממון בין בני זוג, התשל"ג-1973 (ראו: </w:t>
      </w:r>
      <w:r w:rsidRPr="00975733">
        <w:rPr>
          <w:rFonts w:ascii="Century" w:hAnsi="Century" w:cs="Miriam"/>
          <w:b/>
          <w:spacing w:val="0"/>
          <w:szCs w:val="24"/>
          <w:rtl/>
        </w:rPr>
        <w:t>בג"ץ 8928/06</w:t>
      </w:r>
      <w:r w:rsidRPr="00975733">
        <w:rPr>
          <w:rStyle w:val="big-number"/>
          <w:rFonts w:ascii="Century" w:hAnsi="Century" w:hint="cs"/>
          <w:rtl/>
        </w:rPr>
        <w:t>).</w:t>
      </w:r>
      <w:r w:rsidRPr="00975733">
        <w:rPr>
          <w:rFonts w:ascii="Century" w:hAnsi="Century" w:hint="cs"/>
          <w:rtl/>
        </w:rPr>
        <w:t xml:space="preserve"> פתיחת </w:t>
      </w:r>
      <w:r>
        <w:rPr>
          <w:rFonts w:ascii="Century" w:hAnsi="Century" w:hint="cs"/>
          <w:rtl/>
        </w:rPr>
        <w:t>הדלת להתחשבות בשיקולים מסוג זה דווקא בהקשרה של הדוקטרינה שעניינה שיתוף ספציפי היא אפוא בבחינת נטע זר במערך הכללי של הדינים החלים על היחסים הכלכליים בין בני הזוג.</w:t>
      </w:r>
    </w:p>
    <w:p w:rsidR="00B8566E" w:rsidRDefault="00B8566E" w:rsidP="00B8566E">
      <w:pPr>
        <w:pStyle w:val="Ruller41"/>
        <w:rPr>
          <w:rtl/>
        </w:rPr>
      </w:pPr>
    </w:p>
    <w:p w:rsidR="00B8566E" w:rsidRDefault="00B8566E" w:rsidP="00B8566E">
      <w:pPr>
        <w:pStyle w:val="Ruller41"/>
        <w:rPr>
          <w:rtl/>
        </w:rPr>
      </w:pPr>
      <w:r>
        <w:rPr>
          <w:rFonts w:hint="cs"/>
          <w:rtl/>
        </w:rPr>
        <w:t>12.</w:t>
      </w:r>
      <w:r>
        <w:rPr>
          <w:rFonts w:hint="cs"/>
          <w:rtl/>
        </w:rPr>
        <w:tab/>
        <w:t xml:space="preserve">בדיני המשפחה בישראל מצטרפות לכל אלה גם התולדות של החלת הדין האישי של בני הזוג על תחום הנישואין והגירושין. המשמעות המעשית של הדברים היא, על-פי רוב, דיון בענייני גירושין על-פי הדין הדתי של העדה שאליה משתייכים בני הזוג. כאשר עסקינן בבני זוג שהם יהודים, כבענייננו, הדין הרלוונטי הוא כזה שמייחס משקל רב לשאלה של אי-נאמנות מצד </w:t>
      </w:r>
      <w:r w:rsidRPr="00FA4189">
        <w:rPr>
          <w:rFonts w:ascii="Century" w:hAnsi="Century" w:cs="Miriam" w:hint="cs"/>
          <w:b/>
          <w:spacing w:val="0"/>
          <w:szCs w:val="24"/>
          <w:rtl/>
        </w:rPr>
        <w:t>בת הזוג</w:t>
      </w:r>
      <w:r>
        <w:rPr>
          <w:rFonts w:hint="cs"/>
          <w:rtl/>
        </w:rPr>
        <w:t xml:space="preserve">. בגידה שנעשית בידי </w:t>
      </w:r>
      <w:proofErr w:type="spellStart"/>
      <w:r>
        <w:rPr>
          <w:rFonts w:hint="cs"/>
          <w:rtl/>
        </w:rPr>
        <w:t>אשה</w:t>
      </w:r>
      <w:proofErr w:type="spellEnd"/>
      <w:r>
        <w:rPr>
          <w:rFonts w:hint="cs"/>
          <w:rtl/>
        </w:rPr>
        <w:t xml:space="preserve"> היא עילת גירושין בדין הדתי היהודי. בגידתו של גבר אינה בעלת אותו משקל לצורך גירושין, הגם שאינה חסרת כל משמעות. כך, התוצאה היא שבהליכי גירושין ששותפים להם בני זוג יהודים קיים תמריץ לעיסוק יתר בטענות שעניינן חוסר נאמנות מינית של בת הזוג. אכן, תחולתם של הדינים הדתיים בתחום הנישואין והגירושין היא גזירתו של המחוקק. אולם, אין מקום להשלים עם "זליגה" של מצב לא שוויוני זה מן התחום של דיני איסור והיתר, כמצוות המחוקק, אל תחומים נוספים, מעבר למה שמתחייב מן החקיקה עצמה. זוהי תוצאה שאינה רצויה כלל ועיקר. לא מיותר לציין כי במקרה דנן כל אחד מבני הזוג העלה טענות שעניינן חוסר נאמנות מינית של משנהו. אולם, בפועל, עניין זה קיבל בולטות ואף משמעות מעשית בכל הנוגע להכרעה בזכויות </w:t>
      </w:r>
      <w:proofErr w:type="spellStart"/>
      <w:r>
        <w:rPr>
          <w:rFonts w:hint="cs"/>
          <w:rtl/>
        </w:rPr>
        <w:t>הרכושיות</w:t>
      </w:r>
      <w:proofErr w:type="spellEnd"/>
      <w:r>
        <w:rPr>
          <w:rFonts w:hint="cs"/>
          <w:rtl/>
        </w:rPr>
        <w:t xml:space="preserve"> של בת הזוג.</w:t>
      </w:r>
    </w:p>
    <w:p w:rsidR="00B8566E" w:rsidRDefault="00B8566E" w:rsidP="00B8566E">
      <w:pPr>
        <w:pStyle w:val="Ruller41"/>
        <w:rPr>
          <w:rtl/>
        </w:rPr>
      </w:pPr>
    </w:p>
    <w:p w:rsidR="00B8566E" w:rsidRDefault="00B8566E" w:rsidP="00B8566E">
      <w:pPr>
        <w:pStyle w:val="Ruller41"/>
        <w:rPr>
          <w:rtl/>
        </w:rPr>
      </w:pPr>
      <w:r>
        <w:rPr>
          <w:rFonts w:hint="cs"/>
          <w:rtl/>
        </w:rPr>
        <w:t xml:space="preserve">13. </w:t>
      </w:r>
      <w:r>
        <w:rPr>
          <w:rFonts w:hint="cs"/>
          <w:rtl/>
        </w:rPr>
        <w:tab/>
        <w:t xml:space="preserve">חברי השופט </w:t>
      </w:r>
      <w:r w:rsidRPr="00C72C74">
        <w:rPr>
          <w:rFonts w:ascii="Century" w:hAnsi="Century" w:cs="Miriam" w:hint="cs"/>
          <w:b/>
          <w:spacing w:val="0"/>
          <w:szCs w:val="24"/>
          <w:rtl/>
        </w:rPr>
        <w:t>שטיין</w:t>
      </w:r>
      <w:r>
        <w:rPr>
          <w:rFonts w:hint="cs"/>
          <w:rtl/>
        </w:rPr>
        <w:t>, כפי שהוא מדגיש בחוות דעתו הנוכחית,</w:t>
      </w:r>
      <w:r w:rsidRPr="00C72C74">
        <w:rPr>
          <w:rFonts w:hint="cs"/>
          <w:rtl/>
        </w:rPr>
        <w:t xml:space="preserve"> </w:t>
      </w:r>
      <w:r>
        <w:rPr>
          <w:rFonts w:hint="cs"/>
          <w:rtl/>
        </w:rPr>
        <w:t xml:space="preserve">סבור כי המקום שניתן להתחשבות בשיקולים של חוסר נאמנות מינית אינו כרוך בהטיה מגדרית, מאחר שהכלל שנקבע בעניין זה הוא ניטראלי. עוד הוא מסביר, כי ככל שקיימים נתונים המצביעים על שיעורים גבוהים יותר של חוסר נאמנות מינית של גברים לבנות זוגם קיימת אפשרות שאף היפוכם של דברים הוא הנכון מבחינת השלכותיו של הכלל על חיי המעשה. אינני סבורה שיש בנתונים אלה כדי להעלות או להוריד. די לי בכך שהמשמעות המשפטית של חוסר נאמנות מינית של </w:t>
      </w:r>
      <w:proofErr w:type="spellStart"/>
      <w:r>
        <w:rPr>
          <w:rFonts w:hint="cs"/>
          <w:rtl/>
        </w:rPr>
        <w:t>אשה</w:t>
      </w:r>
      <w:proofErr w:type="spellEnd"/>
      <w:r>
        <w:rPr>
          <w:rFonts w:hint="cs"/>
          <w:rtl/>
        </w:rPr>
        <w:t xml:space="preserve"> או גבר בעולמו של הדין הדתי היא שונה. יש בכך כדי להשפיע על התמריץ לקיים דיון בעניין זה </w:t>
      </w:r>
      <w:proofErr w:type="spellStart"/>
      <w:r>
        <w:rPr>
          <w:rFonts w:hint="cs"/>
          <w:rtl/>
        </w:rPr>
        <w:t>ולהוכיחו</w:t>
      </w:r>
      <w:proofErr w:type="spellEnd"/>
      <w:r>
        <w:rPr>
          <w:rFonts w:hint="cs"/>
          <w:rtl/>
        </w:rPr>
        <w:t xml:space="preserve"> דווקא ביחס לאשה. על כך אוסיף, למעלה מן הצורך, כי אף היבטים עובדתיים נוספים שנזכרו בפסק דינו של חברי אינם כאלה שניתן לסמוך עליהם טיעונים. כך למשל, חברי מניח כי גברים ונשים כאחד מגיעים בממוצע עם אותה מסת נכסים לחיי הנישואין, מאחר שלכאורה אין הבדל בין מספרם של הגברים והנשים היורשים נכס או מקבלים נכס במתנה מהוריהם. אולם, </w:t>
      </w:r>
      <w:r>
        <w:rPr>
          <w:rFonts w:hint="cs"/>
          <w:rtl/>
        </w:rPr>
        <w:lastRenderedPageBreak/>
        <w:t xml:space="preserve">בהינתן הבדלים בנורמות חברתיות בין קבוצות שונות </w:t>
      </w:r>
      <w:proofErr w:type="spellStart"/>
      <w:r>
        <w:rPr>
          <w:rFonts w:hint="cs"/>
          <w:rtl/>
        </w:rPr>
        <w:t>באוכלוסי</w:t>
      </w:r>
      <w:r>
        <w:rPr>
          <w:rFonts w:hint="eastAsia"/>
          <w:rtl/>
        </w:rPr>
        <w:t>ה</w:t>
      </w:r>
      <w:proofErr w:type="spellEnd"/>
      <w:r>
        <w:rPr>
          <w:rFonts w:hint="cs"/>
          <w:rtl/>
        </w:rPr>
        <w:t>, כמו גם ברמות ההשתכרות של גברים ונשים, הנחה זו תלויה על בלימה. כך או כך, לא אלה הן המחלוקות שמהן נגזר השוני במסקנותינו.</w:t>
      </w:r>
    </w:p>
    <w:p w:rsidR="00B8566E" w:rsidRDefault="00B8566E" w:rsidP="00B8566E">
      <w:pPr>
        <w:pStyle w:val="Ruller41"/>
        <w:rPr>
          <w:rtl/>
        </w:rPr>
      </w:pPr>
    </w:p>
    <w:p w:rsidR="00B8566E" w:rsidRDefault="00B8566E" w:rsidP="00B8566E">
      <w:pPr>
        <w:pStyle w:val="Ruller41"/>
        <w:rPr>
          <w:rtl/>
        </w:rPr>
      </w:pPr>
      <w:r>
        <w:rPr>
          <w:rFonts w:hint="cs"/>
          <w:rtl/>
        </w:rPr>
        <w:t xml:space="preserve">14. </w:t>
      </w:r>
      <w:r>
        <w:rPr>
          <w:rFonts w:hint="cs"/>
          <w:rtl/>
        </w:rPr>
        <w:tab/>
        <w:t xml:space="preserve">בשלב זה אבקש גם להתייחס, בקצרה, לשאלה של חוסר נאמנות מינית "ממושכת", שאליה נדרש בקצרה חברי השופט </w:t>
      </w:r>
      <w:r w:rsidRPr="00EF7FCF">
        <w:rPr>
          <w:rFonts w:ascii="Century" w:hAnsi="Century" w:cs="Miriam" w:hint="cs"/>
          <w:b/>
          <w:spacing w:val="0"/>
          <w:szCs w:val="24"/>
          <w:rtl/>
        </w:rPr>
        <w:t>עמית</w:t>
      </w:r>
      <w:r w:rsidRPr="00F20A04">
        <w:rPr>
          <w:rFonts w:hint="cs"/>
          <w:rtl/>
        </w:rPr>
        <w:t xml:space="preserve"> </w:t>
      </w:r>
      <w:r>
        <w:rPr>
          <w:rFonts w:hint="cs"/>
          <w:rtl/>
        </w:rPr>
        <w:t xml:space="preserve">בפסק הדין הקודם. אף חברתי הנשיאה התייחסה לאפשרות של נסיבות "חריגות וקיצוניות אשר יש בהן כדי לפגום בהתגבשות ההסכמה מלכתחילה" (בפסקה 50 לחוות דעתה). לעומתם, חברי השופט </w:t>
      </w:r>
      <w:r w:rsidRPr="00932CB9">
        <w:rPr>
          <w:rFonts w:ascii="Century" w:hAnsi="Century" w:cs="Miriam" w:hint="cs"/>
          <w:b/>
          <w:spacing w:val="0"/>
          <w:szCs w:val="24"/>
          <w:rtl/>
        </w:rPr>
        <w:t>שטיין</w:t>
      </w:r>
      <w:r>
        <w:rPr>
          <w:rFonts w:hint="cs"/>
          <w:rtl/>
        </w:rPr>
        <w:t xml:space="preserve"> סבור כי אי-נאמנות מינית אינה חייבת להיות ממושכת על מנת להשפיע על סוגית השיתוף בנכסים, כך שדי אף בחוסר נאמנות חד-פעמית, כדי להוביל למסקנה כי שיתוף ספציפי לא התגבש. כשלעצמי, אני סבורה כי שאלת משך ה"בגידה" אינה נתון מכריע בשאלה האם יש להביאה בחשבון לצורך הכרעה בשאלת השיתוף הספציפי. כאמור, העמדה לפיה אין מקום להתחשב בשיקולים של נאמנות מינית בהקשר זה מבוססת על התפיסה הרחבה יותר השוללת התחשבות בשיקולי אשם במסגרת הדיון בסוגית השיתוף. זאת, מהטעמים שעליהם עמדתי לעיל. הכרה עקרונית בכך ש"בגידה ממושכת" יכולה להוביל לשלילתו של שיתוף ספציפי בנכס </w:t>
      </w:r>
      <w:r>
        <w:rPr>
          <w:rtl/>
        </w:rPr>
        <w:t>–</w:t>
      </w:r>
      <w:r>
        <w:rPr>
          <w:rFonts w:hint="cs"/>
          <w:rtl/>
        </w:rPr>
        <w:t xml:space="preserve"> משמעותה כי יש מקום להכיר בשלילה זו גם במקרים אחרים שבהם תעלה טענה על מעילה באמון של אחד מבני הזוג. מה הדין, למשל, במקרה שבו בת הזוג תטען כי בן זוגה הסתיר ממנה במשך שנים ארוכות דבר מה שחותר תחת השותפות הרגשית ביניהם, כדוגמת השתייכות לכת, חברות נפש עם אדם שנוא, או כל דבר אחר שבת הזוג רואה בו מעילה משמעותית </w:t>
      </w:r>
      <w:r>
        <w:rPr>
          <w:rtl/>
        </w:rPr>
        <w:t>–</w:t>
      </w:r>
      <w:r>
        <w:rPr>
          <w:rFonts w:hint="cs"/>
          <w:rtl/>
        </w:rPr>
        <w:t xml:space="preserve"> ואף ממושכת </w:t>
      </w:r>
      <w:r>
        <w:rPr>
          <w:rtl/>
        </w:rPr>
        <w:t>–</w:t>
      </w:r>
      <w:r>
        <w:rPr>
          <w:rFonts w:hint="cs"/>
          <w:rtl/>
        </w:rPr>
        <w:t xml:space="preserve"> באמון? האם במקרה כזה, חרף העובדה שבני הזוג חיים יחד במשך שנים ארוכות, מגדלים את ילדיהם בבית המשפחה וחולקים משק בית המתוחזק במאמץ משותף </w:t>
      </w:r>
      <w:r>
        <w:rPr>
          <w:rtl/>
        </w:rPr>
        <w:t>–</w:t>
      </w:r>
      <w:r>
        <w:rPr>
          <w:rFonts w:hint="cs"/>
          <w:rtl/>
        </w:rPr>
        <w:t xml:space="preserve"> יש באותה מעילה באמון, פסולה מוסרית ככל שתהיה, כדי לשלול את המאמץ המשותף שלהם ביחס לבית המגורים? אני סבורה כי התשובה לכך היא שלילית.</w:t>
      </w:r>
    </w:p>
    <w:p w:rsidR="00B8566E" w:rsidRDefault="00B8566E" w:rsidP="00B8566E">
      <w:pPr>
        <w:pStyle w:val="Ruller41"/>
        <w:rPr>
          <w:rtl/>
        </w:rPr>
      </w:pPr>
    </w:p>
    <w:p w:rsidR="00B8566E" w:rsidRDefault="00B8566E" w:rsidP="00B8566E">
      <w:pPr>
        <w:pStyle w:val="Ruller41"/>
        <w:rPr>
          <w:rtl/>
        </w:rPr>
      </w:pPr>
      <w:r>
        <w:rPr>
          <w:rFonts w:hint="cs"/>
          <w:rtl/>
        </w:rPr>
        <w:t xml:space="preserve">15. </w:t>
      </w:r>
      <w:r>
        <w:rPr>
          <w:rFonts w:hint="cs"/>
          <w:rtl/>
        </w:rPr>
        <w:tab/>
        <w:t xml:space="preserve">אוסיף עוד, כי פתיחת הדלת לדיון בשאלה האם "בגידה" היא "ממושכת" במידה שעשויה לחתור תחת השיתוף הספציפי תוביל את בית המשפט, שוב, לבחינה מורכבת של יחסי הצדדים במישורים שאין בינם לבין המשפט דבר. מה באשר למערכת יחסים בת 30 שנים, שבמהלכה </w:t>
      </w:r>
      <w:r>
        <w:rPr>
          <w:rtl/>
        </w:rPr>
        <w:t>–</w:t>
      </w:r>
      <w:r>
        <w:rPr>
          <w:rFonts w:hint="cs"/>
          <w:rtl/>
        </w:rPr>
        <w:t xml:space="preserve"> נניח, לאחר 15 שנות נישואין </w:t>
      </w:r>
      <w:r>
        <w:rPr>
          <w:rtl/>
        </w:rPr>
        <w:t>–</w:t>
      </w:r>
      <w:r>
        <w:rPr>
          <w:rFonts w:hint="cs"/>
          <w:rtl/>
        </w:rPr>
        <w:t xml:space="preserve"> ניהל אחד הצדדים מערכת יחסים אחרת למשך כ-5 שנים? האם זו נחשבת בגידה "ממושכת" או לא? האם יש משמעות לשאלה האם בן הזוג האחר, בעל הנכסים, ניהל אף הוא מערכת יחסים מחוץ לנישואין? ומה אם חטא בהתעללות רגשית "בלבד"? איני סבורה שיש מקום להידרש לכל אלה לצורך הכרעה בשאלת השיתוף הספציפי. עיקרון זה מכוון לבחינת היבטי השיתוף בבית המגורים המשפחתי במהלך חיי הנישואין (כפי שפירטה חברתי הנשיאה בפסקה 32 </w:t>
      </w:r>
      <w:r>
        <w:rPr>
          <w:rFonts w:hint="cs"/>
          <w:rtl/>
        </w:rPr>
        <w:lastRenderedPageBreak/>
        <w:t xml:space="preserve">לחוות דעתה). איני סבורה כי ראוי שהדיון השיפוטי יגלוש לבחינת טיבה של מערכת היחסים בין הצדדים מעבר לכך. חברתי הנשיאה הזכירה את דוגמת הקיצון של מי שחי "חיים כפולים" (פסקה 50 לחוות דעתה). ראוי לציין כי לא זה היה המקרה שבפנינו, וברור שאין מדובר במקרה הטיפוסי של "בגידה" שמגיע לדיון. מכל מקום, מנקודת מבטי הקושי הכרוך ב"חיים כפולים" נוגע להשלכותיהם היסודיות על השיתוף הכלכלי בין בני הזוג והמאמץ המשותף שלהם. אין זו דוגמה ל"בגידה ממושכת", שבה המוקד הוא בסוגיית הנאמנות המינית. כשלעצמי, הייתי משאירה דוגמה זו לעת </w:t>
      </w:r>
      <w:proofErr w:type="spellStart"/>
      <w:r>
        <w:rPr>
          <w:rFonts w:hint="cs"/>
          <w:rtl/>
        </w:rPr>
        <w:t>מצוא</w:t>
      </w:r>
      <w:proofErr w:type="spellEnd"/>
      <w:r>
        <w:rPr>
          <w:rFonts w:hint="cs"/>
          <w:rtl/>
        </w:rPr>
        <w:t>, ככל שתתעורר.</w:t>
      </w:r>
    </w:p>
    <w:p w:rsidR="00B8566E" w:rsidRDefault="00B8566E" w:rsidP="00B8566E">
      <w:pPr>
        <w:pStyle w:val="Ruller41"/>
        <w:rPr>
          <w:rtl/>
        </w:rPr>
      </w:pPr>
    </w:p>
    <w:p w:rsidR="00B8566E" w:rsidRPr="00940C79" w:rsidRDefault="00B8566E" w:rsidP="00B8566E">
      <w:pPr>
        <w:pStyle w:val="Ruller41"/>
        <w:rPr>
          <w:rFonts w:ascii="Century" w:hAnsi="Century" w:cs="Miriam"/>
          <w:b/>
          <w:spacing w:val="0"/>
          <w:szCs w:val="24"/>
          <w:rtl/>
        </w:rPr>
      </w:pPr>
      <w:r>
        <w:rPr>
          <w:rFonts w:ascii="Century" w:hAnsi="Century" w:cs="Miriam" w:hint="cs"/>
          <w:b/>
          <w:spacing w:val="0"/>
          <w:szCs w:val="24"/>
          <w:rtl/>
        </w:rPr>
        <w:t>אוטונומיה, ברירות מחדל ותנאים מפסיקים</w:t>
      </w:r>
    </w:p>
    <w:p w:rsidR="00B8566E" w:rsidRDefault="00B8566E" w:rsidP="00B8566E">
      <w:pPr>
        <w:pStyle w:val="Ruller41"/>
        <w:rPr>
          <w:rtl/>
        </w:rPr>
      </w:pPr>
    </w:p>
    <w:p w:rsidR="00B8566E" w:rsidRDefault="00B8566E" w:rsidP="00B8566E">
      <w:pPr>
        <w:pStyle w:val="Ruller41"/>
        <w:rPr>
          <w:rtl/>
        </w:rPr>
      </w:pPr>
      <w:r>
        <w:rPr>
          <w:rFonts w:hint="cs"/>
          <w:rtl/>
        </w:rPr>
        <w:t xml:space="preserve">16. </w:t>
      </w:r>
      <w:r>
        <w:rPr>
          <w:rFonts w:hint="cs"/>
          <w:rtl/>
        </w:rPr>
        <w:tab/>
        <w:t xml:space="preserve">בשלב זה אני מבקשת להידרש להיבט נוסף שהודגש על-ידי חברי השופט </w:t>
      </w:r>
      <w:r w:rsidRPr="00940C79">
        <w:rPr>
          <w:rFonts w:ascii="Century" w:hAnsi="Century" w:cs="Miriam" w:hint="cs"/>
          <w:b/>
          <w:spacing w:val="0"/>
          <w:szCs w:val="24"/>
          <w:rtl/>
        </w:rPr>
        <w:t>שטיין</w:t>
      </w:r>
      <w:r>
        <w:rPr>
          <w:rFonts w:hint="cs"/>
          <w:rtl/>
        </w:rPr>
        <w:t xml:space="preserve"> </w:t>
      </w:r>
      <w:r>
        <w:rPr>
          <w:rtl/>
        </w:rPr>
        <w:t>–</w:t>
      </w:r>
      <w:r>
        <w:rPr>
          <w:rFonts w:hint="cs"/>
          <w:rtl/>
        </w:rPr>
        <w:t xml:space="preserve"> האפשרות שהתחשבות ביסוד של חוסר נאמנות מינית מבטאת </w:t>
      </w:r>
      <w:r w:rsidRPr="00832A77">
        <w:rPr>
          <w:rFonts w:ascii="Century" w:hAnsi="Century" w:cs="Miriam" w:hint="cs"/>
          <w:b/>
          <w:spacing w:val="0"/>
          <w:szCs w:val="24"/>
          <w:rtl/>
        </w:rPr>
        <w:t xml:space="preserve">בחירה </w:t>
      </w:r>
      <w:r>
        <w:rPr>
          <w:rFonts w:hint="cs"/>
          <w:rtl/>
        </w:rPr>
        <w:t xml:space="preserve">או </w:t>
      </w:r>
      <w:r w:rsidRPr="00832A77">
        <w:rPr>
          <w:rFonts w:ascii="Century" w:hAnsi="Century" w:cs="Miriam" w:hint="cs"/>
          <w:b/>
          <w:spacing w:val="0"/>
          <w:szCs w:val="24"/>
          <w:rtl/>
        </w:rPr>
        <w:t>הסכמה חופשית</w:t>
      </w:r>
      <w:r w:rsidRPr="00832A77">
        <w:rPr>
          <w:rFonts w:hint="cs"/>
          <w:rtl/>
        </w:rPr>
        <w:t xml:space="preserve"> </w:t>
      </w:r>
      <w:r>
        <w:rPr>
          <w:rFonts w:hint="cs"/>
          <w:rtl/>
        </w:rPr>
        <w:t>של בני הזוג, שאותן יש לכבד.</w:t>
      </w:r>
    </w:p>
    <w:p w:rsidR="00B8566E" w:rsidRDefault="00B8566E" w:rsidP="00B8566E">
      <w:pPr>
        <w:pStyle w:val="Ruller41"/>
        <w:rPr>
          <w:rtl/>
        </w:rPr>
      </w:pPr>
    </w:p>
    <w:p w:rsidR="00B8566E" w:rsidRDefault="00B8566E" w:rsidP="00B8566E">
      <w:pPr>
        <w:pStyle w:val="Ruller41"/>
        <w:rPr>
          <w:rtl/>
        </w:rPr>
      </w:pPr>
      <w:r>
        <w:rPr>
          <w:rFonts w:hint="cs"/>
          <w:rtl/>
        </w:rPr>
        <w:t xml:space="preserve">17. </w:t>
      </w:r>
      <w:r>
        <w:rPr>
          <w:rFonts w:hint="cs"/>
          <w:rtl/>
        </w:rPr>
        <w:tab/>
        <w:t xml:space="preserve">בראש ובראשונה, אני חולקת על ההנחות הנורמטיביות המנחות את גישתו של חברי השופט </w:t>
      </w:r>
      <w:r w:rsidRPr="00D50032">
        <w:rPr>
          <w:rFonts w:ascii="Century" w:hAnsi="Century" w:cs="Miriam" w:hint="cs"/>
          <w:b/>
          <w:spacing w:val="0"/>
          <w:szCs w:val="24"/>
          <w:rtl/>
        </w:rPr>
        <w:t>שטיין</w:t>
      </w:r>
      <w:r w:rsidRPr="00462C64">
        <w:rPr>
          <w:rFonts w:hint="cs"/>
          <w:rtl/>
        </w:rPr>
        <w:t xml:space="preserve"> </w:t>
      </w:r>
      <w:r>
        <w:rPr>
          <w:rFonts w:hint="cs"/>
          <w:rtl/>
        </w:rPr>
        <w:t xml:space="preserve">בבחינת כוונותיהם של הצדדים. חברי מצייר תמונה של בני זוג "המסכימים" על שיטת השיתוף, הסכמה המשקפת את הבחירה האינדיווידואלית המיוחדת להם, והכול על רקע תנאים של בחירה ושיקול דעת. אמנם ישנם זוגות המעגנים באופן מפורש את הסכמותיהם בכל הנוגע לנכסיהם, אולם, אינני סבורה שתמונה אוטופית זו משקפת את מצב הדברים לאשורו במקרה הטיפוסי המגיע אל ספם של בתי המשפט. במקרים רבים, בני הזוג אינם "בוחרים" בחירה מודעת ועצמאית בשיטת שיתוף זו או אחרת. הם פועלים בגדרן של הסכמות חברתיות ומציאות כלכלית מסוימת, ולא אחת הדברים אינם מגיעים לכלל דיבור מפורש. מרביתם אינם משערים בשעותיהם המאושרות מה יקרה אם אלה יאפילו (ראו למשל: </w:t>
      </w:r>
      <w:proofErr w:type="spellStart"/>
      <w:r>
        <w:rPr>
          <w:rFonts w:hint="cs"/>
          <w:rtl/>
        </w:rPr>
        <w:t>בע"ם</w:t>
      </w:r>
      <w:proofErr w:type="spellEnd"/>
      <w:r>
        <w:rPr>
          <w:rFonts w:hint="cs"/>
          <w:rtl/>
        </w:rPr>
        <w:t xml:space="preserve"> 8206/14 </w:t>
      </w:r>
      <w:r w:rsidRPr="00A50AB5">
        <w:rPr>
          <w:rFonts w:ascii="Century" w:hAnsi="Century" w:cs="Miriam" w:hint="cs"/>
          <w:b/>
          <w:spacing w:val="0"/>
          <w:szCs w:val="24"/>
          <w:rtl/>
        </w:rPr>
        <w:t>פלונית נ' פלוני</w:t>
      </w:r>
      <w:r w:rsidRPr="009523AC">
        <w:rPr>
          <w:rFonts w:hint="cs"/>
          <w:rtl/>
        </w:rPr>
        <w:t xml:space="preserve"> </w:t>
      </w:r>
      <w:r>
        <w:rPr>
          <w:rFonts w:hint="cs"/>
          <w:rtl/>
        </w:rPr>
        <w:t xml:space="preserve">(14.4.2015), שם ניהל האיש מערכות יחסים עם נשים אחרות, והצדדים היו חלוקים על שאלת ההסכמה למצב דברים זה. ראו שם, בפסקה ט"ו). ההנחה לפיה בני הזוג מנהלים ביניהם דין ודברים פתוח מודע וחופשי המוקדש לבחירת המשטר </w:t>
      </w:r>
      <w:proofErr w:type="spellStart"/>
      <w:r>
        <w:rPr>
          <w:rFonts w:hint="cs"/>
          <w:rtl/>
        </w:rPr>
        <w:t>הרכושי</w:t>
      </w:r>
      <w:proofErr w:type="spellEnd"/>
      <w:r>
        <w:rPr>
          <w:rFonts w:hint="cs"/>
          <w:rtl/>
        </w:rPr>
        <w:t xml:space="preserve"> שיחול עליהם, כאוות נפשם </w:t>
      </w:r>
      <w:r>
        <w:rPr>
          <w:rtl/>
        </w:rPr>
        <w:t>–</w:t>
      </w:r>
      <w:r>
        <w:rPr>
          <w:rFonts w:hint="cs"/>
          <w:rtl/>
        </w:rPr>
        <w:t xml:space="preserve"> שלא במסגרת הסכם ממון קונקרטי </w:t>
      </w:r>
      <w:r>
        <w:rPr>
          <w:rtl/>
        </w:rPr>
        <w:t>–</w:t>
      </w:r>
      <w:r>
        <w:rPr>
          <w:rFonts w:hint="cs"/>
          <w:rtl/>
        </w:rPr>
        <w:t xml:space="preserve"> אינה תואמת את תנאי המקום והזמן. וכך גם בעניינו. אין כל אינדיקציה להנחה כי המשטר </w:t>
      </w:r>
      <w:proofErr w:type="spellStart"/>
      <w:r>
        <w:rPr>
          <w:rFonts w:hint="cs"/>
          <w:rtl/>
        </w:rPr>
        <w:t>הרכושי</w:t>
      </w:r>
      <w:proofErr w:type="spellEnd"/>
      <w:r>
        <w:rPr>
          <w:rFonts w:hint="cs"/>
          <w:rtl/>
        </w:rPr>
        <w:t xml:space="preserve"> המועדף על בני הזוג היה כזה ששולל זכויות בשל חוסר נאמנות מינית, ולמעשה, אף הצדדים עצמם לא טענו לכך. </w:t>
      </w:r>
    </w:p>
    <w:p w:rsidR="00B8566E" w:rsidRDefault="00B8566E" w:rsidP="00B8566E">
      <w:pPr>
        <w:pStyle w:val="Ruller41"/>
        <w:rPr>
          <w:rtl/>
        </w:rPr>
      </w:pPr>
    </w:p>
    <w:p w:rsidR="00B8566E" w:rsidRDefault="00B8566E" w:rsidP="00B8566E">
      <w:pPr>
        <w:pStyle w:val="Ruller41"/>
        <w:rPr>
          <w:rtl/>
        </w:rPr>
      </w:pPr>
      <w:r>
        <w:rPr>
          <w:rFonts w:hint="cs"/>
          <w:rtl/>
        </w:rPr>
        <w:t xml:space="preserve">18. </w:t>
      </w:r>
      <w:r>
        <w:rPr>
          <w:rFonts w:hint="cs"/>
          <w:rtl/>
        </w:rPr>
        <w:tab/>
        <w:t xml:space="preserve">כפועל יוצא מכך, יש מקום לפקפק בכך שהבחירה במשטר הסכמי שבו אי-נאמנות מינית מפקיעה שיתוף רכושי, ולא כל שכן שיתוף רכושי בדירת המגורים </w:t>
      </w:r>
      <w:r>
        <w:rPr>
          <w:rFonts w:hint="cs"/>
          <w:rtl/>
        </w:rPr>
        <w:lastRenderedPageBreak/>
        <w:t>המשפחתית, היא בחירה שסביר לייחס לבני זוג, בבחינת "תנאי מכללא", ללא הוכחה ב"רחל בתך הקטנה". הסדר מסוג זה הוא הסדר לא-שוויוני כלפי הצד שחלקו במאמץ המשותף לא נגע לפן הכלכלי, אלא ל"מאחורי הקלעים" של קיום היחידה המשפחתית. הוא מציב יעד לא סביר של החזרת המצב לקדמותו. אולם, לאחר שנות נישואין ארוכות, המצב אף פעם לא חוזר לנקודת ההתחלה. חוזה המורה על החזרת הרכוש לבן הזוג שהיה בעליו בראשית הדרך, אינו יכול לשוב באופן אמתי לנקודה שבה הכול התחיל. הוא מתעלם מחלוף השנים, מן העובדה שבן הזוג האחר, החלש יותר מבחינה כלכלית, לא יוכל לקבל חזרה את השקעתו בחיים המשותפים, השקעה שלא קיבלה ביטוי מוחשי כלכלי או קנייני, אלא התבטאה בקיום המשפחה ובגידול חינוך הילדים, פעמים רבות אף על חשבון פיתוחה של קריירה עצמאית. הוא אף לא יוכל לקבל בחזרה את שנות החיים בנישואין בחזרה, גם אם היו אלה שנים קשות ואומללות. בהעדר הסכמה מפורשת, וכאשר בית המשפט נדרש לחוזה ההיפותטי בין הצדדים, אין כל בסיס להניח ששני הצדדים היו מעוניינים בהחזרה חד-צדדית של המצב לקדמותו.</w:t>
      </w:r>
    </w:p>
    <w:p w:rsidR="00B8566E" w:rsidRDefault="00B8566E" w:rsidP="00B8566E">
      <w:pPr>
        <w:pStyle w:val="Ruller41"/>
        <w:rPr>
          <w:rtl/>
        </w:rPr>
      </w:pPr>
    </w:p>
    <w:p w:rsidR="00B8566E" w:rsidRDefault="00B8566E" w:rsidP="00B8566E">
      <w:pPr>
        <w:pStyle w:val="Ruller41"/>
        <w:rPr>
          <w:rtl/>
        </w:rPr>
      </w:pPr>
      <w:r>
        <w:rPr>
          <w:rFonts w:hint="cs"/>
          <w:rtl/>
        </w:rPr>
        <w:t xml:space="preserve">19. </w:t>
      </w:r>
      <w:r>
        <w:rPr>
          <w:rFonts w:hint="cs"/>
          <w:rtl/>
        </w:rPr>
        <w:tab/>
        <w:t xml:space="preserve">הנחה נוספת שעומדת בבסיס חוות דעתו של חברי השופט </w:t>
      </w:r>
      <w:r w:rsidRPr="00D50032">
        <w:rPr>
          <w:rFonts w:ascii="Century" w:hAnsi="Century" w:cs="Miriam" w:hint="cs"/>
          <w:b/>
          <w:spacing w:val="0"/>
          <w:szCs w:val="24"/>
          <w:rtl/>
        </w:rPr>
        <w:t>שטיין</w:t>
      </w:r>
      <w:r>
        <w:rPr>
          <w:rFonts w:hint="cs"/>
          <w:rtl/>
        </w:rPr>
        <w:t>, ושעליה אני חלוקה באופן יסודי,</w:t>
      </w:r>
      <w:r w:rsidRPr="000F3C66">
        <w:rPr>
          <w:rFonts w:hint="cs"/>
          <w:rtl/>
        </w:rPr>
        <w:t xml:space="preserve"> </w:t>
      </w:r>
      <w:r>
        <w:rPr>
          <w:rFonts w:hint="cs"/>
          <w:rtl/>
        </w:rPr>
        <w:t xml:space="preserve">היא זו שהשיתוף הספציפי מבוסס על מערכת יחסים חוזית של חוזה </w:t>
      </w:r>
      <w:r w:rsidRPr="00D50032">
        <w:rPr>
          <w:rFonts w:ascii="Century" w:hAnsi="Century" w:cs="Miriam" w:hint="cs"/>
          <w:b/>
          <w:spacing w:val="0"/>
          <w:szCs w:val="24"/>
          <w:rtl/>
        </w:rPr>
        <w:t>מתנה</w:t>
      </w:r>
      <w:r w:rsidRPr="007401B2">
        <w:rPr>
          <w:rFonts w:hint="cs"/>
          <w:rtl/>
        </w:rPr>
        <w:t xml:space="preserve"> </w:t>
      </w:r>
      <w:r>
        <w:rPr>
          <w:rFonts w:hint="cs"/>
          <w:rtl/>
        </w:rPr>
        <w:t xml:space="preserve">(כעולה מפסקאות 18-16 לחוות דעתו). למעשה, גישה זו של חברי אף עולה בקנה אחד עם ההתייחסות החוזרת ונשנית בפסק דינו של בית הדין הרבני הגדול ליחסים שבין בני הזוג כאל "עסקת מתנה". לשיטתי, גישה זו חותרת תחת דיני השיתוף הספציפי. דוקטרינת השיתוף הספציפי מבוססת על הרעיון של שיתוף ורעות בחיי הזוג, </w:t>
      </w:r>
      <w:r w:rsidRPr="00D50032">
        <w:rPr>
          <w:rFonts w:ascii="Century" w:hAnsi="Century" w:cs="Miriam" w:hint="cs"/>
          <w:b/>
          <w:spacing w:val="0"/>
          <w:szCs w:val="24"/>
          <w:rtl/>
        </w:rPr>
        <w:t>ומאמץ משותף</w:t>
      </w:r>
      <w:r>
        <w:rPr>
          <w:rFonts w:hint="cs"/>
          <w:rtl/>
        </w:rPr>
        <w:t xml:space="preserve">, להבדיל מתפיסה של הענקת מתנה, בבחינת מעשה </w:t>
      </w:r>
      <w:r w:rsidRPr="00D50032">
        <w:rPr>
          <w:rFonts w:ascii="Century" w:hAnsi="Century" w:cs="Miriam" w:hint="cs"/>
          <w:b/>
          <w:spacing w:val="0"/>
          <w:szCs w:val="24"/>
          <w:rtl/>
        </w:rPr>
        <w:t>חסד</w:t>
      </w:r>
      <w:r w:rsidRPr="004C6440">
        <w:rPr>
          <w:rFonts w:hint="cs"/>
          <w:rtl/>
        </w:rPr>
        <w:t xml:space="preserve"> </w:t>
      </w:r>
      <w:r>
        <w:rPr>
          <w:rFonts w:hint="cs"/>
          <w:rtl/>
        </w:rPr>
        <w:t xml:space="preserve">של בן הזוג שלו הכוח </w:t>
      </w:r>
      <w:proofErr w:type="spellStart"/>
      <w:r>
        <w:rPr>
          <w:rFonts w:hint="cs"/>
          <w:rtl/>
        </w:rPr>
        <w:t>הרכושי</w:t>
      </w:r>
      <w:proofErr w:type="spellEnd"/>
      <w:r>
        <w:rPr>
          <w:rFonts w:hint="cs"/>
          <w:rtl/>
        </w:rPr>
        <w:t xml:space="preserve"> העדיף. איני סבורה שמדובר בפריבילגיה המוענקת על-ידי אחד מבני הזוג לחברו, שאותה הוא יכול לשלול במחי יד, על בסיס טענה בדבר הפרתו של תנאי מכללא (שיכול, כאמור, להיות למעשה מכוון לכל פעולה שיש בה, לטענת בן הזוג בעל הרכוש, ביטוי לחוסר אמון בין הצדדים).</w:t>
      </w:r>
    </w:p>
    <w:p w:rsidR="00B8566E" w:rsidRDefault="00B8566E" w:rsidP="00B8566E">
      <w:pPr>
        <w:pStyle w:val="Ruller41"/>
        <w:rPr>
          <w:rtl/>
        </w:rPr>
      </w:pPr>
    </w:p>
    <w:p w:rsidR="00B8566E" w:rsidRDefault="00B8566E" w:rsidP="00B8566E">
      <w:pPr>
        <w:pStyle w:val="Ruller41"/>
        <w:rPr>
          <w:rtl/>
        </w:rPr>
      </w:pPr>
      <w:r>
        <w:rPr>
          <w:rFonts w:hint="cs"/>
          <w:rtl/>
        </w:rPr>
        <w:t xml:space="preserve">20. </w:t>
      </w:r>
      <w:r>
        <w:rPr>
          <w:rFonts w:hint="cs"/>
          <w:rtl/>
        </w:rPr>
        <w:tab/>
        <w:t xml:space="preserve">אכן, בעבר התעוררו שאלות באשר לאופייה המדויק של דוקטרינת השיתוף הספציפי, בספקטרום שנע בין דוקטרינה המבוססת על רכישה קניינית, בקצה האחד, לבין כזו המבוססת בעיקרה על הסכמה חוזית של בני הזוג, בקצה השני. בפסיקתו של בית משפט זה שעליה התבססה הדוקטרינה נזכרו, אלה לצד אלה, עקרונות משני התחומים גם יחד (ראו למשל: רע"א 8672/00 </w:t>
      </w:r>
      <w:r w:rsidRPr="00A719DF">
        <w:rPr>
          <w:rFonts w:ascii="Century" w:hAnsi="Century" w:cs="Miriam" w:hint="cs"/>
          <w:b/>
          <w:spacing w:val="0"/>
          <w:szCs w:val="24"/>
          <w:rtl/>
        </w:rPr>
        <w:t>אבו רומי נ' אבו</w:t>
      </w:r>
      <w:r w:rsidRPr="0017247F">
        <w:rPr>
          <w:rFonts w:hint="cs"/>
          <w:rtl/>
        </w:rPr>
        <w:t xml:space="preserve"> </w:t>
      </w:r>
      <w:r w:rsidRPr="00A719DF">
        <w:rPr>
          <w:rFonts w:ascii="Century" w:hAnsi="Century" w:cs="Miriam" w:hint="cs"/>
          <w:b/>
          <w:spacing w:val="0"/>
          <w:szCs w:val="24"/>
          <w:rtl/>
        </w:rPr>
        <w:t>רומי</w:t>
      </w:r>
      <w:r>
        <w:rPr>
          <w:rFonts w:hint="cs"/>
          <w:rtl/>
        </w:rPr>
        <w:t xml:space="preserve">, פ"ד נו(6) 175, 183 (2002). כן ראו: ע"א 7750/10 </w:t>
      </w:r>
      <w:r w:rsidRPr="00A719DF">
        <w:rPr>
          <w:rFonts w:ascii="Century" w:hAnsi="Century" w:cs="Miriam" w:hint="cs"/>
          <w:b/>
          <w:spacing w:val="0"/>
          <w:szCs w:val="24"/>
          <w:rtl/>
        </w:rPr>
        <w:t xml:space="preserve">בן </w:t>
      </w:r>
      <w:proofErr w:type="spellStart"/>
      <w:r w:rsidRPr="00A719DF">
        <w:rPr>
          <w:rFonts w:ascii="Century" w:hAnsi="Century" w:cs="Miriam" w:hint="cs"/>
          <w:b/>
          <w:spacing w:val="0"/>
          <w:szCs w:val="24"/>
          <w:rtl/>
        </w:rPr>
        <w:t>גיאת</w:t>
      </w:r>
      <w:proofErr w:type="spellEnd"/>
      <w:r w:rsidRPr="00A719DF">
        <w:rPr>
          <w:rFonts w:ascii="Century" w:hAnsi="Century" w:cs="Miriam" w:hint="cs"/>
          <w:b/>
          <w:spacing w:val="0"/>
          <w:szCs w:val="24"/>
          <w:rtl/>
        </w:rPr>
        <w:t xml:space="preserve"> נ' הכשרת היישוב ביטוח בע"מ</w:t>
      </w:r>
      <w:r w:rsidRPr="0017247F">
        <w:rPr>
          <w:rFonts w:hint="cs"/>
          <w:rtl/>
        </w:rPr>
        <w:t xml:space="preserve"> </w:t>
      </w:r>
      <w:r>
        <w:rPr>
          <w:rFonts w:hint="cs"/>
          <w:rtl/>
        </w:rPr>
        <w:t xml:space="preserve">(11.8.2011) (להלן: עניין </w:t>
      </w:r>
      <w:r w:rsidRPr="002A0507">
        <w:rPr>
          <w:rFonts w:ascii="Century" w:hAnsi="Century" w:cs="Miriam" w:hint="cs"/>
          <w:b/>
          <w:spacing w:val="0"/>
          <w:szCs w:val="24"/>
          <w:rtl/>
        </w:rPr>
        <w:t xml:space="preserve">בן </w:t>
      </w:r>
      <w:proofErr w:type="spellStart"/>
      <w:r w:rsidRPr="002A0507">
        <w:rPr>
          <w:rFonts w:ascii="Century" w:hAnsi="Century" w:cs="Miriam" w:hint="cs"/>
          <w:b/>
          <w:spacing w:val="0"/>
          <w:szCs w:val="24"/>
          <w:rtl/>
        </w:rPr>
        <w:t>גיאת</w:t>
      </w:r>
      <w:proofErr w:type="spellEnd"/>
      <w:r>
        <w:rPr>
          <w:rFonts w:hint="cs"/>
          <w:rtl/>
        </w:rPr>
        <w:t xml:space="preserve">)). כשלעצמי, אני נוטה לראות את השיתוף הספציפי כקרוב יותר </w:t>
      </w:r>
      <w:r>
        <w:rPr>
          <w:rFonts w:hint="cs"/>
          <w:rtl/>
        </w:rPr>
        <w:lastRenderedPageBreak/>
        <w:t>לקצה הקנייני של הספקטרום. עם זאת, די לי בקביעה כי אפילו תתקבל התפיסה החוזית ביחס אליו, אין מדובר בחוזה מסוג מתנה.</w:t>
      </w:r>
    </w:p>
    <w:p w:rsidR="00B8566E" w:rsidRDefault="00B8566E" w:rsidP="00B8566E">
      <w:pPr>
        <w:pStyle w:val="Ruller41"/>
        <w:rPr>
          <w:rtl/>
        </w:rPr>
      </w:pPr>
    </w:p>
    <w:p w:rsidR="00B8566E" w:rsidRDefault="00B8566E" w:rsidP="00B8566E">
      <w:pPr>
        <w:pStyle w:val="Ruller41"/>
        <w:rPr>
          <w:rtl/>
        </w:rPr>
      </w:pPr>
      <w:r>
        <w:rPr>
          <w:rFonts w:hint="cs"/>
          <w:rtl/>
        </w:rPr>
        <w:t xml:space="preserve">21. </w:t>
      </w:r>
      <w:r>
        <w:rPr>
          <w:rFonts w:hint="cs"/>
          <w:rtl/>
        </w:rPr>
        <w:tab/>
        <w:t xml:space="preserve">ככל שפנינו לדיני החוזים, חשוב להזכיר כי אלה מסתייגים מתרופות בעלות אופי עונשי. כך למשל, פיצויים מוסכמים יופחתו אם נקבעו ללא כל יחס סביר לנזק הצפוי (סעיף 15 לחוק החוזים (תרופות בגין הפרת חוזה), התשל"א-1970). אין אפוא מקום להכנסת יסוד עונשי מובהק לתוך המערכת ההסכמית. זאת ועוד: התפיסה החוזית המשקפת בקירוב הנכון ביותר מערכת יחסים זוגית המשתרעת על פני שנים היא זו של "חוזה יחס". בהתאם לתפיסה זו, ההסדרה של מערכת היחסים בין הצדדים משקפת עליות ומורדות, הסכמות משתנות והתחשבות במשמעות שיש לייחס להתמשכותה של מערכת היחסים בתנאים של נסיבות משתנות. על רקע זה, נקבע זה מכבר בפסיקתנו כי חוזה יחס אינו מותאם למצב משברי (ראו: </w:t>
      </w:r>
      <w:r w:rsidRPr="004D2737">
        <w:rPr>
          <w:rFonts w:ascii="Century" w:hAnsi="Century"/>
          <w:rtl/>
        </w:rPr>
        <w:t xml:space="preserve">רע"א 1185/97 </w:t>
      </w:r>
      <w:r w:rsidRPr="004D2737">
        <w:rPr>
          <w:rFonts w:ascii="Century" w:hAnsi="Century" w:cs="Miriam"/>
          <w:b/>
          <w:spacing w:val="0"/>
          <w:szCs w:val="24"/>
          <w:rtl/>
        </w:rPr>
        <w:t xml:space="preserve">יורשי ומנהלי עיזבון המנוחה </w:t>
      </w:r>
      <w:proofErr w:type="spellStart"/>
      <w:r w:rsidRPr="004D2737">
        <w:rPr>
          <w:rFonts w:ascii="Century" w:hAnsi="Century" w:cs="Miriam"/>
          <w:b/>
          <w:spacing w:val="0"/>
          <w:szCs w:val="24"/>
          <w:rtl/>
        </w:rPr>
        <w:t>מילגרום</w:t>
      </w:r>
      <w:proofErr w:type="spellEnd"/>
      <w:r w:rsidRPr="004D2737">
        <w:rPr>
          <w:rFonts w:ascii="Century" w:hAnsi="Century" w:cs="Miriam"/>
          <w:b/>
          <w:spacing w:val="0"/>
          <w:szCs w:val="24"/>
          <w:rtl/>
        </w:rPr>
        <w:t xml:space="preserve"> </w:t>
      </w:r>
      <w:proofErr w:type="spellStart"/>
      <w:r w:rsidRPr="004D2737">
        <w:rPr>
          <w:rFonts w:ascii="Century" w:hAnsi="Century" w:cs="Miriam"/>
          <w:b/>
          <w:spacing w:val="0"/>
          <w:szCs w:val="24"/>
          <w:rtl/>
        </w:rPr>
        <w:t>הינדה</w:t>
      </w:r>
      <w:proofErr w:type="spellEnd"/>
      <w:r w:rsidRPr="004D2737">
        <w:rPr>
          <w:rFonts w:ascii="Century" w:hAnsi="Century" w:cs="Miriam"/>
          <w:b/>
          <w:spacing w:val="0"/>
          <w:szCs w:val="24"/>
          <w:rtl/>
        </w:rPr>
        <w:t xml:space="preserve"> ז"ל נ' מרכז משען</w:t>
      </w:r>
      <w:r w:rsidRPr="004D2737">
        <w:rPr>
          <w:rFonts w:ascii="Century" w:hAnsi="Century"/>
          <w:rtl/>
        </w:rPr>
        <w:t xml:space="preserve">, </w:t>
      </w:r>
      <w:r w:rsidRPr="004D2737">
        <w:rPr>
          <w:rFonts w:ascii="Century" w:hAnsi="Century" w:hint="cs"/>
          <w:rtl/>
        </w:rPr>
        <w:t xml:space="preserve">פ"ד </w:t>
      </w:r>
      <w:r w:rsidRPr="004D2737">
        <w:rPr>
          <w:rFonts w:ascii="Century" w:hAnsi="Century"/>
          <w:rtl/>
        </w:rPr>
        <w:t>נב(4) 145</w:t>
      </w:r>
      <w:r w:rsidRPr="004D2737">
        <w:rPr>
          <w:rFonts w:ascii="Century" w:hAnsi="Century" w:hint="cs"/>
          <w:rtl/>
        </w:rPr>
        <w:t>, 160</w:t>
      </w:r>
      <w:r w:rsidRPr="004D2737">
        <w:rPr>
          <w:rFonts w:ascii="Century" w:hAnsi="Century"/>
          <w:rtl/>
        </w:rPr>
        <w:t xml:space="preserve"> (1998)</w:t>
      </w:r>
      <w:r>
        <w:rPr>
          <w:rFonts w:ascii="Century" w:hAnsi="Century" w:hint="cs"/>
          <w:rtl/>
        </w:rPr>
        <w:t>).</w:t>
      </w:r>
      <w:r w:rsidRPr="004D2737">
        <w:rPr>
          <w:rFonts w:ascii="Century" w:hAnsi="Century" w:hint="cs"/>
          <w:rtl/>
        </w:rPr>
        <w:t xml:space="preserve"> </w:t>
      </w:r>
      <w:r>
        <w:rPr>
          <w:rFonts w:ascii="Century" w:hAnsi="Century" w:hint="cs"/>
          <w:rtl/>
        </w:rPr>
        <w:t>באותו האופן,</w:t>
      </w:r>
      <w:r w:rsidRPr="004D2737">
        <w:rPr>
          <w:rFonts w:ascii="Century" w:hAnsi="Century" w:hint="cs"/>
          <w:rtl/>
        </w:rPr>
        <w:t xml:space="preserve"> גם</w:t>
      </w:r>
      <w:r w:rsidRPr="00B6254E">
        <w:rPr>
          <w:rFonts w:hint="cs"/>
          <w:rtl/>
        </w:rPr>
        <w:t xml:space="preserve"> </w:t>
      </w:r>
      <w:r>
        <w:rPr>
          <w:rFonts w:hint="cs"/>
          <w:rtl/>
        </w:rPr>
        <w:t xml:space="preserve">לא סביר לייחס לצדדים דבקות בעמדה של שלילת שיתוף על רקע פגיעה בנאמנות המינית בשלב מסוים של חיי הנישואין, בהתחשב בעליות ובמורדות שיודעת מערכת היחסים שבמהלכה </w:t>
      </w:r>
      <w:r>
        <w:rPr>
          <w:rtl/>
        </w:rPr>
        <w:t>–</w:t>
      </w:r>
      <w:r>
        <w:rPr>
          <w:rFonts w:hint="cs"/>
          <w:rtl/>
        </w:rPr>
        <w:t xml:space="preserve"> ובשלבים מוקדמים יותר שלה </w:t>
      </w:r>
      <w:r>
        <w:rPr>
          <w:rtl/>
        </w:rPr>
        <w:t>–</w:t>
      </w:r>
      <w:r>
        <w:rPr>
          <w:rFonts w:hint="cs"/>
          <w:rtl/>
        </w:rPr>
        <w:t xml:space="preserve"> התגבש השיתוף. </w:t>
      </w:r>
    </w:p>
    <w:p w:rsidR="00B8566E" w:rsidRDefault="00B8566E" w:rsidP="00B8566E">
      <w:pPr>
        <w:pStyle w:val="Ruller41"/>
        <w:rPr>
          <w:rtl/>
        </w:rPr>
      </w:pPr>
    </w:p>
    <w:p w:rsidR="00B8566E" w:rsidRDefault="00B8566E" w:rsidP="00B8566E">
      <w:pPr>
        <w:pStyle w:val="Ruller41"/>
        <w:rPr>
          <w:rtl/>
        </w:rPr>
      </w:pPr>
      <w:r>
        <w:rPr>
          <w:rFonts w:hint="cs"/>
          <w:rtl/>
        </w:rPr>
        <w:t xml:space="preserve">22. </w:t>
      </w:r>
      <w:r>
        <w:rPr>
          <w:rtl/>
        </w:rPr>
        <w:tab/>
      </w:r>
      <w:r>
        <w:rPr>
          <w:rFonts w:hint="cs"/>
          <w:rtl/>
        </w:rPr>
        <w:t>למעלה מן הצורך אוסיף, כי אפילו הייתי מצמצמת את מבטי לדינים החלים על חוזה עם תנאי מפסיק, שלשיטתי אינם מתאימים לענייננו, דומה שלא ניתן להתעלם מהוראתו המפורשת של סעיף 29 לחוק החוזים (חלק כללי), התשל"ג-1973, המורה כך:</w:t>
      </w:r>
    </w:p>
    <w:p w:rsidR="00B8566E" w:rsidRDefault="00B8566E" w:rsidP="00B8566E">
      <w:pPr>
        <w:pStyle w:val="Ruller41"/>
        <w:rPr>
          <w:rtl/>
        </w:rPr>
      </w:pPr>
    </w:p>
    <w:p w:rsidR="00B8566E" w:rsidRPr="00E22E32" w:rsidRDefault="00B8566E" w:rsidP="00B8566E">
      <w:pPr>
        <w:pStyle w:val="Ruller5"/>
        <w:rPr>
          <w:rFonts w:ascii="Century" w:hAnsi="Century"/>
          <w:rtl/>
        </w:rPr>
      </w:pPr>
      <w:r w:rsidRPr="00E22E32">
        <w:rPr>
          <w:rStyle w:val="default"/>
          <w:rFonts w:ascii="Century" w:hAnsi="Century" w:hint="cs"/>
          <w:rtl/>
        </w:rPr>
        <w:t>"</w:t>
      </w:r>
      <w:r w:rsidRPr="00E22E32">
        <w:rPr>
          <w:rStyle w:val="default"/>
          <w:rFonts w:ascii="Century" w:hAnsi="Century"/>
          <w:rtl/>
        </w:rPr>
        <w:t>היה חוזה מותנה והתנאי לא נתקיים תוך התקופה שנקבעה לכך, ובאין תקופה כזאת - תוך זמן סביר מכריתת החוזה, הרי אם היה זה תנאי מתלה - מתבטל החוזה, ואם תנאי מפסיק - מתבטלת ההתנאה</w:t>
      </w:r>
      <w:r w:rsidRPr="00E22E32">
        <w:rPr>
          <w:rStyle w:val="default"/>
          <w:rFonts w:ascii="Century" w:hAnsi="Century" w:hint="cs"/>
          <w:rtl/>
        </w:rPr>
        <w:t>"</w:t>
      </w:r>
      <w:r w:rsidRPr="00E22E32">
        <w:rPr>
          <w:rStyle w:val="default"/>
          <w:rFonts w:ascii="Century" w:hAnsi="Century"/>
          <w:rtl/>
        </w:rPr>
        <w:t>.</w:t>
      </w:r>
    </w:p>
    <w:p w:rsidR="00B8566E" w:rsidRDefault="00B8566E" w:rsidP="00B8566E">
      <w:pPr>
        <w:pStyle w:val="Ruller41"/>
        <w:rPr>
          <w:rtl/>
        </w:rPr>
      </w:pPr>
    </w:p>
    <w:p w:rsidR="00B8566E" w:rsidRDefault="00B8566E" w:rsidP="00B8566E">
      <w:pPr>
        <w:pStyle w:val="Ruller41"/>
        <w:rPr>
          <w:rtl/>
        </w:rPr>
      </w:pPr>
      <w:r>
        <w:rPr>
          <w:rtl/>
        </w:rPr>
        <w:tab/>
      </w:r>
      <w:r>
        <w:rPr>
          <w:rFonts w:hint="cs"/>
          <w:rtl/>
        </w:rPr>
        <w:t>אם כן, כאשר בפנינו תנאי מפסיק הרי שלאחר שחלף "זמן סביר מכריתת החוזה", ואם לא התקיים התנאי המפסיק, מתבטלת ההתנאה. בנסיבות העניין, חלפו שנות דור מאז החל תהליך השיתוף בין בני הזוג. ככל ששיתוף זה היה מותנה בתנאי מפסיק כזה או אחר, הרי שמכל מקום תנאי זה התבטל, משחלף זמן סביר מאז כריתתו של החוזה. תוצאה זו מתחייבת לפי דיני החוזים, ולמעשה היא אף מתיישבת עם שיקולים של הגינות וניסיון החיים הגורסים כי שיבוש מאוחר במערכת היחסים אינו אמור "לטרוף" שנות חיים שלמות אחורנית.</w:t>
      </w:r>
    </w:p>
    <w:p w:rsidR="00B8566E" w:rsidRPr="003E3C73" w:rsidRDefault="00B8566E" w:rsidP="00B8566E">
      <w:pPr>
        <w:pStyle w:val="Ruller41"/>
        <w:rPr>
          <w:rFonts w:cs="Miriam"/>
          <w:sz w:val="24"/>
          <w:szCs w:val="24"/>
          <w:rtl/>
        </w:rPr>
      </w:pPr>
    </w:p>
    <w:p w:rsidR="00B8566E" w:rsidRPr="00542508" w:rsidRDefault="00B8566E" w:rsidP="00B8566E">
      <w:pPr>
        <w:pStyle w:val="Ruller41"/>
        <w:rPr>
          <w:rFonts w:ascii="Century" w:hAnsi="Century" w:cs="Miriam"/>
          <w:b/>
          <w:spacing w:val="0"/>
          <w:szCs w:val="24"/>
          <w:rtl/>
        </w:rPr>
      </w:pPr>
      <w:r w:rsidRPr="00542508">
        <w:rPr>
          <w:rFonts w:ascii="Century" w:hAnsi="Century" w:cs="Miriam" w:hint="cs"/>
          <w:b/>
          <w:spacing w:val="0"/>
          <w:szCs w:val="24"/>
          <w:rtl/>
        </w:rPr>
        <w:t>שיתוף ספציפי ברכוש ותרומה שאינה כלכלית</w:t>
      </w:r>
    </w:p>
    <w:p w:rsidR="00B8566E" w:rsidRDefault="00B8566E" w:rsidP="00B8566E">
      <w:pPr>
        <w:pStyle w:val="Ruller41"/>
        <w:rPr>
          <w:rtl/>
        </w:rPr>
      </w:pPr>
    </w:p>
    <w:p w:rsidR="00B8566E" w:rsidRDefault="00B8566E" w:rsidP="00B8566E">
      <w:pPr>
        <w:pStyle w:val="Ruller41"/>
        <w:rPr>
          <w:rtl/>
        </w:rPr>
      </w:pPr>
      <w:r>
        <w:rPr>
          <w:rFonts w:hint="cs"/>
          <w:rtl/>
        </w:rPr>
        <w:t xml:space="preserve">23. </w:t>
      </w:r>
      <w:r>
        <w:rPr>
          <w:rFonts w:hint="cs"/>
          <w:rtl/>
        </w:rPr>
        <w:tab/>
        <w:t>כאמור, משחלק מחבריי התייחסו בהרחבה לדין החל על שיתוף ספציפי בדירת מגורים, אבקש להתייחס בקצרה גם לכך. אני סבורה שעיון בפסק דינו של בית הדין הרבני הגדול מעלה כי ביסוד הדברים הייתה מונחת אף תפיסה משפטית שאינה משקפת את הדין הקיים ביחס לכללים שפותחו בפסיקתו של בית משפט זה בנוגע לשיתוף הספציפי.</w:t>
      </w:r>
    </w:p>
    <w:p w:rsidR="00B8566E" w:rsidRDefault="00B8566E" w:rsidP="00B8566E">
      <w:pPr>
        <w:pStyle w:val="Ruller41"/>
        <w:rPr>
          <w:rtl/>
        </w:rPr>
      </w:pPr>
    </w:p>
    <w:p w:rsidR="00B8566E" w:rsidRDefault="00B8566E" w:rsidP="00B8566E">
      <w:pPr>
        <w:pStyle w:val="Ruller41"/>
        <w:rPr>
          <w:rtl/>
        </w:rPr>
      </w:pPr>
      <w:r>
        <w:rPr>
          <w:rFonts w:hint="cs"/>
          <w:rtl/>
        </w:rPr>
        <w:t xml:space="preserve">24. </w:t>
      </w:r>
      <w:r>
        <w:rPr>
          <w:rFonts w:hint="cs"/>
          <w:rtl/>
        </w:rPr>
        <w:tab/>
        <w:t xml:space="preserve">בהתייחסו לדרישה של "דבר מה נוסף" ציין בית הדין הרבני הגדול בין היתר כי המבקשת לא עבדה בשנים שבהן נבנה הבית (על הנכס הבסיסי, המגרש, שהיה בבעלות המשיב). אבקש להטעים כי ההתייחסות לכך "מוחקת" את המשמעות של תרומת בן הזוג שאינו עובד למאמץ המשותף של התא המשפחתי, וזאת בהתאם לדיני השיתוף שהתגבשו עוד בראשית פסיקתו של בית משפט זה. כבר באחד מפסקי הדין המעצבים של הלכת השיתוף, ע"א 300/64 </w:t>
      </w:r>
      <w:r w:rsidRPr="00CB49A9">
        <w:rPr>
          <w:rFonts w:ascii="Century" w:hAnsi="Century" w:cs="Miriam" w:hint="cs"/>
          <w:b/>
          <w:spacing w:val="0"/>
          <w:szCs w:val="24"/>
          <w:rtl/>
        </w:rPr>
        <w:t>ברגר נ' מנהל מס עזבון</w:t>
      </w:r>
      <w:r>
        <w:rPr>
          <w:rFonts w:hint="cs"/>
          <w:rtl/>
        </w:rPr>
        <w:t xml:space="preserve">, פ"ד </w:t>
      </w:r>
      <w:proofErr w:type="spellStart"/>
      <w:r>
        <w:rPr>
          <w:rFonts w:hint="cs"/>
          <w:rtl/>
        </w:rPr>
        <w:t>יט</w:t>
      </w:r>
      <w:proofErr w:type="spellEnd"/>
      <w:r>
        <w:rPr>
          <w:rFonts w:hint="cs"/>
          <w:rtl/>
        </w:rPr>
        <w:t xml:space="preserve">(2) 240 (1965), כתב השופט </w:t>
      </w:r>
      <w:r w:rsidRPr="00CB49A9">
        <w:rPr>
          <w:rFonts w:ascii="Century" w:hAnsi="Century" w:cs="Miriam" w:hint="cs"/>
          <w:b/>
          <w:spacing w:val="0"/>
          <w:szCs w:val="24"/>
          <w:rtl/>
        </w:rPr>
        <w:t xml:space="preserve">צ' </w:t>
      </w:r>
      <w:proofErr w:type="spellStart"/>
      <w:r w:rsidRPr="00CB49A9">
        <w:rPr>
          <w:rFonts w:ascii="Century" w:hAnsi="Century" w:cs="Miriam" w:hint="cs"/>
          <w:b/>
          <w:spacing w:val="0"/>
          <w:szCs w:val="24"/>
          <w:rtl/>
        </w:rPr>
        <w:t>ברנזון</w:t>
      </w:r>
      <w:proofErr w:type="spellEnd"/>
      <w:r w:rsidRPr="00CB49A9">
        <w:rPr>
          <w:rFonts w:ascii="Century" w:hAnsi="Century" w:cs="Miriam" w:hint="cs"/>
          <w:b/>
          <w:spacing w:val="0"/>
          <w:szCs w:val="24"/>
          <w:rtl/>
        </w:rPr>
        <w:t xml:space="preserve"> </w:t>
      </w:r>
      <w:r>
        <w:rPr>
          <w:rFonts w:hint="cs"/>
          <w:rtl/>
        </w:rPr>
        <w:t>כך:</w:t>
      </w:r>
    </w:p>
    <w:p w:rsidR="00B8566E" w:rsidRDefault="00B8566E" w:rsidP="00B8566E">
      <w:pPr>
        <w:pStyle w:val="Ruller41"/>
        <w:rPr>
          <w:rtl/>
        </w:rPr>
      </w:pPr>
    </w:p>
    <w:p w:rsidR="00B8566E" w:rsidRDefault="00B8566E" w:rsidP="00B8566E">
      <w:pPr>
        <w:pStyle w:val="Ruller5"/>
        <w:rPr>
          <w:rtl/>
        </w:rPr>
      </w:pPr>
      <w:r>
        <w:rPr>
          <w:rFonts w:hint="cs"/>
          <w:rtl/>
        </w:rPr>
        <w:t xml:space="preserve">"המאמץ המשותף הנדרש הוא </w:t>
      </w:r>
      <w:r w:rsidRPr="00011215">
        <w:rPr>
          <w:rStyle w:val="default"/>
          <w:rFonts w:ascii="Century" w:hAnsi="Century" w:hint="cs"/>
          <w:rtl/>
        </w:rPr>
        <w:t>לאו</w:t>
      </w:r>
      <w:r>
        <w:rPr>
          <w:rFonts w:hint="cs"/>
          <w:rtl/>
        </w:rPr>
        <w:t xml:space="preserve"> </w:t>
      </w:r>
      <w:proofErr w:type="spellStart"/>
      <w:r>
        <w:rPr>
          <w:rFonts w:hint="cs"/>
          <w:rtl/>
        </w:rPr>
        <w:t>דוקא</w:t>
      </w:r>
      <w:proofErr w:type="spellEnd"/>
      <w:r>
        <w:rPr>
          <w:rFonts w:hint="cs"/>
          <w:rtl/>
        </w:rPr>
        <w:t xml:space="preserve"> השתתפות כספית של כל אחד מבני הזוג הבאה מהכנסות או מרווחים שלו. אף במקרה שאשה אינה עובדת מחוץ למשק ביתה ואין לה הכנסה מנכסים שלה, אלא שהיא מנהלת את משק הבית ותורמת את חלקה לקיום המשפחה, לרבות חינוך ילדי הזוג, אפשר לראות בכך מאמץ מצדה לא פחות ממאמצו של הבעל המשתכר בחוץ מעבודה או מניהול עסק. הכנסות הבעל במקרה כזה מתאפשרות במידה רבה על-ידי עבודת </w:t>
      </w:r>
      <w:proofErr w:type="spellStart"/>
      <w:r>
        <w:rPr>
          <w:rFonts w:hint="cs"/>
          <w:rtl/>
        </w:rPr>
        <w:t>האשה</w:t>
      </w:r>
      <w:proofErr w:type="spellEnd"/>
      <w:r>
        <w:rPr>
          <w:rFonts w:hint="cs"/>
          <w:rtl/>
        </w:rPr>
        <w:t xml:space="preserve"> בבית וניתן לראות בהכנסות אלו פרי מאמץ משותף של בני הזוג" (שם, בעמ' 246).</w:t>
      </w:r>
    </w:p>
    <w:p w:rsidR="00B8566E" w:rsidRDefault="00B8566E" w:rsidP="00B8566E">
      <w:pPr>
        <w:pStyle w:val="Ruller41"/>
        <w:rPr>
          <w:rtl/>
        </w:rPr>
      </w:pPr>
    </w:p>
    <w:p w:rsidR="00B8566E" w:rsidRDefault="00B8566E" w:rsidP="00B8566E">
      <w:pPr>
        <w:pStyle w:val="Ruller41"/>
        <w:rPr>
          <w:rtl/>
        </w:rPr>
      </w:pPr>
      <w:r>
        <w:rPr>
          <w:rtl/>
        </w:rPr>
        <w:tab/>
      </w:r>
      <w:r>
        <w:rPr>
          <w:rFonts w:hint="cs"/>
          <w:rtl/>
        </w:rPr>
        <w:t xml:space="preserve">דברים אלה </w:t>
      </w:r>
      <w:r>
        <w:rPr>
          <w:rtl/>
        </w:rPr>
        <w:t>–</w:t>
      </w:r>
      <w:r>
        <w:rPr>
          <w:rFonts w:hint="cs"/>
          <w:rtl/>
        </w:rPr>
        <w:t xml:space="preserve"> לא נס לחם, והם יפים גם לדיון בשיתוף ספציפי </w:t>
      </w:r>
      <w:r>
        <w:rPr>
          <w:rFonts w:ascii="FrankRuehl" w:hAnsi="FrankRuehl" w:hint="cs"/>
          <w:color w:val="000000"/>
          <w:sz w:val="28"/>
          <w:shd w:val="clear" w:color="auto" w:fill="FFFFFF"/>
          <w:rtl/>
        </w:rPr>
        <w:t xml:space="preserve">(ראו: חנוך דגן </w:t>
      </w:r>
      <w:r w:rsidRPr="00804B57">
        <w:rPr>
          <w:rFonts w:ascii="Century" w:hAnsi="Century" w:cs="Miriam" w:hint="cs"/>
          <w:b/>
          <w:spacing w:val="0"/>
          <w:szCs w:val="24"/>
          <w:rtl/>
        </w:rPr>
        <w:t>קניין על פרשת דרכים</w:t>
      </w:r>
      <w:r>
        <w:rPr>
          <w:rFonts w:ascii="FrankRuehl" w:hAnsi="FrankRuehl" w:hint="cs"/>
          <w:color w:val="000000"/>
          <w:sz w:val="28"/>
          <w:shd w:val="clear" w:color="auto" w:fill="FFFFFF"/>
          <w:rtl/>
        </w:rPr>
        <w:t xml:space="preserve"> 456-436 (2005)).</w:t>
      </w:r>
      <w:r>
        <w:rPr>
          <w:rFonts w:hint="cs"/>
          <w:rtl/>
        </w:rPr>
        <w:t xml:space="preserve"> אכן, נקבע בפסיקה כי נדרשת הוכחה של "דבר מה נוסף" המעיד על כוונת השיתוף בנכס הספציפי (</w:t>
      </w:r>
      <w:proofErr w:type="spellStart"/>
      <w:r>
        <w:rPr>
          <w:rFonts w:hint="cs"/>
          <w:rtl/>
        </w:rPr>
        <w:t>בע"ם</w:t>
      </w:r>
      <w:proofErr w:type="spellEnd"/>
      <w:r>
        <w:rPr>
          <w:rFonts w:hint="cs"/>
          <w:rtl/>
        </w:rPr>
        <w:t xml:space="preserve"> 1398/11 </w:t>
      </w:r>
      <w:r w:rsidRPr="002820EE">
        <w:rPr>
          <w:rFonts w:ascii="Century" w:hAnsi="Century" w:cs="Miriam" w:hint="cs"/>
          <w:b/>
          <w:spacing w:val="0"/>
          <w:szCs w:val="24"/>
          <w:rtl/>
        </w:rPr>
        <w:t>אלמונית נ' אלמוני</w:t>
      </w:r>
      <w:r w:rsidRPr="0056709A">
        <w:rPr>
          <w:rFonts w:cs="Miriam" w:hint="cs"/>
          <w:sz w:val="24"/>
          <w:szCs w:val="24"/>
          <w:rtl/>
        </w:rPr>
        <w:t xml:space="preserve"> </w:t>
      </w:r>
      <w:r>
        <w:rPr>
          <w:rFonts w:hint="cs"/>
          <w:rtl/>
        </w:rPr>
        <w:t xml:space="preserve">(26.12.2012) (להלן: </w:t>
      </w:r>
      <w:proofErr w:type="spellStart"/>
      <w:r w:rsidRPr="002820EE">
        <w:rPr>
          <w:rFonts w:ascii="Century" w:hAnsi="Century" w:cs="Miriam" w:hint="cs"/>
          <w:b/>
          <w:spacing w:val="0"/>
          <w:szCs w:val="24"/>
          <w:rtl/>
        </w:rPr>
        <w:t>בע"ם</w:t>
      </w:r>
      <w:proofErr w:type="spellEnd"/>
      <w:r w:rsidRPr="002820EE">
        <w:rPr>
          <w:rFonts w:ascii="Century" w:hAnsi="Century" w:cs="Miriam" w:hint="cs"/>
          <w:b/>
          <w:spacing w:val="0"/>
          <w:szCs w:val="24"/>
          <w:rtl/>
        </w:rPr>
        <w:t xml:space="preserve"> 1398/11</w:t>
      </w:r>
      <w:r>
        <w:rPr>
          <w:rFonts w:hint="cs"/>
          <w:rtl/>
        </w:rPr>
        <w:t xml:space="preserve">)). אולם, נדרשת כאן הבחנה ברורה: הדרישה ל"דבר מה נוסף" </w:t>
      </w:r>
      <w:r>
        <w:rPr>
          <w:rtl/>
        </w:rPr>
        <w:t>–</w:t>
      </w:r>
      <w:r>
        <w:rPr>
          <w:rFonts w:hint="cs"/>
          <w:rtl/>
        </w:rPr>
        <w:t xml:space="preserve"> לחוד, והעובדה </w:t>
      </w:r>
      <w:proofErr w:type="spellStart"/>
      <w:r>
        <w:rPr>
          <w:rFonts w:hint="cs"/>
          <w:rtl/>
        </w:rPr>
        <w:t>שהאשה</w:t>
      </w:r>
      <w:proofErr w:type="spellEnd"/>
      <w:r>
        <w:rPr>
          <w:rFonts w:hint="cs"/>
          <w:rtl/>
        </w:rPr>
        <w:t xml:space="preserve"> לא עבדה באותן שנים </w:t>
      </w:r>
      <w:r>
        <w:rPr>
          <w:rtl/>
        </w:rPr>
        <w:t>–</w:t>
      </w:r>
      <w:r>
        <w:rPr>
          <w:rFonts w:hint="cs"/>
          <w:rtl/>
        </w:rPr>
        <w:t xml:space="preserve"> לחוד. אמנם "גבולות הגזרה" של אותו דבר מה נוסף אינם חדים וברורים, ומטבע הדברים, כל מקרה נבחן בהתאם לנסיבותיו הייחודיות (כך עולה, בין השאר מן ההשוואה בין חוות הדעת הנפרדות ב-</w:t>
      </w:r>
      <w:proofErr w:type="spellStart"/>
      <w:r w:rsidRPr="002820EE">
        <w:rPr>
          <w:rFonts w:ascii="Century" w:hAnsi="Century" w:cs="Miriam" w:hint="cs"/>
          <w:b/>
          <w:spacing w:val="0"/>
          <w:szCs w:val="24"/>
          <w:rtl/>
        </w:rPr>
        <w:t>בע"ם</w:t>
      </w:r>
      <w:proofErr w:type="spellEnd"/>
      <w:r>
        <w:rPr>
          <w:rFonts w:hint="cs"/>
          <w:rtl/>
        </w:rPr>
        <w:t xml:space="preserve"> </w:t>
      </w:r>
      <w:r w:rsidRPr="002820EE">
        <w:rPr>
          <w:rFonts w:ascii="Century" w:hAnsi="Century" w:cs="Miriam" w:hint="cs"/>
          <w:b/>
          <w:spacing w:val="0"/>
          <w:szCs w:val="24"/>
          <w:rtl/>
        </w:rPr>
        <w:t>1398/11</w:t>
      </w:r>
      <w:r>
        <w:rPr>
          <w:rFonts w:hint="cs"/>
          <w:rtl/>
        </w:rPr>
        <w:t xml:space="preserve">. ראו גם: </w:t>
      </w:r>
      <w:proofErr w:type="spellStart"/>
      <w:r>
        <w:rPr>
          <w:rFonts w:hint="cs"/>
          <w:rtl/>
        </w:rPr>
        <w:t>בע"ם</w:t>
      </w:r>
      <w:proofErr w:type="spellEnd"/>
      <w:r>
        <w:rPr>
          <w:rFonts w:hint="cs"/>
          <w:rtl/>
        </w:rPr>
        <w:t xml:space="preserve"> 10734/06 </w:t>
      </w:r>
      <w:r w:rsidRPr="002820EE">
        <w:rPr>
          <w:rFonts w:ascii="Century" w:hAnsi="Century" w:cs="Miriam" w:hint="cs"/>
          <w:b/>
          <w:spacing w:val="0"/>
          <w:szCs w:val="24"/>
          <w:rtl/>
        </w:rPr>
        <w:t>פלוני נ' פלונית</w:t>
      </w:r>
      <w:r>
        <w:rPr>
          <w:rFonts w:hint="cs"/>
          <w:rtl/>
        </w:rPr>
        <w:t xml:space="preserve">, פסקה ה' (14.3.2007); </w:t>
      </w:r>
      <w:proofErr w:type="spellStart"/>
      <w:r>
        <w:rPr>
          <w:rFonts w:hint="cs"/>
          <w:rtl/>
        </w:rPr>
        <w:t>בע"ם</w:t>
      </w:r>
      <w:proofErr w:type="spellEnd"/>
      <w:r>
        <w:rPr>
          <w:rFonts w:hint="cs"/>
          <w:rtl/>
        </w:rPr>
        <w:t xml:space="preserve"> 2991/13 </w:t>
      </w:r>
      <w:r w:rsidRPr="002820EE">
        <w:rPr>
          <w:rFonts w:ascii="Century" w:hAnsi="Century" w:cs="Miriam" w:hint="cs"/>
          <w:b/>
          <w:spacing w:val="0"/>
          <w:szCs w:val="24"/>
          <w:rtl/>
        </w:rPr>
        <w:t>פלונית נ' פלוני</w:t>
      </w:r>
      <w:r>
        <w:rPr>
          <w:rFonts w:hint="cs"/>
          <w:rtl/>
        </w:rPr>
        <w:t xml:space="preserve">, פסקה ח' (21.8.2013)). אולם לא יכול להיות ספק שהדלת להכרה בשיתוף ספציפי אינה נסגרת אך בשל כך שאחד מבני הזוג לא עבד מחוץ לבית בתקופת הנישואין. להפך, הלכת השיתוף הספציפי נועדה, בין </w:t>
      </w:r>
      <w:r>
        <w:rPr>
          <w:rFonts w:hint="cs"/>
          <w:rtl/>
        </w:rPr>
        <w:lastRenderedPageBreak/>
        <w:t xml:space="preserve">השאר, לתת מענה למצב שבו תרומתם של בני הזוג לתא המשפחתי אינה זהה במאפייניה, למשל כאשר אחד מהם העלה למשק הבית תרומה כלכלית, ואילו האחר תרם את חלקו בניהולו של משק הבית באופן שאפשר לבן זוגו לייצר הכנסה כלכלית. דומה שהדברים עולים אף מפסק דינו של בית הדין הרבני האזורי בהליך דנן, שייחס משקל הן לשיפוץ שערכו הצדדים בבית המגורים והן לתקופה הארוכה שבה הם גרו יחד בבית </w:t>
      </w:r>
      <w:r>
        <w:rPr>
          <w:rtl/>
        </w:rPr>
        <w:t>–</w:t>
      </w:r>
      <w:r>
        <w:rPr>
          <w:rFonts w:hint="cs"/>
          <w:rtl/>
        </w:rPr>
        <w:t xml:space="preserve"> ועל בסיס זה קבע כי בהתאם להלכה הפסוקה אכן התקיים "דבר מה נוסף" המקים שיתוף ספציפי בבית המגורים.</w:t>
      </w:r>
    </w:p>
    <w:p w:rsidR="00B8566E" w:rsidRDefault="00B8566E" w:rsidP="00B8566E">
      <w:pPr>
        <w:pStyle w:val="Ruller41"/>
        <w:rPr>
          <w:rtl/>
        </w:rPr>
      </w:pPr>
    </w:p>
    <w:p w:rsidR="00B8566E" w:rsidRDefault="00B8566E" w:rsidP="00B8566E">
      <w:pPr>
        <w:pStyle w:val="Ruller41"/>
        <w:rPr>
          <w:rtl/>
        </w:rPr>
      </w:pPr>
      <w:r>
        <w:rPr>
          <w:rFonts w:hint="cs"/>
          <w:rtl/>
        </w:rPr>
        <w:t>25.</w:t>
      </w:r>
      <w:r>
        <w:rPr>
          <w:rtl/>
        </w:rPr>
        <w:tab/>
      </w:r>
      <w:r>
        <w:rPr>
          <w:rFonts w:hint="cs"/>
          <w:rtl/>
        </w:rPr>
        <w:t xml:space="preserve">קושי </w:t>
      </w:r>
      <w:r w:rsidRPr="00441A2B">
        <w:rPr>
          <w:rFonts w:ascii="Century" w:hAnsi="Century" w:hint="cs"/>
          <w:rtl/>
        </w:rPr>
        <w:t>נוסף ה</w:t>
      </w:r>
      <w:r>
        <w:rPr>
          <w:rFonts w:ascii="Century" w:hAnsi="Century" w:hint="cs"/>
          <w:rtl/>
        </w:rPr>
        <w:t>עולה</w:t>
      </w:r>
      <w:r w:rsidRPr="00441A2B">
        <w:rPr>
          <w:rFonts w:ascii="Century" w:hAnsi="Century" w:hint="cs"/>
          <w:rtl/>
        </w:rPr>
        <w:t xml:space="preserve"> לדידי </w:t>
      </w:r>
      <w:r>
        <w:rPr>
          <w:rFonts w:ascii="Century" w:hAnsi="Century" w:hint="cs"/>
          <w:rtl/>
        </w:rPr>
        <w:t>מ</w:t>
      </w:r>
      <w:r w:rsidRPr="00441A2B">
        <w:rPr>
          <w:rFonts w:ascii="Century" w:hAnsi="Century" w:hint="cs"/>
          <w:rtl/>
        </w:rPr>
        <w:t>פסק די</w:t>
      </w:r>
      <w:r>
        <w:rPr>
          <w:rFonts w:ascii="Century" w:hAnsi="Century" w:hint="cs"/>
          <w:rtl/>
        </w:rPr>
        <w:t>נו של בית הדין הרבני</w:t>
      </w:r>
      <w:r w:rsidRPr="00441A2B">
        <w:rPr>
          <w:rFonts w:ascii="Century" w:hAnsi="Century" w:hint="cs"/>
          <w:rtl/>
        </w:rPr>
        <w:t xml:space="preserve"> </w:t>
      </w:r>
      <w:r>
        <w:rPr>
          <w:rFonts w:ascii="Century" w:hAnsi="Century" w:hint="cs"/>
          <w:rtl/>
        </w:rPr>
        <w:t xml:space="preserve">הגדול </w:t>
      </w:r>
      <w:r w:rsidRPr="00441A2B">
        <w:rPr>
          <w:rFonts w:ascii="Century" w:hAnsi="Century" w:hint="cs"/>
          <w:rtl/>
        </w:rPr>
        <w:t>נוגע ל</w:t>
      </w:r>
      <w:r>
        <w:rPr>
          <w:rFonts w:ascii="Century" w:hAnsi="Century" w:hint="cs"/>
          <w:rtl/>
        </w:rPr>
        <w:t xml:space="preserve">נקודת הזמן שבה יש לבחון את כוונת </w:t>
      </w:r>
      <w:r w:rsidRPr="00441A2B">
        <w:rPr>
          <w:rFonts w:ascii="Century" w:hAnsi="Century" w:hint="cs"/>
          <w:rtl/>
        </w:rPr>
        <w:t>השיתוף</w:t>
      </w:r>
      <w:r>
        <w:rPr>
          <w:rFonts w:hint="cs"/>
          <w:rtl/>
        </w:rPr>
        <w:t xml:space="preserve">. בית הדין הרבני הגדול התמקד במעשים שעל-פי הנטען אירעו בשלהי הקשר, וקבע כי לנוכח מצב הדברים בין בני הזוג באותה עת לא ניתן לייחס להם כוונת שיתוף (ובפרט הדיין </w:t>
      </w:r>
      <w:r w:rsidRPr="00975733">
        <w:rPr>
          <w:rFonts w:ascii="Century" w:hAnsi="Century" w:cs="Miriam" w:hint="cs"/>
          <w:b/>
          <w:spacing w:val="0"/>
          <w:szCs w:val="24"/>
          <w:rtl/>
        </w:rPr>
        <w:t>נהרי</w:t>
      </w:r>
      <w:r>
        <w:rPr>
          <w:rFonts w:hint="cs"/>
          <w:rtl/>
        </w:rPr>
        <w:t xml:space="preserve">, שהתייחס בדבריו ל"חזרה מכוונת שיתוף ככל שהייתה"). אולם, במידה לא מבוטלת זוהי הנחת המבוקש. למעשה, כמעט כל אדם שמערכת היחסים הזוגית שלו עלתה על שרטון, ולא כל שכן בנסיבות קשות המלוות בכעס או עלבון, היה משיב </w:t>
      </w:r>
      <w:r>
        <w:rPr>
          <w:rtl/>
        </w:rPr>
        <w:t>–</w:t>
      </w:r>
      <w:r>
        <w:rPr>
          <w:rFonts w:hint="cs"/>
          <w:rtl/>
        </w:rPr>
        <w:t xml:space="preserve"> לו היה באותה נקודת זמן, בדיעבד </w:t>
      </w:r>
      <w:r>
        <w:rPr>
          <w:rtl/>
        </w:rPr>
        <w:t>–</w:t>
      </w:r>
      <w:r>
        <w:rPr>
          <w:rFonts w:hint="cs"/>
          <w:rtl/>
        </w:rPr>
        <w:t xml:space="preserve"> כי אין לו שום רצון לחלוק ברכושו (או כל דבר אחר היקר לו) עם בן הזוג המנוכר לו. לא כך בוחנים קיומה או היעדרה של כוונת שיתוף, כשם שאף לא לומדים על רצונותיהם של צדדים במערכת יחסים חוזית בשלב שבו זו הופרה. להפך: את הכוונה לשיתוף יש לבחון בהתייחס לאומד דעתם של הצדדים לאורך השנים שבהם התנהלה מערכת היחסים הזוגית ביניהם בשלווה ונחת. כאשר בית הדין הרבני הגדול (בחוות דעתו של הדיין </w:t>
      </w:r>
      <w:r w:rsidRPr="00CA44D8">
        <w:rPr>
          <w:rFonts w:ascii="Century" w:hAnsi="Century" w:cs="Miriam" w:hint="cs"/>
          <w:b/>
          <w:spacing w:val="0"/>
          <w:szCs w:val="24"/>
          <w:rtl/>
        </w:rPr>
        <w:t>עמוס</w:t>
      </w:r>
      <w:r>
        <w:rPr>
          <w:rFonts w:hint="cs"/>
          <w:rtl/>
        </w:rPr>
        <w:t xml:space="preserve">) הסיק כי לא ייתכן שהמשיב היה נותן מתנה בנסיבות של "בגידה" ובכך שלל לאחור את כוונת השיתוף הוא חרג אפוא אף מהכללים החלים על בחינת רצונם המשוער של צדדים למערכת יחסים זוגית. עמד על כך גם חברי השופט </w:t>
      </w:r>
      <w:r w:rsidRPr="00441A2B">
        <w:rPr>
          <w:rFonts w:ascii="Century" w:hAnsi="Century" w:cs="Miriam" w:hint="cs"/>
          <w:b/>
          <w:spacing w:val="0"/>
          <w:szCs w:val="24"/>
          <w:rtl/>
        </w:rPr>
        <w:t>עמית</w:t>
      </w:r>
      <w:r w:rsidRPr="007B6C98">
        <w:rPr>
          <w:rFonts w:hint="cs"/>
          <w:rtl/>
        </w:rPr>
        <w:t xml:space="preserve"> </w:t>
      </w:r>
      <w:r>
        <w:rPr>
          <w:rFonts w:hint="cs"/>
          <w:rtl/>
        </w:rPr>
        <w:t>בפסק הדין הקודם, ואני מצטרפת לדבריו גם בעניין זה (כמו גם להתייחסותו לממד הזמן ב-</w:t>
      </w:r>
      <w:proofErr w:type="spellStart"/>
      <w:r w:rsidRPr="001E0B90">
        <w:rPr>
          <w:rFonts w:ascii="Century" w:hAnsi="Century" w:cs="Miriam" w:hint="cs"/>
          <w:b/>
          <w:spacing w:val="0"/>
          <w:szCs w:val="24"/>
          <w:rtl/>
        </w:rPr>
        <w:t>בע"ם</w:t>
      </w:r>
      <w:proofErr w:type="spellEnd"/>
      <w:r w:rsidRPr="001E0B90">
        <w:rPr>
          <w:rFonts w:ascii="Century" w:hAnsi="Century" w:cs="Miriam" w:hint="cs"/>
          <w:b/>
          <w:spacing w:val="0"/>
          <w:szCs w:val="24"/>
          <w:rtl/>
        </w:rPr>
        <w:t xml:space="preserve"> 1398/11</w:t>
      </w:r>
      <w:r>
        <w:rPr>
          <w:rFonts w:hint="cs"/>
          <w:rtl/>
        </w:rPr>
        <w:t xml:space="preserve">, בפסקה 2 לחוות דעתו שם). </w:t>
      </w:r>
    </w:p>
    <w:p w:rsidR="00B8566E" w:rsidRDefault="00B8566E" w:rsidP="00B8566E">
      <w:pPr>
        <w:pStyle w:val="Ruller41"/>
        <w:rPr>
          <w:rtl/>
        </w:rPr>
      </w:pPr>
    </w:p>
    <w:p w:rsidR="00B8566E" w:rsidRDefault="00B8566E" w:rsidP="00B8566E">
      <w:pPr>
        <w:pStyle w:val="Ruller41"/>
        <w:rPr>
          <w:rFonts w:ascii="Century" w:hAnsi="Century"/>
          <w:rtl/>
        </w:rPr>
      </w:pPr>
      <w:r>
        <w:rPr>
          <w:rFonts w:hint="cs"/>
          <w:rtl/>
        </w:rPr>
        <w:t>26.</w:t>
      </w:r>
      <w:r>
        <w:rPr>
          <w:rFonts w:hint="cs"/>
          <w:rtl/>
        </w:rPr>
        <w:tab/>
        <w:t xml:space="preserve">בחוות דעתו חולק חברי השופט </w:t>
      </w:r>
      <w:r w:rsidRPr="00523B25">
        <w:rPr>
          <w:rFonts w:ascii="Century" w:hAnsi="Century" w:cs="Miriam" w:hint="eastAsia"/>
          <w:b/>
          <w:spacing w:val="0"/>
          <w:szCs w:val="24"/>
          <w:rtl/>
        </w:rPr>
        <w:t>שטיין</w:t>
      </w:r>
      <w:r w:rsidRPr="00F3292C">
        <w:rPr>
          <w:rFonts w:hint="cs"/>
          <w:rtl/>
        </w:rPr>
        <w:t xml:space="preserve"> </w:t>
      </w:r>
      <w:proofErr w:type="spellStart"/>
      <w:r>
        <w:rPr>
          <w:rFonts w:hint="cs"/>
          <w:rtl/>
        </w:rPr>
        <w:t>מדעיקרא</w:t>
      </w:r>
      <w:proofErr w:type="spellEnd"/>
      <w:r>
        <w:rPr>
          <w:rFonts w:hint="cs"/>
          <w:rtl/>
        </w:rPr>
        <w:t xml:space="preserve"> על מתכונתה של הלכת השיתוף הספציפי כפי שזו הותוותה בפסיקה עד כה. בהקשר זה אעיר כי בשונה ממנו אינני סבורה שהלכת השיתוף הספציפי הועמדה להערכה חוזרת על-ידינו, אלא רק דרכי פיתוחה ויישומה. על כן, אתייחס רק לעיקרי דבריו בעניין זה, ובקצרה. </w:t>
      </w:r>
      <w:r>
        <w:rPr>
          <w:rFonts w:ascii="Century" w:hAnsi="Century" w:hint="cs"/>
          <w:rtl/>
        </w:rPr>
        <w:t xml:space="preserve">אכן, האמת ניתנת להיאמר כי במצבי גבול הלכת השיתוף הספציפי עשויה להיות כרוכה בחוסר ודאות מסוים, כגון הסדרים משפטיים רבים אחרים. אולם, חוסר הוודאות במקרי גבול הוא מחיר פעוט יחסית, להשקפתי, בהתחשב בתכליות שאותה משרתת הלכה זו ושעליהן היא מיוסדת. יתר על כן, איני סבורה כי מדובר בחוסר ודאות משמעותי שמצדיק את שינוי ההלכה. </w:t>
      </w:r>
      <w:r>
        <w:rPr>
          <w:rFonts w:ascii="Century" w:hAnsi="Century" w:hint="cs"/>
          <w:rtl/>
        </w:rPr>
        <w:lastRenderedPageBreak/>
        <w:t>כידוע, הלכת השיתוף הספציפי חלה רק ככל שבני הזוג לא דחו אותה על דרך עריכתו של הסכם ממון. ניתן דווקא להניח כי מי שנכנס למערכת יחסים זוגית כאשר בבעלותו רכוש ממשי יהיה גם בעל תמריץ ומודעות ליזום עריכתו של הסכם ממון. שלילתה של הלכת השיתוף הספציפי מגלגלת בפועל את ברירת המחדל לפתחו של בן הזוג שאינו בעל נכסים. מהו הבסיס לקבוע שברירת מחדל זו היא עדיפה?</w:t>
      </w:r>
    </w:p>
    <w:p w:rsidR="00B8566E" w:rsidRDefault="00B8566E" w:rsidP="00B8566E">
      <w:pPr>
        <w:pStyle w:val="Ruller41"/>
        <w:rPr>
          <w:rFonts w:ascii="Century" w:hAnsi="Century"/>
          <w:rtl/>
        </w:rPr>
      </w:pPr>
    </w:p>
    <w:p w:rsidR="00B8566E" w:rsidRPr="00F62A31" w:rsidRDefault="00B8566E" w:rsidP="00B8566E">
      <w:pPr>
        <w:pStyle w:val="Ruller41"/>
        <w:rPr>
          <w:rFonts w:ascii="Century" w:hAnsi="Century"/>
          <w:rtl/>
        </w:rPr>
      </w:pPr>
      <w:r>
        <w:rPr>
          <w:rFonts w:ascii="Century" w:hAnsi="Century" w:hint="cs"/>
          <w:rtl/>
        </w:rPr>
        <w:t xml:space="preserve">27. </w:t>
      </w:r>
      <w:r>
        <w:rPr>
          <w:rFonts w:ascii="Century" w:hAnsi="Century" w:hint="cs"/>
          <w:rtl/>
        </w:rPr>
        <w:tab/>
        <w:t xml:space="preserve">בהמשך לכך, אני סבורה כי אף המודל החלופי שהוצע על-ידי חברי השופט </w:t>
      </w:r>
      <w:r w:rsidRPr="00D50032">
        <w:rPr>
          <w:rFonts w:ascii="Century" w:hAnsi="Century" w:cs="Miriam" w:hint="cs"/>
          <w:b/>
          <w:spacing w:val="0"/>
          <w:szCs w:val="24"/>
          <w:rtl/>
        </w:rPr>
        <w:t>שטיין</w:t>
      </w:r>
      <w:r>
        <w:rPr>
          <w:rFonts w:ascii="Century" w:hAnsi="Century" w:hint="cs"/>
          <w:rtl/>
        </w:rPr>
        <w:t xml:space="preserve"> </w:t>
      </w:r>
      <w:r>
        <w:rPr>
          <w:rFonts w:ascii="Century" w:hAnsi="Century"/>
          <w:rtl/>
        </w:rPr>
        <w:t>–</w:t>
      </w:r>
      <w:r>
        <w:rPr>
          <w:rFonts w:ascii="Century" w:hAnsi="Century" w:hint="cs"/>
          <w:rtl/>
        </w:rPr>
        <w:t xml:space="preserve"> של העברה אינקרמנטלית של הבעלות ברכוש בהתאם לאורך חיי הנישואין </w:t>
      </w:r>
      <w:r>
        <w:rPr>
          <w:rFonts w:ascii="Century" w:hAnsi="Century"/>
          <w:rtl/>
        </w:rPr>
        <w:t>–</w:t>
      </w:r>
      <w:r>
        <w:rPr>
          <w:rFonts w:ascii="Century" w:hAnsi="Century" w:hint="cs"/>
          <w:rtl/>
        </w:rPr>
        <w:t xml:space="preserve"> חורג ממסגרת הדיון. עם זאת, אעיר בזהירות המתחייבת, כי רגולציה מספרית קונקרטית של דרך העברת הרכוש במתכונת המוצעת על-ידי חברי מתאימה לחקיקה, ולא לקביעת עקרונות פסיקתית. מעבר לכך, הצעתו של חברי, שלפיה השיתוף בדירת המגורים המשפחתית מתגבש רק לאחר "עולמו של יובל", תביא לצמצום משמעותי ביותר במצב הנוהג, ואף למצב שבפועל שיתוף מלא בנכס יהפוך לכמעט בלתי אפשרי, וזאת מבלי ששמענו טיעונים בעניין זה.</w:t>
      </w:r>
    </w:p>
    <w:p w:rsidR="00B8566E" w:rsidRDefault="00B8566E" w:rsidP="00B8566E">
      <w:pPr>
        <w:pStyle w:val="Ruller41"/>
        <w:rPr>
          <w:rFonts w:ascii="Century" w:hAnsi="Century" w:cs="Miriam"/>
          <w:b/>
          <w:spacing w:val="0"/>
          <w:szCs w:val="24"/>
          <w:rtl/>
        </w:rPr>
      </w:pPr>
    </w:p>
    <w:p w:rsidR="00B8566E" w:rsidRPr="004B56FF" w:rsidRDefault="00B8566E" w:rsidP="00B8566E">
      <w:pPr>
        <w:pStyle w:val="Ruller41"/>
        <w:rPr>
          <w:rFonts w:ascii="Century" w:hAnsi="Century" w:cs="Miriam"/>
          <w:b/>
          <w:spacing w:val="0"/>
          <w:szCs w:val="24"/>
          <w:rtl/>
        </w:rPr>
      </w:pPr>
      <w:r>
        <w:rPr>
          <w:rFonts w:ascii="Century" w:hAnsi="Century" w:cs="Miriam" w:hint="cs"/>
          <w:b/>
          <w:spacing w:val="0"/>
          <w:szCs w:val="24"/>
          <w:rtl/>
        </w:rPr>
        <w:t xml:space="preserve">לקראת סיום: </w:t>
      </w:r>
      <w:r w:rsidRPr="004B56FF">
        <w:rPr>
          <w:rFonts w:ascii="Century" w:hAnsi="Century" w:cs="Miriam" w:hint="cs"/>
          <w:b/>
          <w:spacing w:val="0"/>
          <w:szCs w:val="24"/>
          <w:rtl/>
        </w:rPr>
        <w:t>על המשמעות של בית</w:t>
      </w:r>
    </w:p>
    <w:p w:rsidR="00B8566E" w:rsidRDefault="00B8566E" w:rsidP="00B8566E">
      <w:pPr>
        <w:pStyle w:val="Ruller41"/>
        <w:rPr>
          <w:rtl/>
        </w:rPr>
      </w:pPr>
    </w:p>
    <w:p w:rsidR="00B8566E" w:rsidRDefault="00B8566E" w:rsidP="00B8566E">
      <w:pPr>
        <w:pStyle w:val="Ruller41"/>
        <w:rPr>
          <w:rFonts w:ascii="Century" w:hAnsi="Century" w:cs="Miriam"/>
          <w:b/>
          <w:spacing w:val="0"/>
          <w:szCs w:val="24"/>
          <w:rtl/>
        </w:rPr>
      </w:pPr>
      <w:r>
        <w:rPr>
          <w:rFonts w:hint="cs"/>
          <w:rtl/>
        </w:rPr>
        <w:t xml:space="preserve">28. </w:t>
      </w:r>
      <w:r>
        <w:rPr>
          <w:rFonts w:hint="cs"/>
          <w:rtl/>
        </w:rPr>
        <w:tab/>
        <w:t xml:space="preserve">הדיון בסוגיה שהוצבה לפתחנו אינו יכול להיות דיון מופשט בשאלה של "שיתוף" ב"רכוש". </w:t>
      </w:r>
      <w:r>
        <w:rPr>
          <w:rFonts w:ascii="Century" w:hAnsi="Century" w:hint="cs"/>
          <w:rtl/>
        </w:rPr>
        <w:t xml:space="preserve">יש משמעות רבה לשאלה מהם טיבו ומאפייניו של הרכוש ששאלת השיתוף נדונה ביחס אליו. כאן מדובר ברכוש מיוחד וחיוני </w:t>
      </w:r>
      <w:r>
        <w:rPr>
          <w:rFonts w:ascii="Century" w:hAnsi="Century"/>
          <w:rtl/>
        </w:rPr>
        <w:t>–</w:t>
      </w:r>
      <w:r>
        <w:rPr>
          <w:rFonts w:ascii="Century" w:hAnsi="Century" w:hint="cs"/>
          <w:rtl/>
        </w:rPr>
        <w:t xml:space="preserve"> בית המשפחה. כפי שציינה חברתי הנשיאה, בית כזה, ולא כל שכן כזה ששימש למגוריה של משפחה במשך כשני עשורים </w:t>
      </w:r>
      <w:r>
        <w:rPr>
          <w:rFonts w:ascii="Century" w:hAnsi="Century"/>
          <w:rtl/>
        </w:rPr>
        <w:t>–</w:t>
      </w:r>
      <w:r>
        <w:rPr>
          <w:rFonts w:ascii="Century" w:hAnsi="Century" w:hint="cs"/>
          <w:rtl/>
        </w:rPr>
        <w:t xml:space="preserve"> </w:t>
      </w:r>
      <w:r w:rsidRPr="00F5484C">
        <w:rPr>
          <w:rFonts w:hint="cs"/>
          <w:rtl/>
        </w:rPr>
        <w:t xml:space="preserve">אינו רק רכוש, </w:t>
      </w:r>
      <w:r w:rsidRPr="00F5484C">
        <w:rPr>
          <w:rtl/>
        </w:rPr>
        <w:t>ואין הוא ככל רכוש אחר. ההגנה עליו נוגעת גם לרגש, למשמעות ולתנאי קיום</w:t>
      </w:r>
      <w:r>
        <w:rPr>
          <w:rFonts w:ascii="Century" w:hAnsi="Century" w:hint="cs"/>
          <w:rtl/>
        </w:rPr>
        <w:t xml:space="preserve">. הדיון בעיצוב הנורמה הראויה לחול על השיתוף ברכוש זה חייב להתחשב במאפייניו. התוצאה של שלילת זכויות בבית מגורים היא קשה במיוחד. לא בכדי נקבע זה מכבר בפסיקתנו כי דירת המגורים היא הנכס המשפחתי המשמעותי ביותר, ועל כן הנכונות להכיר בשיתוף ספציפי בה תהא גדולה יותר בהשוואה לנכסים אחרים (ראו: </w:t>
      </w:r>
      <w:r w:rsidRPr="00DF22D2">
        <w:rPr>
          <w:rFonts w:ascii="Century" w:hAnsi="Century" w:hint="eastAsia"/>
          <w:rtl/>
        </w:rPr>
        <w:t>ע</w:t>
      </w:r>
      <w:r w:rsidRPr="00DF22D2">
        <w:rPr>
          <w:rFonts w:ascii="Century" w:hAnsi="Century"/>
          <w:rtl/>
        </w:rPr>
        <w:t>"</w:t>
      </w:r>
      <w:r w:rsidRPr="00DF22D2">
        <w:rPr>
          <w:rFonts w:ascii="Century" w:hAnsi="Century" w:hint="eastAsia"/>
          <w:rtl/>
        </w:rPr>
        <w:t>א</w:t>
      </w:r>
      <w:r w:rsidRPr="00DF22D2">
        <w:rPr>
          <w:rFonts w:ascii="Century" w:hAnsi="Century"/>
          <w:rtl/>
        </w:rPr>
        <w:t xml:space="preserve"> 806/93 </w:t>
      </w:r>
      <w:r w:rsidRPr="00077460">
        <w:rPr>
          <w:rFonts w:ascii="Century" w:hAnsi="Century" w:cs="Miriam" w:hint="eastAsia"/>
          <w:b/>
          <w:spacing w:val="0"/>
          <w:szCs w:val="24"/>
          <w:rtl/>
        </w:rPr>
        <w:t>הדרי</w:t>
      </w:r>
      <w:r w:rsidRPr="00077460">
        <w:rPr>
          <w:rFonts w:ascii="Century" w:hAnsi="Century" w:cs="Miriam"/>
          <w:b/>
          <w:spacing w:val="0"/>
          <w:szCs w:val="24"/>
          <w:rtl/>
        </w:rPr>
        <w:t xml:space="preserve"> </w:t>
      </w:r>
      <w:r w:rsidRPr="00077460">
        <w:rPr>
          <w:rFonts w:ascii="Century" w:hAnsi="Century" w:cs="Miriam" w:hint="eastAsia"/>
          <w:b/>
          <w:spacing w:val="0"/>
          <w:szCs w:val="24"/>
          <w:rtl/>
        </w:rPr>
        <w:t>נ</w:t>
      </w:r>
      <w:r w:rsidRPr="00077460">
        <w:rPr>
          <w:rFonts w:ascii="Century" w:hAnsi="Century" w:cs="Miriam"/>
          <w:b/>
          <w:spacing w:val="0"/>
          <w:szCs w:val="24"/>
          <w:rtl/>
        </w:rPr>
        <w:t xml:space="preserve">' </w:t>
      </w:r>
      <w:r w:rsidRPr="00077460">
        <w:rPr>
          <w:rFonts w:ascii="Century" w:hAnsi="Century" w:cs="Miriam" w:hint="eastAsia"/>
          <w:b/>
          <w:spacing w:val="0"/>
          <w:szCs w:val="24"/>
          <w:rtl/>
        </w:rPr>
        <w:t>הדרי</w:t>
      </w:r>
      <w:r w:rsidRPr="00DF22D2">
        <w:rPr>
          <w:rFonts w:ascii="Century" w:hAnsi="Century"/>
          <w:rtl/>
        </w:rPr>
        <w:t xml:space="preserve">, </w:t>
      </w:r>
      <w:r w:rsidRPr="00DF22D2">
        <w:rPr>
          <w:rFonts w:ascii="Century" w:hAnsi="Century" w:hint="eastAsia"/>
          <w:rtl/>
        </w:rPr>
        <w:t>פ</w:t>
      </w:r>
      <w:r w:rsidRPr="00DF22D2">
        <w:rPr>
          <w:rFonts w:ascii="Century" w:hAnsi="Century"/>
          <w:rtl/>
        </w:rPr>
        <w:t>"</w:t>
      </w:r>
      <w:r w:rsidRPr="00DF22D2">
        <w:rPr>
          <w:rFonts w:ascii="Century" w:hAnsi="Century" w:hint="eastAsia"/>
          <w:rtl/>
        </w:rPr>
        <w:t>ד</w:t>
      </w:r>
      <w:r w:rsidRPr="00DF22D2">
        <w:rPr>
          <w:rFonts w:ascii="Century" w:hAnsi="Century"/>
          <w:rtl/>
        </w:rPr>
        <w:t xml:space="preserve"> </w:t>
      </w:r>
      <w:r w:rsidRPr="00DF22D2">
        <w:rPr>
          <w:rFonts w:ascii="Century" w:hAnsi="Century" w:hint="eastAsia"/>
          <w:rtl/>
        </w:rPr>
        <w:t>מח</w:t>
      </w:r>
      <w:r w:rsidRPr="00DF22D2">
        <w:rPr>
          <w:rFonts w:ascii="Century" w:hAnsi="Century"/>
          <w:rtl/>
        </w:rPr>
        <w:t>(3) 685, 690 (1994)</w:t>
      </w:r>
      <w:r>
        <w:rPr>
          <w:rFonts w:ascii="Century" w:hAnsi="Century" w:hint="cs"/>
          <w:rtl/>
        </w:rPr>
        <w:t xml:space="preserve">; </w:t>
      </w:r>
      <w:proofErr w:type="spellStart"/>
      <w:r w:rsidRPr="00DF22D2">
        <w:rPr>
          <w:rFonts w:ascii="Century" w:hAnsi="Century" w:hint="eastAsia"/>
          <w:rtl/>
        </w:rPr>
        <w:t>בע</w:t>
      </w:r>
      <w:r w:rsidRPr="00DF22D2">
        <w:rPr>
          <w:rFonts w:ascii="Century" w:hAnsi="Century"/>
          <w:rtl/>
        </w:rPr>
        <w:t>"</w:t>
      </w:r>
      <w:r>
        <w:rPr>
          <w:rFonts w:ascii="Century" w:hAnsi="Century" w:hint="cs"/>
          <w:rtl/>
        </w:rPr>
        <w:t>ם</w:t>
      </w:r>
      <w:proofErr w:type="spellEnd"/>
      <w:r w:rsidRPr="00DF22D2">
        <w:rPr>
          <w:rFonts w:ascii="Century" w:hAnsi="Century"/>
          <w:rtl/>
        </w:rPr>
        <w:t xml:space="preserve"> 5939/04 </w:t>
      </w:r>
      <w:r w:rsidRPr="00077460">
        <w:rPr>
          <w:rFonts w:ascii="Century" w:hAnsi="Century" w:cs="Miriam" w:hint="eastAsia"/>
          <w:b/>
          <w:spacing w:val="0"/>
          <w:szCs w:val="24"/>
          <w:rtl/>
        </w:rPr>
        <w:t>פלוני</w:t>
      </w:r>
      <w:r w:rsidRPr="00077460">
        <w:rPr>
          <w:rFonts w:ascii="Century" w:hAnsi="Century" w:cs="Miriam"/>
          <w:b/>
          <w:spacing w:val="0"/>
          <w:szCs w:val="24"/>
          <w:rtl/>
        </w:rPr>
        <w:t xml:space="preserve"> </w:t>
      </w:r>
      <w:r w:rsidRPr="00077460">
        <w:rPr>
          <w:rFonts w:ascii="Century" w:hAnsi="Century" w:cs="Miriam" w:hint="eastAsia"/>
          <w:b/>
          <w:spacing w:val="0"/>
          <w:szCs w:val="24"/>
          <w:rtl/>
        </w:rPr>
        <w:t>נ</w:t>
      </w:r>
      <w:r w:rsidRPr="00077460">
        <w:rPr>
          <w:rFonts w:ascii="Century" w:hAnsi="Century" w:cs="Miriam"/>
          <w:b/>
          <w:spacing w:val="0"/>
          <w:szCs w:val="24"/>
          <w:rtl/>
        </w:rPr>
        <w:t xml:space="preserve">' </w:t>
      </w:r>
      <w:r w:rsidRPr="00077460">
        <w:rPr>
          <w:rFonts w:ascii="Century" w:hAnsi="Century" w:cs="Miriam" w:hint="eastAsia"/>
          <w:b/>
          <w:spacing w:val="0"/>
          <w:szCs w:val="24"/>
          <w:rtl/>
        </w:rPr>
        <w:t>פלונית</w:t>
      </w:r>
      <w:r>
        <w:rPr>
          <w:rFonts w:ascii="Century" w:hAnsi="Century" w:hint="cs"/>
          <w:rtl/>
        </w:rPr>
        <w:t>,</w:t>
      </w:r>
      <w:r w:rsidRPr="00DF22D2">
        <w:rPr>
          <w:rFonts w:ascii="Century" w:hAnsi="Century"/>
          <w:rtl/>
        </w:rPr>
        <w:t xml:space="preserve"> </w:t>
      </w:r>
      <w:r w:rsidRPr="00DF22D2">
        <w:rPr>
          <w:rFonts w:ascii="Century" w:hAnsi="Century" w:hint="eastAsia"/>
          <w:rtl/>
        </w:rPr>
        <w:t>פ</w:t>
      </w:r>
      <w:r w:rsidRPr="00DF22D2">
        <w:rPr>
          <w:rFonts w:ascii="Century" w:hAnsi="Century"/>
          <w:rtl/>
        </w:rPr>
        <w:t>"</w:t>
      </w:r>
      <w:r w:rsidRPr="00DF22D2">
        <w:rPr>
          <w:rFonts w:ascii="Century" w:hAnsi="Century" w:hint="eastAsia"/>
          <w:rtl/>
        </w:rPr>
        <w:t>ד</w:t>
      </w:r>
      <w:r w:rsidRPr="00DF22D2">
        <w:rPr>
          <w:rFonts w:ascii="Century" w:hAnsi="Century"/>
          <w:rtl/>
        </w:rPr>
        <w:t xml:space="preserve"> </w:t>
      </w:r>
      <w:r w:rsidRPr="00DF22D2">
        <w:rPr>
          <w:rFonts w:ascii="Century" w:hAnsi="Century" w:hint="eastAsia"/>
          <w:rtl/>
        </w:rPr>
        <w:t>נט</w:t>
      </w:r>
      <w:r w:rsidRPr="00DF22D2">
        <w:rPr>
          <w:rFonts w:ascii="Century" w:hAnsi="Century"/>
          <w:rtl/>
        </w:rPr>
        <w:t>(1) 665, 670 (2004)</w:t>
      </w:r>
      <w:r>
        <w:rPr>
          <w:rFonts w:ascii="Century" w:hAnsi="Century" w:hint="cs"/>
          <w:rtl/>
        </w:rPr>
        <w:t xml:space="preserve">; עניין </w:t>
      </w:r>
      <w:r w:rsidRPr="00C74DAA">
        <w:rPr>
          <w:rFonts w:ascii="Century" w:hAnsi="Century" w:cs="Miriam" w:hint="cs"/>
          <w:b/>
          <w:spacing w:val="0"/>
          <w:szCs w:val="24"/>
          <w:rtl/>
        </w:rPr>
        <w:t xml:space="preserve">בן </w:t>
      </w:r>
      <w:proofErr w:type="spellStart"/>
      <w:r w:rsidRPr="00C74DAA">
        <w:rPr>
          <w:rFonts w:ascii="Century" w:hAnsi="Century" w:cs="Miriam" w:hint="cs"/>
          <w:b/>
          <w:spacing w:val="0"/>
          <w:szCs w:val="24"/>
          <w:rtl/>
        </w:rPr>
        <w:t>גיאת</w:t>
      </w:r>
      <w:proofErr w:type="spellEnd"/>
      <w:r>
        <w:rPr>
          <w:rFonts w:ascii="Century" w:hAnsi="Century" w:hint="cs"/>
          <w:rtl/>
        </w:rPr>
        <w:t>, בפסקה 13). כלל הטענות שהועלו ביחס להסכמות המשוערות של הצדדים מקבלות אפוא משנה תוקף כאשר מדובר בבית המשפחה, על כל המשמעויות הנגזרות ממושג זה.</w:t>
      </w:r>
    </w:p>
    <w:p w:rsidR="00B8566E" w:rsidRDefault="00B8566E" w:rsidP="00B8566E">
      <w:pPr>
        <w:pStyle w:val="Ruller41"/>
        <w:rPr>
          <w:rFonts w:ascii="Century" w:hAnsi="Century" w:cs="Miriam"/>
          <w:b/>
          <w:spacing w:val="0"/>
          <w:szCs w:val="24"/>
          <w:rtl/>
        </w:rPr>
      </w:pPr>
    </w:p>
    <w:p w:rsidR="00B8566E" w:rsidRPr="00FE006E" w:rsidRDefault="00B8566E" w:rsidP="00B8566E">
      <w:pPr>
        <w:pStyle w:val="Ruller41"/>
        <w:rPr>
          <w:rFonts w:ascii="Century" w:hAnsi="Century"/>
          <w:rtl/>
        </w:rPr>
      </w:pPr>
      <w:r>
        <w:rPr>
          <w:rFonts w:ascii="Century" w:hAnsi="Century" w:hint="cs"/>
          <w:rtl/>
        </w:rPr>
        <w:t xml:space="preserve">29. </w:t>
      </w:r>
      <w:r>
        <w:rPr>
          <w:rFonts w:ascii="Century" w:hAnsi="Century" w:hint="cs"/>
          <w:rtl/>
        </w:rPr>
        <w:tab/>
        <w:t xml:space="preserve">שלילת השיתוף בבית דווקא מבת זוג שהקדישה את מרבית שנותיהם המשותפות של בני הזוג לבית המשפחה ולגידול הילדים היא תוצאה מרה במיוחד. על כך אומר </w:t>
      </w:r>
      <w:r>
        <w:rPr>
          <w:rFonts w:ascii="Century" w:hAnsi="Century"/>
          <w:rtl/>
        </w:rPr>
        <w:t>–</w:t>
      </w:r>
      <w:r>
        <w:rPr>
          <w:rFonts w:ascii="Century" w:hAnsi="Century" w:hint="cs"/>
          <w:rtl/>
        </w:rPr>
        <w:t xml:space="preserve"> תוך השאלה מלשון המשנה, הגם שנאמרה בהקשר אחר: "ביתו זו אשתו" (יומא א, א).</w:t>
      </w:r>
    </w:p>
    <w:p w:rsidR="00BC274A" w:rsidRPr="004B56FF" w:rsidRDefault="00BC274A" w:rsidP="00B8566E">
      <w:pPr>
        <w:pStyle w:val="Ruller41"/>
        <w:rPr>
          <w:rFonts w:ascii="Century" w:hAnsi="Century" w:cs="Miriam"/>
          <w:b/>
          <w:spacing w:val="0"/>
          <w:szCs w:val="24"/>
          <w:rtl/>
        </w:rPr>
      </w:pPr>
    </w:p>
    <w:p w:rsidR="00B8566E" w:rsidRDefault="00B8566E" w:rsidP="00B8566E">
      <w:pPr>
        <w:pStyle w:val="Ruller41"/>
        <w:rPr>
          <w:rFonts w:ascii="Century" w:hAnsi="Century" w:cs="Miriam"/>
          <w:b/>
          <w:spacing w:val="0"/>
          <w:szCs w:val="24"/>
          <w:rtl/>
        </w:rPr>
      </w:pPr>
      <w:r>
        <w:rPr>
          <w:rFonts w:ascii="Century" w:hAnsi="Century" w:cs="Miriam" w:hint="cs"/>
          <w:b/>
          <w:spacing w:val="0"/>
          <w:szCs w:val="24"/>
          <w:rtl/>
        </w:rPr>
        <w:t>סוף דבר</w:t>
      </w:r>
    </w:p>
    <w:p w:rsidR="00B8566E" w:rsidRDefault="00B8566E" w:rsidP="00B8566E">
      <w:pPr>
        <w:pStyle w:val="Ruller41"/>
        <w:rPr>
          <w:rFonts w:ascii="Century" w:hAnsi="Century" w:cs="Miriam"/>
          <w:b/>
          <w:spacing w:val="0"/>
          <w:szCs w:val="24"/>
          <w:rtl/>
        </w:rPr>
      </w:pPr>
    </w:p>
    <w:p w:rsidR="00B8566E" w:rsidRDefault="00B8566E" w:rsidP="00BB3BC8">
      <w:pPr>
        <w:pStyle w:val="Ruller41"/>
        <w:rPr>
          <w:rtl/>
        </w:rPr>
      </w:pPr>
      <w:r>
        <w:rPr>
          <w:rFonts w:ascii="Century" w:hAnsi="Century" w:hint="cs"/>
          <w:rtl/>
        </w:rPr>
        <w:t xml:space="preserve">30. </w:t>
      </w:r>
      <w:r>
        <w:rPr>
          <w:rFonts w:ascii="Century" w:hAnsi="Century" w:hint="cs"/>
          <w:rtl/>
        </w:rPr>
        <w:tab/>
        <w:t xml:space="preserve">חוסר נאמנות בחיי הנישואין הוא מכאיב. כך גם ניכור, התאכזרות או שחיקה בחיים הזוגיים. מכלול זה של רגשות ומעשים עלול לאפיין מערכת יחסים בין בני זוג או להישאר מחוץ לה. המורכבות הגלומה בכך היא חלק מן החיים האנושיים. אולם, עליה להישאר מחוץ להסדרים </w:t>
      </w:r>
      <w:proofErr w:type="spellStart"/>
      <w:r>
        <w:rPr>
          <w:rFonts w:ascii="Century" w:hAnsi="Century" w:hint="cs"/>
          <w:rtl/>
        </w:rPr>
        <w:t>הרכושיים</w:t>
      </w:r>
      <w:proofErr w:type="spellEnd"/>
      <w:r>
        <w:rPr>
          <w:rFonts w:ascii="Century" w:hAnsi="Century" w:hint="cs"/>
          <w:rtl/>
        </w:rPr>
        <w:t xml:space="preserve"> שנדונים בבתי המשפט. בכל מקרה, אין מדובר בעילה לשלילת שותפות ברכוש שנקנתה לאורך שנים של מערכת יחסים זוגית.</w:t>
      </w:r>
    </w:p>
    <w:p w:rsidR="00BC274A" w:rsidRDefault="00BC274A" w:rsidP="00BB3BC8">
      <w:pPr>
        <w:pStyle w:val="Ruller41"/>
        <w:rPr>
          <w:rtl/>
        </w:rPr>
      </w:pPr>
    </w:p>
    <w:p w:rsidR="001B4E80" w:rsidRDefault="001B4E80" w:rsidP="00BB3BC8">
      <w:pPr>
        <w:pStyle w:val="Ruller41"/>
        <w:rPr>
          <w:rtl/>
        </w:rPr>
      </w:pPr>
    </w:p>
    <w:tbl>
      <w:tblPr>
        <w:bidiVisual/>
        <w:tblW w:w="8363" w:type="dxa"/>
        <w:tblLook w:val="01E0" w:firstRow="1" w:lastRow="1" w:firstColumn="1" w:lastColumn="1" w:noHBand="0" w:noVBand="0"/>
      </w:tblPr>
      <w:tblGrid>
        <w:gridCol w:w="2786"/>
        <w:gridCol w:w="2787"/>
        <w:gridCol w:w="2790"/>
      </w:tblGrid>
      <w:tr w:rsidR="00B8566E" w:rsidTr="003C3128">
        <w:tc>
          <w:tcPr>
            <w:tcW w:w="2786" w:type="dxa"/>
            <w:shd w:val="clear" w:color="auto" w:fill="auto"/>
          </w:tcPr>
          <w:p w:rsidR="00B8566E" w:rsidRDefault="00B8566E" w:rsidP="00760584">
            <w:pPr>
              <w:pStyle w:val="Ruller41"/>
              <w:rPr>
                <w:rtl/>
              </w:rPr>
            </w:pPr>
          </w:p>
        </w:tc>
        <w:tc>
          <w:tcPr>
            <w:tcW w:w="2787" w:type="dxa"/>
            <w:shd w:val="clear" w:color="auto" w:fill="auto"/>
          </w:tcPr>
          <w:p w:rsidR="00B8566E" w:rsidRDefault="00B8566E" w:rsidP="00760584">
            <w:pPr>
              <w:pStyle w:val="Ruller41"/>
              <w:jc w:val="center"/>
              <w:rPr>
                <w:rtl/>
              </w:rPr>
            </w:pPr>
          </w:p>
        </w:tc>
        <w:tc>
          <w:tcPr>
            <w:tcW w:w="2790" w:type="dxa"/>
            <w:shd w:val="clear" w:color="auto" w:fill="auto"/>
          </w:tcPr>
          <w:p w:rsidR="00B8566E" w:rsidRDefault="00483498" w:rsidP="00760584">
            <w:pPr>
              <w:pStyle w:val="Ruller41"/>
              <w:jc w:val="center"/>
              <w:rPr>
                <w:rtl/>
              </w:rPr>
            </w:pPr>
            <w:r>
              <w:rPr>
                <w:rFonts w:hint="cs"/>
                <w:rtl/>
              </w:rPr>
              <w:t>ש ו פ ט ת</w:t>
            </w:r>
          </w:p>
        </w:tc>
      </w:tr>
    </w:tbl>
    <w:p w:rsidR="00001814" w:rsidRDefault="00001814" w:rsidP="00D22EA3">
      <w:pPr>
        <w:pStyle w:val="Ruller41"/>
        <w:spacing w:line="240" w:lineRule="auto"/>
        <w:rPr>
          <w:rFonts w:ascii="Times New Roman" w:hAnsi="Times New Roman" w:cs="David"/>
          <w:spacing w:val="0"/>
          <w:sz w:val="20"/>
          <w:szCs w:val="20"/>
          <w:rtl/>
        </w:rPr>
      </w:pPr>
    </w:p>
    <w:p w:rsidR="001B4E80" w:rsidRDefault="001B4E80" w:rsidP="00D22EA3">
      <w:pPr>
        <w:pStyle w:val="Ruller41"/>
        <w:spacing w:line="240" w:lineRule="auto"/>
        <w:rPr>
          <w:rFonts w:ascii="Times New Roman" w:hAnsi="Times New Roman" w:cs="David"/>
          <w:spacing w:val="0"/>
          <w:sz w:val="20"/>
          <w:szCs w:val="20"/>
          <w:rtl/>
        </w:rPr>
      </w:pPr>
    </w:p>
    <w:p w:rsidR="001B4E80" w:rsidRDefault="004F1C85" w:rsidP="00D22EA3">
      <w:pPr>
        <w:pStyle w:val="Ruller41"/>
        <w:spacing w:line="240" w:lineRule="auto"/>
        <w:rPr>
          <w:rFonts w:ascii="Times New Roman" w:hAnsi="Times New Roman" w:cs="David"/>
          <w:spacing w:val="0"/>
          <w:sz w:val="20"/>
          <w:szCs w:val="20"/>
          <w:rtl/>
        </w:rPr>
      </w:pPr>
      <w:r>
        <w:rPr>
          <w:rFonts w:ascii="Times New Roman" w:hAnsi="Times New Roman" w:cs="David"/>
          <w:spacing w:val="0"/>
          <w:sz w:val="20"/>
          <w:szCs w:val="20"/>
          <w:rtl/>
        </w:rPr>
        <w:br/>
      </w:r>
      <w:r>
        <w:rPr>
          <w:rFonts w:ascii="Times New Roman" w:hAnsi="Times New Roman" w:cs="David"/>
          <w:spacing w:val="0"/>
          <w:sz w:val="20"/>
          <w:szCs w:val="20"/>
          <w:rtl/>
        </w:rPr>
        <w:br/>
      </w:r>
      <w:r>
        <w:rPr>
          <w:rFonts w:ascii="Times New Roman" w:hAnsi="Times New Roman" w:cs="David"/>
          <w:spacing w:val="0"/>
          <w:sz w:val="20"/>
          <w:szCs w:val="20"/>
          <w:rtl/>
        </w:rPr>
        <w:br/>
      </w:r>
    </w:p>
    <w:p w:rsidR="00001814" w:rsidRDefault="00001814" w:rsidP="00D22EA3">
      <w:pPr>
        <w:pStyle w:val="Ruller41"/>
        <w:spacing w:line="240" w:lineRule="auto"/>
        <w:rPr>
          <w:rFonts w:ascii="Times New Roman" w:hAnsi="Times New Roman" w:cs="David"/>
          <w:spacing w:val="0"/>
          <w:sz w:val="20"/>
          <w:szCs w:val="20"/>
          <w:rtl/>
        </w:rPr>
      </w:pPr>
    </w:p>
    <w:p w:rsidR="00CF0C55" w:rsidRDefault="00CF0C55" w:rsidP="004F1C85">
      <w:pPr>
        <w:pStyle w:val="BODYVERDICT"/>
        <w:rPr>
          <w:rFonts w:cs="Miriam"/>
          <w:sz w:val="24"/>
          <w:szCs w:val="24"/>
          <w:u w:val="single"/>
          <w:rtl/>
        </w:rPr>
      </w:pPr>
      <w:r>
        <w:rPr>
          <w:rFonts w:cs="Miriam"/>
          <w:sz w:val="24"/>
          <w:szCs w:val="24"/>
          <w:u w:val="single"/>
          <w:rtl/>
        </w:rPr>
        <w:t>השופט נ' הנדל:</w:t>
      </w:r>
    </w:p>
    <w:p w:rsidR="004F1C85" w:rsidRPr="004F1C85" w:rsidRDefault="004F1C85" w:rsidP="004F1C85">
      <w:pPr>
        <w:pStyle w:val="BODYVERDICT"/>
        <w:rPr>
          <w:rFonts w:cs="Miriam"/>
          <w:sz w:val="24"/>
          <w:szCs w:val="24"/>
          <w:u w:val="single"/>
          <w:rtl/>
        </w:rPr>
      </w:pPr>
    </w:p>
    <w:p w:rsidR="00CF0C55" w:rsidRDefault="0011039C" w:rsidP="00CF0C55">
      <w:pPr>
        <w:pStyle w:val="afb"/>
        <w:ind w:firstLine="0"/>
        <w:rPr>
          <w:rtl/>
        </w:rPr>
      </w:pPr>
      <w:r>
        <w:rPr>
          <w:rtl/>
        </w:rPr>
        <w:tab/>
      </w:r>
      <w:r w:rsidR="00CF0C55">
        <w:rPr>
          <w:rFonts w:hint="cs"/>
          <w:rtl/>
        </w:rPr>
        <w:t xml:space="preserve">אני מסכים לפסק דינה של חברתי, הנשיאה </w:t>
      </w:r>
      <w:r w:rsidR="00CF0C55" w:rsidRPr="008C41CF">
        <w:rPr>
          <w:rStyle w:val="10"/>
          <w:rFonts w:hint="cs"/>
          <w:rtl/>
        </w:rPr>
        <w:t>א' חיות</w:t>
      </w:r>
      <w:r w:rsidR="00CF0C55">
        <w:rPr>
          <w:rFonts w:hint="cs"/>
          <w:rtl/>
        </w:rPr>
        <w:t xml:space="preserve">, אשר קבעה </w:t>
      </w:r>
      <w:r w:rsidR="00CF0C55">
        <w:rPr>
          <w:rtl/>
        </w:rPr>
        <w:t>–</w:t>
      </w:r>
      <w:r w:rsidR="00CF0C55">
        <w:rPr>
          <w:rFonts w:hint="cs"/>
          <w:rtl/>
        </w:rPr>
        <w:t xml:space="preserve"> בדומה לקביעתו של חברי השופט </w:t>
      </w:r>
      <w:r w:rsidR="00CF0C55" w:rsidRPr="008C41CF">
        <w:rPr>
          <w:rStyle w:val="10"/>
          <w:rFonts w:hint="cs"/>
          <w:rtl/>
        </w:rPr>
        <w:t>י' עמית</w:t>
      </w:r>
      <w:r w:rsidR="00CF0C55">
        <w:rPr>
          <w:rFonts w:hint="cs"/>
          <w:rtl/>
        </w:rPr>
        <w:t xml:space="preserve"> בפסק הדין מושא הליך זה </w:t>
      </w:r>
      <w:r w:rsidR="00CF0C55">
        <w:rPr>
          <w:rtl/>
        </w:rPr>
        <w:t>–</w:t>
      </w:r>
      <w:r w:rsidR="00CF0C55">
        <w:rPr>
          <w:rFonts w:hint="cs"/>
          <w:rtl/>
        </w:rPr>
        <w:t xml:space="preserve"> כי פסק דינו של בית הדין הרבני הגדול בטל, תוך החזרת פסק דינו של בית הדין הרבני האזורי על כנו. התוצאה היא שמחצית מן הזכויות בדירת המגורים של בני הזוג שייכת לבת הזוג. הפגם שנפל בפסק הדין אינו נוגע ליישום שגוי של נורמה נכונה, אלא לבחינת המקרה על פי נורמות שאינן נכונות. בנסיבות מעין אלה יש מקום רב יותר להתערבותו של בית משפט זה בפסק הדין, ובמקרנו על נסיבותיו ההתערבות אכן נדרשת. אבקש להוסיף ולהעיר שלוש הערות </w:t>
      </w:r>
      <w:r w:rsidR="00CF0C55">
        <w:rPr>
          <w:rtl/>
        </w:rPr>
        <w:t>–</w:t>
      </w:r>
      <w:r w:rsidR="00CF0C55">
        <w:rPr>
          <w:rFonts w:hint="cs"/>
          <w:rtl/>
        </w:rPr>
        <w:t xml:space="preserve"> הראשונה בענייני לשון, השנייה בענייני רצון (והנחות לגביו) והשלישית עניינה חופש החוזים ומגבלותיו. </w:t>
      </w:r>
    </w:p>
    <w:p w:rsidR="00CF0C55" w:rsidRDefault="00CF0C55" w:rsidP="00CF0C55">
      <w:pPr>
        <w:pStyle w:val="afb"/>
        <w:rPr>
          <w:rtl/>
        </w:rPr>
      </w:pPr>
    </w:p>
    <w:p w:rsidR="00CF0C55" w:rsidRDefault="00CF0C55" w:rsidP="00CF0C55">
      <w:pPr>
        <w:pStyle w:val="afb"/>
        <w:ind w:firstLine="0"/>
        <w:rPr>
          <w:rStyle w:val="afe"/>
        </w:rPr>
      </w:pPr>
      <w:r>
        <w:rPr>
          <w:rFonts w:hint="cs"/>
          <w:rtl/>
        </w:rPr>
        <w:t>1.</w:t>
      </w:r>
      <w:r>
        <w:rPr>
          <w:rFonts w:hint="cs"/>
          <w:rtl/>
        </w:rPr>
        <w:tab/>
        <w:t xml:space="preserve">בית הדין הרבני הגדול שב מספר פעמים על הקביעה כי בת הזוג "בגדה" בבן זוגה. לדעתי שימוש במילה זו על הטיותיה השונות קשור לשורש הבעיה בפסק דינו של בית הדין הרבני. </w:t>
      </w:r>
      <w:r>
        <w:rPr>
          <w:rStyle w:val="afe"/>
          <w:rFonts w:hint="cs"/>
          <w:rtl/>
        </w:rPr>
        <w:t xml:space="preserve">בהקשר הדתי, "בגידה" (או "חוסר נאמנות מינית") </w:t>
      </w:r>
      <w:r w:rsidRPr="00842058">
        <w:rPr>
          <w:rStyle w:val="afe"/>
          <w:rFonts w:hint="cs"/>
          <w:rtl/>
        </w:rPr>
        <w:t xml:space="preserve">קשורה בטבורה לדיני הגירושין לפי המשפט העברי. הדיון מושא ההליך החל בבית דין הרבני, כהליך גירושין שבמסגרתו נכרכו גם ענייני הממון. קיום יחסי מין עם אחר במסגרת הנישואין יוצר עילת גירושין </w:t>
      </w:r>
      <w:r w:rsidRPr="00842058">
        <w:rPr>
          <w:rStyle w:val="afe"/>
          <w:rtl/>
        </w:rPr>
        <w:t>–</w:t>
      </w:r>
      <w:r w:rsidRPr="00842058">
        <w:rPr>
          <w:rStyle w:val="afe"/>
          <w:rFonts w:hint="cs"/>
          <w:rtl/>
        </w:rPr>
        <w:t xml:space="preserve"> נושא שבסמכותו הייחודית של בית הדין הרבני. </w:t>
      </w:r>
      <w:r>
        <w:rPr>
          <w:rStyle w:val="afe"/>
          <w:rFonts w:hint="cs"/>
          <w:rtl/>
        </w:rPr>
        <w:t xml:space="preserve">התפישה היא כי </w:t>
      </w:r>
      <w:r w:rsidRPr="00842058">
        <w:rPr>
          <w:rStyle w:val="afe"/>
          <w:rFonts w:hint="cs"/>
          <w:rtl/>
        </w:rPr>
        <w:t xml:space="preserve">מדובר באיסור חמור. לא מדובר במשמעות ה"תרבותית" </w:t>
      </w:r>
      <w:r>
        <w:rPr>
          <w:rStyle w:val="afe"/>
          <w:rFonts w:hint="cs"/>
          <w:rtl/>
        </w:rPr>
        <w:t xml:space="preserve">או הסוציולוגית </w:t>
      </w:r>
      <w:r w:rsidRPr="00842058">
        <w:rPr>
          <w:rStyle w:val="afe"/>
          <w:rFonts w:hint="cs"/>
          <w:rtl/>
        </w:rPr>
        <w:t>של הדברים אלא במשמעות הדתית-הלכתית שלהם. כך, האיסור אינו תלוי ברצון הצדדים ובשאלה כיצד הם תופ</w:t>
      </w:r>
      <w:r>
        <w:rPr>
          <w:rStyle w:val="afe"/>
          <w:rFonts w:hint="cs"/>
          <w:rtl/>
        </w:rPr>
        <w:t>ש</w:t>
      </w:r>
      <w:r w:rsidRPr="00842058">
        <w:rPr>
          <w:rStyle w:val="afe"/>
          <w:rFonts w:hint="cs"/>
          <w:rtl/>
        </w:rPr>
        <w:t xml:space="preserve">ים את הסיטואציה. יתכן, למשל, שהאירוע התרחש חודשיים אחרי </w:t>
      </w:r>
      <w:r w:rsidRPr="00842058">
        <w:rPr>
          <w:rStyle w:val="afe"/>
          <w:rFonts w:hint="cs"/>
          <w:rtl/>
        </w:rPr>
        <w:lastRenderedPageBreak/>
        <w:t xml:space="preserve">הנישואין, באופן שצד ה"נבגד" אינו מודע לעניין כלל. לעומת זאת, יתכן גם מצב שבו בני זוג כבר החליטו להיפרד. הם חיים בנפרד, מתקיימים הליכי גירושין בבית הדין הרבני, וכל אחד מבני הזוג הפרודים מנהל מערכת יחסים זוגית אחרת, מבלי שאף אחד מהם מסתייג ממעשיו של רעהו. למרות זאת, על פי הדין הדתי קיום יחסי המין כל עוד לא סודר הגט הם בגדר איסור חמור. </w:t>
      </w:r>
    </w:p>
    <w:p w:rsidR="00CF0C55" w:rsidRDefault="00CF0C55" w:rsidP="00CF0C55">
      <w:pPr>
        <w:pStyle w:val="afb"/>
        <w:rPr>
          <w:rStyle w:val="afe"/>
          <w:rFonts w:ascii="Calibri" w:hAnsi="Calibri"/>
          <w:rtl/>
        </w:rPr>
      </w:pPr>
    </w:p>
    <w:p w:rsidR="00CF0C55" w:rsidRDefault="00CF0C55" w:rsidP="00CF0C55">
      <w:pPr>
        <w:pStyle w:val="afb"/>
        <w:rPr>
          <w:rStyle w:val="afe"/>
          <w:rFonts w:ascii="Calibri" w:hAnsi="Calibri"/>
          <w:rtl/>
        </w:rPr>
      </w:pPr>
      <w:r>
        <w:rPr>
          <w:rStyle w:val="afe"/>
          <w:rFonts w:ascii="Calibri" w:hAnsi="Calibri" w:hint="cs"/>
          <w:rtl/>
        </w:rPr>
        <w:t xml:space="preserve">ברם, </w:t>
      </w:r>
      <w:r w:rsidRPr="00842058">
        <w:rPr>
          <w:rStyle w:val="afe"/>
          <w:rFonts w:ascii="Calibri" w:hAnsi="Calibri" w:hint="cs"/>
          <w:rtl/>
        </w:rPr>
        <w:t>על פי פסיקת בית משפט זה ב</w:t>
      </w:r>
      <w:r w:rsidRPr="00842058">
        <w:rPr>
          <w:rFonts w:hint="cs"/>
          <w:rtl/>
        </w:rPr>
        <w:t xml:space="preserve">בג"ץ 1000/92 </w:t>
      </w:r>
      <w:r w:rsidRPr="00842058">
        <w:rPr>
          <w:rStyle w:val="10"/>
          <w:rFonts w:hint="cs"/>
          <w:rtl/>
        </w:rPr>
        <w:t>בבלי נ' בית הדין הרבני הגדול</w:t>
      </w:r>
      <w:r w:rsidRPr="00842058">
        <w:rPr>
          <w:rFonts w:hint="cs"/>
          <w:rtl/>
        </w:rPr>
        <w:t>, פ"ד מח</w:t>
      </w:r>
      <w:r>
        <w:rPr>
          <w:rFonts w:hint="cs"/>
          <w:rtl/>
        </w:rPr>
        <w:t>(2) 221 (1994)</w:t>
      </w:r>
      <w:r>
        <w:rPr>
          <w:rStyle w:val="afe"/>
          <w:rFonts w:ascii="Calibri" w:hAnsi="Calibri" w:hint="cs"/>
          <w:rtl/>
        </w:rPr>
        <w:t>, סוגיית הרכוש מוכרעת לפי הדין האזרחי, ולא לפי הדין הדתי. כך ההלכה קרוב לשלושים שנה. גירושין לחוד וחלוקת רכוש לחוד. יתר על כן, ובכך אעסוק בהערה הבאה, השאלה מהו הרצון המשוער של הצדדים, כשאלה עובדתית וקונקרטית, תלויה בנסיבות המקרה ובאנשים שמעורבים בו. השיטה המשפטית כיום, גם בבית הדין הרבני, היא שצדדים מעידים והדיין או השופט שומע ראיות ומסיק מהן מסקנות. אין הסתפקות רק בחזקות ובשבועות. דא עקא, הלשון שבה השתמשו חלק מדייני בית הדין הרבני חושפת כי יחסם אל התנהגות בת הזוג במסגרת הדיון הממוני הושפעה, במידה רבה, ממשמעותם הדתית של קיום יחסי המין לעניין חובת הגירושין. כך, למשל, כתב הדיין מ' עמוס כי "</w:t>
      </w:r>
      <w:r>
        <w:rPr>
          <w:shd w:val="clear" w:color="auto" w:fill="FFFFFF"/>
          <w:rtl/>
        </w:rPr>
        <w:t xml:space="preserve">בנידון </w:t>
      </w:r>
      <w:proofErr w:type="spellStart"/>
      <w:r>
        <w:rPr>
          <w:shd w:val="clear" w:color="auto" w:fill="FFFFFF"/>
          <w:rtl/>
        </w:rPr>
        <w:t>דידן</w:t>
      </w:r>
      <w:proofErr w:type="spellEnd"/>
      <w:r>
        <w:rPr>
          <w:shd w:val="clear" w:color="auto" w:fill="FFFFFF"/>
          <w:rtl/>
        </w:rPr>
        <w:t xml:space="preserve"> האישה בגדה בבעלה</w:t>
      </w:r>
      <w:r>
        <w:rPr>
          <w:rFonts w:hint="cs"/>
          <w:shd w:val="clear" w:color="auto" w:fill="FFFFFF"/>
          <w:rtl/>
        </w:rPr>
        <w:t>,</w:t>
      </w:r>
      <w:r>
        <w:rPr>
          <w:shd w:val="clear" w:color="auto" w:fill="FFFFFF"/>
          <w:rtl/>
        </w:rPr>
        <w:t xml:space="preserve"> חויבה בגט והוטלו עליה צווי הגבלה</w:t>
      </w:r>
      <w:r>
        <w:rPr>
          <w:rFonts w:hint="cs"/>
          <w:shd w:val="clear" w:color="auto" w:fill="FFFFFF"/>
          <w:rtl/>
        </w:rPr>
        <w:t xml:space="preserve">... </w:t>
      </w:r>
      <w:r w:rsidRPr="00842058">
        <w:rPr>
          <w:rtl/>
        </w:rPr>
        <w:t>כאשר צד אחד הולך שלא בתום לב ועושה מעשים אשר לא ניתן לחזור מהם וגונז והורס את החלום על התא המשפחתי במעשה שוודאי יגרום לפירוק של הבית – בזה יש </w:t>
      </w:r>
      <w:proofErr w:type="spellStart"/>
      <w:r w:rsidRPr="00842058">
        <w:rPr>
          <w:rtl/>
        </w:rPr>
        <w:t>אומדנא</w:t>
      </w:r>
      <w:proofErr w:type="spellEnd"/>
      <w:r w:rsidRPr="00842058">
        <w:rPr>
          <w:rtl/>
        </w:rPr>
        <w:t xml:space="preserve"> </w:t>
      </w:r>
      <w:proofErr w:type="spellStart"/>
      <w:r w:rsidRPr="00842058">
        <w:rPr>
          <w:rtl/>
        </w:rPr>
        <w:t>דמוכח</w:t>
      </w:r>
      <w:proofErr w:type="spellEnd"/>
      <w:r w:rsidRPr="00842058">
        <w:rPr>
          <w:rtl/>
        </w:rPr>
        <w:t> </w:t>
      </w:r>
      <w:proofErr w:type="spellStart"/>
      <w:r w:rsidRPr="00842058">
        <w:rPr>
          <w:rtl/>
        </w:rPr>
        <w:t>ואנן</w:t>
      </w:r>
      <w:proofErr w:type="spellEnd"/>
      <w:r>
        <w:rPr>
          <w:rFonts w:hint="cs"/>
          <w:rtl/>
        </w:rPr>
        <w:t xml:space="preserve"> </w:t>
      </w:r>
      <w:r w:rsidRPr="00842058">
        <w:rPr>
          <w:rtl/>
        </w:rPr>
        <w:t>סהדי </w:t>
      </w:r>
      <w:r>
        <w:rPr>
          <w:rFonts w:hint="cs"/>
          <w:rtl/>
        </w:rPr>
        <w:t>[</w:t>
      </w:r>
      <w:r w:rsidRPr="00687397">
        <w:rPr>
          <w:rFonts w:hint="cs"/>
          <w:sz w:val="20"/>
          <w:szCs w:val="24"/>
          <w:rtl/>
        </w:rPr>
        <w:t>אומדן דעת שהוכח ו</w:t>
      </w:r>
      <w:r>
        <w:rPr>
          <w:rFonts w:hint="cs"/>
          <w:sz w:val="20"/>
          <w:szCs w:val="24"/>
          <w:rtl/>
        </w:rPr>
        <w:t>"אנו עדים"=מקובל עלינו</w:t>
      </w:r>
      <w:r>
        <w:rPr>
          <w:rFonts w:hint="cs"/>
          <w:rtl/>
        </w:rPr>
        <w:t xml:space="preserve">] </w:t>
      </w:r>
      <w:r w:rsidRPr="00842058">
        <w:rPr>
          <w:rtl/>
        </w:rPr>
        <w:t>כי לא הייתה לו כל כוונה לשתף בנכסים שעל שמו בלבד</w:t>
      </w:r>
      <w:r>
        <w:rPr>
          <w:rFonts w:hint="cs"/>
          <w:rtl/>
        </w:rPr>
        <w:t>...". הדיין מ' נהרי הוסיף: "</w:t>
      </w:r>
      <w:r>
        <w:rPr>
          <w:shd w:val="clear" w:color="auto" w:fill="FFFFFF"/>
          <w:rtl/>
        </w:rPr>
        <w:t>הוכח בפני בית הדין קמא כי המשיבה בגדה במערער ועל סמך זה קבע בית הדין חיוב בגט</w:t>
      </w:r>
      <w:r>
        <w:rPr>
          <w:rFonts w:hint="cs"/>
          <w:shd w:val="clear" w:color="auto" w:fill="FFFFFF"/>
          <w:rtl/>
        </w:rPr>
        <w:t xml:space="preserve">... </w:t>
      </w:r>
      <w:r>
        <w:rPr>
          <w:shd w:val="clear" w:color="auto" w:fill="FFFFFF"/>
          <w:rtl/>
        </w:rPr>
        <w:t xml:space="preserve">לא בכדי קבע בית הדין במעשה בית דין שאם האישה תהיה מעוניינת להינשא לגבר הזר </w:t>
      </w:r>
      <w:proofErr w:type="spellStart"/>
      <w:r>
        <w:rPr>
          <w:shd w:val="clear" w:color="auto" w:fill="FFFFFF"/>
          <w:rtl/>
        </w:rPr>
        <w:t>שעימו</w:t>
      </w:r>
      <w:proofErr w:type="spellEnd"/>
      <w:r>
        <w:rPr>
          <w:shd w:val="clear" w:color="auto" w:fill="FFFFFF"/>
          <w:rtl/>
        </w:rPr>
        <w:t xml:space="preserve"> התרועעה יש צורך לקיים בירור.</w:t>
      </w:r>
      <w:r>
        <w:rPr>
          <w:rFonts w:hint="cs"/>
          <w:shd w:val="clear" w:color="auto" w:fill="FFFFFF"/>
          <w:rtl/>
        </w:rPr>
        <w:t xml:space="preserve">.. </w:t>
      </w:r>
      <w:r>
        <w:rPr>
          <w:shd w:val="clear" w:color="auto" w:fill="FFFFFF"/>
          <w:rtl/>
        </w:rPr>
        <w:t>בנסיבות הללו, גם אם יש ממשות בטענת המשיבה על השתתפותה בשיפוץ שנערך בבית, הרי שלמערער עומדת הזכות לטעון שלא הייתה לו כל כוונת שיתוף וגם אם כן עומדת לו הזכות לחזור בו מכוונת ההתחייבות לשיתופה בנ</w:t>
      </w:r>
      <w:r>
        <w:rPr>
          <w:rFonts w:hint="cs"/>
          <w:shd w:val="clear" w:color="auto" w:fill="FFFFFF"/>
          <w:rtl/>
        </w:rPr>
        <w:t>כס". ניתן לראות כי בפועל "</w:t>
      </w:r>
      <w:proofErr w:type="spellStart"/>
      <w:r>
        <w:rPr>
          <w:rFonts w:hint="cs"/>
          <w:shd w:val="clear" w:color="auto" w:fill="FFFFFF"/>
          <w:rtl/>
        </w:rPr>
        <w:t>חילחלה</w:t>
      </w:r>
      <w:proofErr w:type="spellEnd"/>
      <w:r>
        <w:rPr>
          <w:rFonts w:hint="cs"/>
          <w:shd w:val="clear" w:color="auto" w:fill="FFFFFF"/>
          <w:rtl/>
        </w:rPr>
        <w:t xml:space="preserve">" המשמעות ההלכתית של קיום יחסי המין לדיון הממוני. </w:t>
      </w:r>
      <w:r>
        <w:rPr>
          <w:rStyle w:val="afe"/>
          <w:rFonts w:ascii="Calibri" w:hAnsi="Calibri" w:hint="cs"/>
          <w:rtl/>
        </w:rPr>
        <w:t xml:space="preserve">הדגש בהיבט הלשוני אפוא הוא הצורך להפריד בין האיסור הדתי לפי תנאי המשפט העברי </w:t>
      </w:r>
      <w:r>
        <w:rPr>
          <w:rStyle w:val="afe"/>
          <w:rFonts w:ascii="Calibri" w:hAnsi="Calibri"/>
          <w:rtl/>
        </w:rPr>
        <w:t>–</w:t>
      </w:r>
      <w:r>
        <w:rPr>
          <w:rStyle w:val="afe"/>
          <w:rFonts w:ascii="Calibri" w:hAnsi="Calibri" w:hint="cs"/>
          <w:rtl/>
        </w:rPr>
        <w:t xml:space="preserve"> שיקול ערכי כללי </w:t>
      </w:r>
      <w:r>
        <w:rPr>
          <w:rStyle w:val="afe"/>
          <w:rFonts w:ascii="Calibri" w:hAnsi="Calibri"/>
          <w:rtl/>
        </w:rPr>
        <w:t>–</w:t>
      </w:r>
      <w:r>
        <w:rPr>
          <w:rStyle w:val="afe"/>
          <w:rFonts w:ascii="Calibri" w:hAnsi="Calibri" w:hint="cs"/>
          <w:rtl/>
        </w:rPr>
        <w:t xml:space="preserve"> לסוגיה הממונית: בירור עובדתי ספציפי. נראה כי שימוש במונחים עוצמתיים כגון "בגידה" עלולים להשפיע על הניתוח של אופן חלוקת הרכוש. </w:t>
      </w:r>
    </w:p>
    <w:p w:rsidR="00CF0C55" w:rsidRDefault="00CF0C55" w:rsidP="00CF0C55">
      <w:pPr>
        <w:pStyle w:val="11"/>
        <w:rPr>
          <w:rStyle w:val="afe"/>
          <w:rtl/>
        </w:rPr>
      </w:pPr>
    </w:p>
    <w:p w:rsidR="00CF0C55" w:rsidRDefault="00CF0C55" w:rsidP="00CF0C55">
      <w:pPr>
        <w:pStyle w:val="afb"/>
        <w:ind w:firstLine="0"/>
        <w:rPr>
          <w:rStyle w:val="afe"/>
        </w:rPr>
      </w:pPr>
      <w:r>
        <w:rPr>
          <w:rStyle w:val="afe"/>
          <w:rFonts w:hint="cs"/>
          <w:rtl/>
        </w:rPr>
        <w:t>2.</w:t>
      </w:r>
      <w:r>
        <w:rPr>
          <w:rStyle w:val="afe"/>
          <w:rFonts w:hint="cs"/>
          <w:rtl/>
        </w:rPr>
        <w:tab/>
      </w:r>
      <w:r w:rsidRPr="00196833">
        <w:rPr>
          <w:rStyle w:val="afe"/>
          <w:rFonts w:hint="cs"/>
          <w:rtl/>
        </w:rPr>
        <w:t xml:space="preserve">הערה שנייה עניינה הרצון. </w:t>
      </w:r>
      <w:r>
        <w:rPr>
          <w:rStyle w:val="afe"/>
          <w:rFonts w:hint="cs"/>
          <w:rtl/>
        </w:rPr>
        <w:t xml:space="preserve">כפי שיובהר, קושי מרכזי בעיניי בחוות דעתו של חברי, השופט </w:t>
      </w:r>
      <w:r w:rsidRPr="00A0192E">
        <w:rPr>
          <w:rStyle w:val="10"/>
          <w:rFonts w:hint="cs"/>
          <w:rtl/>
        </w:rPr>
        <w:t>א' שטיין</w:t>
      </w:r>
      <w:r>
        <w:rPr>
          <w:rStyle w:val="afe"/>
          <w:rFonts w:hint="cs"/>
          <w:rtl/>
        </w:rPr>
        <w:t xml:space="preserve">, נעוץ בכך שהוא מייחס לבני הזוג רצון (או כוונה) לשלול מבת </w:t>
      </w:r>
      <w:r>
        <w:rPr>
          <w:rStyle w:val="afe"/>
          <w:rFonts w:hint="cs"/>
          <w:rtl/>
        </w:rPr>
        <w:lastRenderedPageBreak/>
        <w:t xml:space="preserve">הזוג את הזכויות בדירה במקרה של הפרת ברית הנישואין, בעוד שלאמיתו של דבר לא נקבע או הוכח כי הובעו כל רצון או כוונה כאלה. </w:t>
      </w:r>
    </w:p>
    <w:p w:rsidR="00CF0C55" w:rsidRDefault="00CF0C55" w:rsidP="00CF0C55">
      <w:pPr>
        <w:pStyle w:val="afb"/>
        <w:rPr>
          <w:rStyle w:val="afe"/>
          <w:rFonts w:ascii="Calibri" w:hAnsi="Calibri"/>
        </w:rPr>
      </w:pPr>
    </w:p>
    <w:p w:rsidR="00CF0C55" w:rsidRDefault="00CF0C55" w:rsidP="00CF0C55">
      <w:pPr>
        <w:pStyle w:val="afb"/>
        <w:rPr>
          <w:rtl/>
        </w:rPr>
      </w:pPr>
      <w:r>
        <w:rPr>
          <w:rStyle w:val="afe"/>
          <w:rFonts w:ascii="Calibri" w:hAnsi="Calibri" w:hint="cs"/>
          <w:rtl/>
        </w:rPr>
        <w:t xml:space="preserve">יסוד מרכזי בשדה המוסר הוא ההכרה בייחודו ובמשקלו של הרצון החופשי. גם </w:t>
      </w:r>
      <w:r w:rsidRPr="00196833">
        <w:rPr>
          <w:rStyle w:val="afe"/>
          <w:rFonts w:ascii="Calibri" w:hAnsi="Calibri" w:hint="cs"/>
          <w:rtl/>
        </w:rPr>
        <w:t>הדין מתבונן על רצונו החופשי של אדם כעל תכלית בפני עצמה</w:t>
      </w:r>
      <w:r>
        <w:rPr>
          <w:rStyle w:val="afe"/>
          <w:rFonts w:ascii="Calibri" w:hAnsi="Calibri" w:hint="cs"/>
          <w:rtl/>
        </w:rPr>
        <w:t xml:space="preserve">. </w:t>
      </w:r>
      <w:r w:rsidRPr="00196833">
        <w:rPr>
          <w:rStyle w:val="afe"/>
          <w:rFonts w:ascii="Calibri" w:hAnsi="Calibri" w:hint="cs"/>
          <w:rtl/>
        </w:rPr>
        <w:t>ההכרה במשפטנו בכבוד האדם</w:t>
      </w:r>
      <w:r>
        <w:rPr>
          <w:rStyle w:val="afe"/>
          <w:rFonts w:ascii="Calibri" w:hAnsi="Calibri" w:hint="cs"/>
          <w:rtl/>
        </w:rPr>
        <w:t xml:space="preserve"> </w:t>
      </w:r>
      <w:r>
        <w:rPr>
          <w:rStyle w:val="afe"/>
          <w:rFonts w:ascii="Calibri" w:hAnsi="Calibri"/>
          <w:rtl/>
        </w:rPr>
        <w:t>–</w:t>
      </w:r>
      <w:r>
        <w:rPr>
          <w:rStyle w:val="afe"/>
          <w:rFonts w:ascii="Calibri" w:hAnsi="Calibri" w:hint="cs"/>
          <w:rtl/>
        </w:rPr>
        <w:t xml:space="preserve"> </w:t>
      </w:r>
      <w:r w:rsidRPr="00196833">
        <w:rPr>
          <w:rStyle w:val="afe"/>
          <w:rFonts w:ascii="Calibri" w:hAnsi="Calibri" w:hint="cs"/>
          <w:rtl/>
        </w:rPr>
        <w:t>במסגרת דיני הממונות</w:t>
      </w:r>
      <w:r>
        <w:rPr>
          <w:rStyle w:val="afe"/>
          <w:rFonts w:ascii="Calibri" w:hAnsi="Calibri" w:hint="cs"/>
          <w:rtl/>
        </w:rPr>
        <w:t xml:space="preserve"> אך גם בתחומים חוקתיים אחרים </w:t>
      </w:r>
      <w:r>
        <w:rPr>
          <w:rStyle w:val="afe"/>
          <w:rFonts w:ascii="Calibri" w:hAnsi="Calibri"/>
          <w:rtl/>
        </w:rPr>
        <w:t>–</w:t>
      </w:r>
      <w:r>
        <w:rPr>
          <w:rStyle w:val="afe"/>
          <w:rFonts w:ascii="Calibri" w:hAnsi="Calibri" w:hint="cs"/>
          <w:rtl/>
        </w:rPr>
        <w:t xml:space="preserve"> </w:t>
      </w:r>
      <w:r w:rsidRPr="00196833">
        <w:rPr>
          <w:rStyle w:val="afe"/>
          <w:rFonts w:ascii="Calibri" w:hAnsi="Calibri" w:hint="cs"/>
          <w:rtl/>
        </w:rPr>
        <w:t>נעוצה, בשורשה, באוטונומיה של הרצון החופשי</w:t>
      </w:r>
      <w:r>
        <w:rPr>
          <w:rStyle w:val="afe"/>
          <w:rFonts w:ascii="Calibri" w:hAnsi="Calibri" w:hint="cs"/>
          <w:rtl/>
        </w:rPr>
        <w:t>. כך במשפט הישראלי</w:t>
      </w:r>
      <w:r w:rsidRPr="00196833">
        <w:rPr>
          <w:rStyle w:val="afe"/>
          <w:rFonts w:ascii="Calibri" w:hAnsi="Calibri" w:hint="cs"/>
          <w:rtl/>
        </w:rPr>
        <w:t xml:space="preserve">: "כבוד האדם הוא אנושיותו של האדם. ביסוד אנושיות זו מונח חופש הרצון והאוטונומיה של האדם. זהו החופש של אדם לכתוב את סיפור חייו" (אהרן ברק </w:t>
      </w:r>
      <w:r w:rsidRPr="00151EBC">
        <w:rPr>
          <w:rStyle w:val="10"/>
          <w:rFonts w:hint="cs"/>
          <w:rtl/>
        </w:rPr>
        <w:t>כבוד האדם – הזכות החוקתית ובנותיה</w:t>
      </w:r>
      <w:r w:rsidRPr="00196833">
        <w:rPr>
          <w:rStyle w:val="afe"/>
          <w:rFonts w:ascii="Calibri" w:hAnsi="Calibri" w:hint="cs"/>
          <w:rtl/>
        </w:rPr>
        <w:t xml:space="preserve"> א 32 (2014)). </w:t>
      </w:r>
      <w:r>
        <w:rPr>
          <w:rStyle w:val="afe"/>
          <w:rFonts w:ascii="Calibri" w:hAnsi="Calibri" w:hint="cs"/>
          <w:rtl/>
        </w:rPr>
        <w:t xml:space="preserve">כך בפילוסופיה הכללית, בפרט בעקבות משנתו של עמנואל קאנט, שהעלה על נס את האוטונומיה של היחיד ככלל מוסרי מחייב (עמנואל קאנט </w:t>
      </w:r>
      <w:r w:rsidRPr="00AA60AA">
        <w:rPr>
          <w:rStyle w:val="10"/>
          <w:rFonts w:hint="cs"/>
          <w:rtl/>
        </w:rPr>
        <w:t xml:space="preserve">הנחת יסוד </w:t>
      </w:r>
      <w:proofErr w:type="spellStart"/>
      <w:r w:rsidRPr="00AA60AA">
        <w:rPr>
          <w:rStyle w:val="10"/>
          <w:rFonts w:hint="cs"/>
          <w:rtl/>
        </w:rPr>
        <w:t>למטפיסיקה</w:t>
      </w:r>
      <w:proofErr w:type="spellEnd"/>
      <w:r w:rsidRPr="00AA60AA">
        <w:rPr>
          <w:rStyle w:val="10"/>
          <w:rFonts w:hint="cs"/>
          <w:rtl/>
        </w:rPr>
        <w:t xml:space="preserve"> של המידות</w:t>
      </w:r>
      <w:r>
        <w:rPr>
          <w:rStyle w:val="afe"/>
          <w:rFonts w:ascii="Calibri" w:hAnsi="Calibri" w:hint="cs"/>
          <w:rtl/>
        </w:rPr>
        <w:t xml:space="preserve"> 95-93 (מהדורה שנייה, ש' שטיין עורך, מ' שפי תרגם, תש"י), וכך במשפט העברי, שראה את כוח בחירתו של האדם כערך מרכזי, וכדברי הרב נתן צבי </w:t>
      </w:r>
      <w:proofErr w:type="spellStart"/>
      <w:r>
        <w:rPr>
          <w:rStyle w:val="afe"/>
          <w:rFonts w:ascii="Calibri" w:hAnsi="Calibri" w:hint="cs"/>
          <w:rtl/>
        </w:rPr>
        <w:t>פינקל</w:t>
      </w:r>
      <w:proofErr w:type="spellEnd"/>
      <w:r>
        <w:rPr>
          <w:rStyle w:val="afe"/>
          <w:rFonts w:ascii="Calibri" w:hAnsi="Calibri" w:hint="cs"/>
          <w:rtl/>
        </w:rPr>
        <w:t xml:space="preserve"> ("הסבא </w:t>
      </w:r>
      <w:proofErr w:type="spellStart"/>
      <w:r>
        <w:rPr>
          <w:rStyle w:val="afe"/>
          <w:rFonts w:ascii="Calibri" w:hAnsi="Calibri" w:hint="cs"/>
          <w:rtl/>
        </w:rPr>
        <w:t>מסלבודקא</w:t>
      </w:r>
      <w:proofErr w:type="spellEnd"/>
      <w:r>
        <w:rPr>
          <w:rStyle w:val="afe"/>
          <w:rFonts w:ascii="Calibri" w:hAnsi="Calibri" w:hint="cs"/>
          <w:rtl/>
        </w:rPr>
        <w:t>")</w:t>
      </w:r>
      <w:r>
        <w:rPr>
          <w:rFonts w:hint="cs"/>
          <w:rtl/>
        </w:rPr>
        <w:t xml:space="preserve">, "מפני </w:t>
      </w:r>
      <w:proofErr w:type="spellStart"/>
      <w:r>
        <w:rPr>
          <w:rFonts w:hint="cs"/>
          <w:rtl/>
        </w:rPr>
        <w:t>כח</w:t>
      </w:r>
      <w:proofErr w:type="spellEnd"/>
      <w:r>
        <w:rPr>
          <w:rFonts w:hint="cs"/>
          <w:rtl/>
        </w:rPr>
        <w:t xml:space="preserve"> הבחירה... נבראו בשבילו עולם ומלואו" (אור הצפון, מאמרי מוסר, חלק ראשון, ירושלים תשי"ט, עמודים י"א –י"ז</w:t>
      </w:r>
      <w:r>
        <w:rPr>
          <w:rStyle w:val="afe"/>
          <w:rFonts w:ascii="Calibri" w:hAnsi="Calibri" w:hint="cs"/>
          <w:rtl/>
        </w:rPr>
        <w:t>). הרב אברהם יצחק הכהן קוק הבהיר כי "</w:t>
      </w:r>
      <w:r>
        <w:rPr>
          <w:rFonts w:hint="cs"/>
          <w:rtl/>
        </w:rPr>
        <w:t xml:space="preserve">הרצון </w:t>
      </w:r>
      <w:proofErr w:type="spellStart"/>
      <w:r>
        <w:rPr>
          <w:rFonts w:hint="cs"/>
          <w:rtl/>
        </w:rPr>
        <w:t>החפשי</w:t>
      </w:r>
      <w:proofErr w:type="spellEnd"/>
      <w:r>
        <w:rPr>
          <w:rFonts w:hint="cs"/>
          <w:rtl/>
        </w:rPr>
        <w:t xml:space="preserve">... הוא התמצית של </w:t>
      </w:r>
      <w:proofErr w:type="spellStart"/>
      <w:r>
        <w:rPr>
          <w:rFonts w:hint="cs"/>
          <w:rtl/>
        </w:rPr>
        <w:t>ההויה</w:t>
      </w:r>
      <w:proofErr w:type="spellEnd"/>
      <w:r>
        <w:rPr>
          <w:rFonts w:hint="cs"/>
          <w:rtl/>
        </w:rPr>
        <w:t>, המתגלה בפנימיותה" (</w:t>
      </w:r>
      <w:r w:rsidRPr="00D33444">
        <w:rPr>
          <w:rStyle w:val="10"/>
          <w:rFonts w:hint="cs"/>
          <w:rtl/>
        </w:rPr>
        <w:t>שמונה קבצים</w:t>
      </w:r>
      <w:r>
        <w:rPr>
          <w:rFonts w:hint="cs"/>
          <w:rtl/>
        </w:rPr>
        <w:t xml:space="preserve"> </w:t>
      </w:r>
      <w:proofErr w:type="spellStart"/>
      <w:r>
        <w:rPr>
          <w:rFonts w:hint="cs"/>
          <w:rtl/>
        </w:rPr>
        <w:t>קז</w:t>
      </w:r>
      <w:proofErr w:type="spellEnd"/>
      <w:r>
        <w:rPr>
          <w:rFonts w:hint="cs"/>
          <w:rtl/>
        </w:rPr>
        <w:t xml:space="preserve"> (</w:t>
      </w:r>
      <w:proofErr w:type="spellStart"/>
      <w:r>
        <w:rPr>
          <w:rFonts w:hint="cs"/>
          <w:rtl/>
        </w:rPr>
        <w:t>התשס"ה</w:t>
      </w:r>
      <w:proofErr w:type="spellEnd"/>
      <w:r>
        <w:rPr>
          <w:rFonts w:hint="cs"/>
          <w:rtl/>
        </w:rPr>
        <w:t xml:space="preserve">)). </w:t>
      </w:r>
      <w:r>
        <w:rPr>
          <w:rStyle w:val="afe"/>
          <w:rFonts w:ascii="Calibri" w:hAnsi="Calibri" w:hint="cs"/>
          <w:rtl/>
        </w:rPr>
        <w:t xml:space="preserve">וקשורה לכך הגישה הבאה של הרב יוסף דב הלוי </w:t>
      </w:r>
      <w:proofErr w:type="spellStart"/>
      <w:r>
        <w:rPr>
          <w:rStyle w:val="afe"/>
          <w:rFonts w:ascii="Calibri" w:hAnsi="Calibri" w:hint="cs"/>
          <w:rtl/>
        </w:rPr>
        <w:t>סולובייצ'יק</w:t>
      </w:r>
      <w:proofErr w:type="spellEnd"/>
      <w:r>
        <w:rPr>
          <w:rStyle w:val="afe"/>
          <w:rFonts w:ascii="Calibri" w:hAnsi="Calibri" w:hint="cs"/>
          <w:rtl/>
        </w:rPr>
        <w:t xml:space="preserve">: </w:t>
      </w:r>
      <w:r>
        <w:rPr>
          <w:rFonts w:hint="cs"/>
          <w:rtl/>
        </w:rPr>
        <w:t xml:space="preserve">"'כבוד האדם' נקבע ביהדות לאדם הבודד, המנגן את שירת חייו </w:t>
      </w:r>
      <w:proofErr w:type="spellStart"/>
      <w:r>
        <w:rPr>
          <w:rFonts w:hint="cs"/>
          <w:rtl/>
        </w:rPr>
        <w:t>בבודדותו</w:t>
      </w:r>
      <w:proofErr w:type="spellEnd"/>
      <w:r>
        <w:rPr>
          <w:rFonts w:hint="cs"/>
          <w:rtl/>
        </w:rPr>
        <w:t xml:space="preserve">, בספקותיו </w:t>
      </w:r>
      <w:proofErr w:type="spellStart"/>
      <w:r>
        <w:rPr>
          <w:rFonts w:hint="cs"/>
          <w:rtl/>
        </w:rPr>
        <w:t>ובבטחונו</w:t>
      </w:r>
      <w:proofErr w:type="spellEnd"/>
      <w:r>
        <w:rPr>
          <w:rFonts w:hint="cs"/>
          <w:rtl/>
        </w:rPr>
        <w:t xml:space="preserve"> הפנימיים ביותר" (</w:t>
      </w:r>
      <w:r w:rsidRPr="00D33444">
        <w:rPr>
          <w:rStyle w:val="10"/>
          <w:rFonts w:hint="cs"/>
          <w:rtl/>
        </w:rPr>
        <w:t>האדם ועולמו</w:t>
      </w:r>
      <w:r>
        <w:rPr>
          <w:rFonts w:hint="cs"/>
          <w:rtl/>
        </w:rPr>
        <w:t xml:space="preserve"> 31-37 (</w:t>
      </w:r>
      <w:proofErr w:type="spellStart"/>
      <w:r>
        <w:rPr>
          <w:rFonts w:hint="cs"/>
          <w:rtl/>
        </w:rPr>
        <w:t>התשנ"ח</w:t>
      </w:r>
      <w:proofErr w:type="spellEnd"/>
      <w:r>
        <w:rPr>
          <w:rFonts w:hint="cs"/>
          <w:rtl/>
        </w:rPr>
        <w:t>).</w:t>
      </w:r>
      <w:r>
        <w:rPr>
          <w:rStyle w:val="afe"/>
          <w:rFonts w:ascii="Calibri" w:hAnsi="Calibri" w:hint="cs"/>
          <w:rtl/>
        </w:rPr>
        <w:t xml:space="preserve"> וכן ראו </w:t>
      </w:r>
      <w:r w:rsidRPr="00D33444">
        <w:rPr>
          <w:rFonts w:hint="cs"/>
          <w:rtl/>
        </w:rPr>
        <w:t>פסקי דיני ב</w:t>
      </w:r>
      <w:hyperlink r:id="rId8" w:history="1">
        <w:r w:rsidRPr="00D33444">
          <w:rPr>
            <w:rtl/>
          </w:rPr>
          <w:t>ע"א 9936/07</w:t>
        </w:r>
      </w:hyperlink>
      <w:r w:rsidRPr="00D33444">
        <w:rPr>
          <w:rFonts w:hint="cs"/>
          <w:rtl/>
        </w:rPr>
        <w:t xml:space="preserve"> </w:t>
      </w:r>
      <w:r>
        <w:rPr>
          <w:rFonts w:cs="Miriam" w:hint="cs"/>
          <w:spacing w:val="0"/>
          <w:szCs w:val="24"/>
          <w:rtl/>
        </w:rPr>
        <w:t xml:space="preserve">בן דוד נ' </w:t>
      </w:r>
      <w:proofErr w:type="spellStart"/>
      <w:r>
        <w:rPr>
          <w:rFonts w:cs="Miriam" w:hint="cs"/>
          <w:spacing w:val="0"/>
          <w:szCs w:val="24"/>
          <w:rtl/>
        </w:rPr>
        <w:t>ענטבי</w:t>
      </w:r>
      <w:proofErr w:type="spellEnd"/>
      <w:r>
        <w:rPr>
          <w:rFonts w:hint="cs"/>
          <w:rtl/>
        </w:rPr>
        <w:t xml:space="preserve"> (22.2.2011))</w:t>
      </w:r>
    </w:p>
    <w:p w:rsidR="00CF0C55" w:rsidRDefault="00CF0C55" w:rsidP="00CF0C55">
      <w:pPr>
        <w:pStyle w:val="afb"/>
        <w:rPr>
          <w:rStyle w:val="afe"/>
          <w:rFonts w:ascii="Calibri" w:hAnsi="Calibri"/>
          <w:rtl/>
        </w:rPr>
      </w:pPr>
    </w:p>
    <w:p w:rsidR="00CF0C55" w:rsidRPr="00196833" w:rsidRDefault="00CF0C55" w:rsidP="00CF0C55">
      <w:pPr>
        <w:pStyle w:val="afb"/>
        <w:rPr>
          <w:rStyle w:val="afe"/>
          <w:rFonts w:ascii="Calibri" w:hAnsi="Calibri"/>
        </w:rPr>
      </w:pPr>
      <w:r w:rsidRPr="00196833">
        <w:rPr>
          <w:rStyle w:val="afe"/>
          <w:rFonts w:ascii="Calibri" w:hAnsi="Calibri" w:hint="cs"/>
          <w:rtl/>
        </w:rPr>
        <w:t>כמובן, כבוד האדם אינ</w:t>
      </w:r>
      <w:r>
        <w:rPr>
          <w:rStyle w:val="afe"/>
          <w:rFonts w:ascii="Calibri" w:hAnsi="Calibri" w:hint="cs"/>
          <w:rtl/>
        </w:rPr>
        <w:t>ו</w:t>
      </w:r>
      <w:r w:rsidRPr="00196833">
        <w:rPr>
          <w:rStyle w:val="afe"/>
          <w:rFonts w:ascii="Calibri" w:hAnsi="Calibri" w:hint="cs"/>
          <w:rtl/>
        </w:rPr>
        <w:t xml:space="preserve"> תלוי </w:t>
      </w:r>
      <w:r>
        <w:rPr>
          <w:rStyle w:val="afe"/>
          <w:rFonts w:ascii="Calibri" w:hAnsi="Calibri" w:hint="cs"/>
          <w:rtl/>
        </w:rPr>
        <w:t xml:space="preserve">רק </w:t>
      </w:r>
      <w:r w:rsidRPr="00196833">
        <w:rPr>
          <w:rStyle w:val="afe"/>
          <w:rFonts w:ascii="Calibri" w:hAnsi="Calibri" w:hint="cs"/>
          <w:rtl/>
        </w:rPr>
        <w:t>בקיומו של רצון חופשי ואינ</w:t>
      </w:r>
      <w:r>
        <w:rPr>
          <w:rStyle w:val="afe"/>
          <w:rFonts w:ascii="Calibri" w:hAnsi="Calibri" w:hint="cs"/>
          <w:rtl/>
        </w:rPr>
        <w:t>ו</w:t>
      </w:r>
      <w:r w:rsidRPr="00196833">
        <w:rPr>
          <w:rStyle w:val="afe"/>
          <w:rFonts w:ascii="Calibri" w:hAnsi="Calibri" w:hint="cs"/>
          <w:rtl/>
        </w:rPr>
        <w:t xml:space="preserve"> </w:t>
      </w:r>
      <w:r>
        <w:rPr>
          <w:rStyle w:val="afe"/>
          <w:rFonts w:ascii="Calibri" w:hAnsi="Calibri" w:hint="cs"/>
          <w:rtl/>
        </w:rPr>
        <w:t xml:space="preserve">נגרע </w:t>
      </w:r>
      <w:r w:rsidRPr="00196833">
        <w:rPr>
          <w:rStyle w:val="afe"/>
          <w:rFonts w:ascii="Calibri" w:hAnsi="Calibri" w:hint="cs"/>
          <w:rtl/>
        </w:rPr>
        <w:t>מאדם שרצונו נשלל, למשל, מסיבות רפואיות; ומן הצד השני, גם ההכרה במעמדו המוסרי והמשפטי של הרצון החופשי אינה בלתי מוגבלת, והיא עשויה לסגת מפני רצונות ואינטרסים אחרים; ברם, רצונו של אדם במשפטנו מוכר כנתון בעל מעמד חוקתי</w:t>
      </w:r>
      <w:r>
        <w:rPr>
          <w:rStyle w:val="afe"/>
          <w:rFonts w:ascii="Calibri" w:hAnsi="Calibri" w:hint="cs"/>
          <w:rtl/>
        </w:rPr>
        <w:t xml:space="preserve"> שמקומו רם ומרכזי גם במשפט האזרחי ובמשפט הפלילי</w:t>
      </w:r>
      <w:r w:rsidRPr="00196833">
        <w:rPr>
          <w:rStyle w:val="afe"/>
          <w:rFonts w:ascii="Calibri" w:hAnsi="Calibri" w:hint="cs"/>
          <w:rtl/>
        </w:rPr>
        <w:t xml:space="preserve">. ואצלנו, </w:t>
      </w:r>
      <w:r>
        <w:rPr>
          <w:rStyle w:val="afe"/>
          <w:rFonts w:ascii="Calibri" w:hAnsi="Calibri" w:hint="cs"/>
          <w:rtl/>
        </w:rPr>
        <w:t xml:space="preserve">עמדתו של בית הדין הרבני, ובהמשך לכך גם של </w:t>
      </w:r>
      <w:r w:rsidRPr="00196833">
        <w:rPr>
          <w:rStyle w:val="afe"/>
          <w:rFonts w:ascii="Calibri" w:hAnsi="Calibri" w:hint="cs"/>
          <w:rtl/>
        </w:rPr>
        <w:t>חברי, השופט</w:t>
      </w:r>
      <w:r w:rsidRPr="002A7416">
        <w:rPr>
          <w:rStyle w:val="10"/>
          <w:rFonts w:hint="cs"/>
          <w:rtl/>
        </w:rPr>
        <w:t xml:space="preserve"> </w:t>
      </w:r>
      <w:r w:rsidRPr="00354EDF">
        <w:rPr>
          <w:rFonts w:hint="cs"/>
          <w:rtl/>
        </w:rPr>
        <w:t>שטיין</w:t>
      </w:r>
      <w:r>
        <w:rPr>
          <w:rStyle w:val="afe"/>
          <w:rFonts w:ascii="Calibri" w:hAnsi="Calibri" w:hint="cs"/>
          <w:rtl/>
        </w:rPr>
        <w:t>, התבססה</w:t>
      </w:r>
      <w:r w:rsidRPr="00196833">
        <w:rPr>
          <w:rStyle w:val="afe"/>
          <w:rFonts w:ascii="Calibri" w:hAnsi="Calibri" w:hint="cs"/>
          <w:rtl/>
        </w:rPr>
        <w:t>, בין היתר, על הצורך לכבד את רצונו (או את כוונתו) של אדם להתנות את השיתוף (בהווה) של בן זוגו בדירת מגוריו באי הפרת ברית הנישואין בעתיד.</w:t>
      </w:r>
      <w:r>
        <w:rPr>
          <w:rStyle w:val="afe"/>
          <w:rFonts w:ascii="Calibri" w:hAnsi="Calibri" w:hint="cs"/>
          <w:rtl/>
        </w:rPr>
        <w:t xml:space="preserve"> ברם, לדעתי כאן עלינו לדייק ולהבחין בין שלושה סוגים, או התייחסויות, לרצון מעין זה. </w:t>
      </w:r>
    </w:p>
    <w:p w:rsidR="00CF0C55" w:rsidRDefault="00CF0C55" w:rsidP="00CF0C55">
      <w:pPr>
        <w:pStyle w:val="afb"/>
        <w:rPr>
          <w:rStyle w:val="afe"/>
          <w:rFonts w:ascii="Calibri" w:hAnsi="Calibri"/>
          <w:rtl/>
        </w:rPr>
      </w:pPr>
    </w:p>
    <w:p w:rsidR="00CF0C55" w:rsidRDefault="00CF0C55" w:rsidP="00CF0C55">
      <w:pPr>
        <w:pStyle w:val="afb"/>
        <w:rPr>
          <w:rStyle w:val="afe"/>
          <w:rFonts w:ascii="Calibri" w:hAnsi="Calibri"/>
          <w:rtl/>
        </w:rPr>
      </w:pPr>
      <w:r>
        <w:rPr>
          <w:rStyle w:val="afe"/>
          <w:rFonts w:ascii="Calibri" w:hAnsi="Calibri"/>
          <w:rtl/>
        </w:rPr>
        <w:tab/>
      </w:r>
      <w:r w:rsidRPr="002B1E72">
        <w:rPr>
          <w:rStyle w:val="10"/>
          <w:rFonts w:hint="cs"/>
          <w:rtl/>
        </w:rPr>
        <w:t>במצב הראשון</w:t>
      </w:r>
      <w:r>
        <w:rPr>
          <w:rStyle w:val="afe"/>
          <w:rFonts w:ascii="Calibri" w:hAnsi="Calibri" w:hint="cs"/>
          <w:rtl/>
        </w:rPr>
        <w:t xml:space="preserve"> מדובר ברצון שהובע במפורש. שאלה יפה היא מה היה הדין במקרה שבו קבע אדם, במסגרת הסכם ממון,</w:t>
      </w:r>
      <w:r w:rsidRPr="004311E7">
        <w:rPr>
          <w:rStyle w:val="afe"/>
          <w:rFonts w:ascii="Calibri" w:hAnsi="Calibri" w:hint="cs"/>
          <w:rtl/>
        </w:rPr>
        <w:t xml:space="preserve"> </w:t>
      </w:r>
      <w:r>
        <w:rPr>
          <w:rStyle w:val="afe"/>
          <w:rFonts w:ascii="Calibri" w:hAnsi="Calibri" w:hint="cs"/>
          <w:rtl/>
        </w:rPr>
        <w:t xml:space="preserve">כי בן זוגו יזכה בזכויות בדירת המגורים שבבעלותו, אולם הזכויות יחזרו לידיו אם יתקיים תנאי כלשהו שנוגע להמשך חיי </w:t>
      </w:r>
      <w:r>
        <w:rPr>
          <w:rStyle w:val="afe"/>
          <w:rFonts w:ascii="Calibri" w:hAnsi="Calibri" w:hint="cs"/>
          <w:rtl/>
        </w:rPr>
        <w:lastRenderedPageBreak/>
        <w:t xml:space="preserve">הזוגיות, ואף שנים רבות קדימה. בכך אדון בהערה השלישית, וכפי שנראה </w:t>
      </w:r>
      <w:r>
        <w:rPr>
          <w:rStyle w:val="afe"/>
          <w:rFonts w:ascii="Calibri" w:hAnsi="Calibri"/>
          <w:rtl/>
        </w:rPr>
        <w:t>–</w:t>
      </w:r>
      <w:r>
        <w:rPr>
          <w:rStyle w:val="afe"/>
          <w:rFonts w:ascii="Calibri" w:hAnsi="Calibri" w:hint="cs"/>
          <w:rtl/>
        </w:rPr>
        <w:t xml:space="preserve"> הסכם כזה מעורר קשיים שונים ושאלה היא האם ומתי על הדין להכיר בו. </w:t>
      </w:r>
      <w:r w:rsidRPr="002B1E72">
        <w:rPr>
          <w:rStyle w:val="10"/>
          <w:rFonts w:hint="cs"/>
          <w:rtl/>
        </w:rPr>
        <w:t>במצב השני</w:t>
      </w:r>
      <w:r>
        <w:rPr>
          <w:rStyle w:val="afe"/>
          <w:rFonts w:ascii="Calibri" w:hAnsi="Calibri" w:hint="cs"/>
          <w:rtl/>
        </w:rPr>
        <w:t xml:space="preserve"> רצונו של אדם לא הובע במפורש. במצב כזה ניתן לתור אחר רצונו של האדם, או אומד הדעת המשותף של בני הזוג (שאינו חופף בהכרח לרצונו החד צדדי של אחד מהם), באמצעות נתונים שונים, כגון התנהגותם של הצדדים. זו יכולה ללמד על רצון כזה או אחר שלא הובע במפורש, למשל רצונו של אדם לשתף את בן זוגו בזכויות בדירת המגורים. ואולם חשוב להדגיש כי הרצון שנלמד מן ההתנהגות או מנתונים חיצוניים אחרים גם הוא, לפחות בחלק מהמקרים, רצון אקטואלי </w:t>
      </w:r>
      <w:r>
        <w:rPr>
          <w:rStyle w:val="afe"/>
          <w:rFonts w:ascii="Calibri" w:hAnsi="Calibri"/>
          <w:rtl/>
        </w:rPr>
        <w:t>–</w:t>
      </w:r>
      <w:r>
        <w:rPr>
          <w:rStyle w:val="afe"/>
          <w:rFonts w:ascii="Calibri" w:hAnsi="Calibri" w:hint="cs"/>
          <w:rtl/>
        </w:rPr>
        <w:t xml:space="preserve"> רצון שהיה קיים באופן פוזיטיבי בזמן אמת, גם אם הוא לא נוסח והובע במפורש. </w:t>
      </w:r>
      <w:r>
        <w:rPr>
          <w:rStyle w:val="10"/>
          <w:rFonts w:hint="cs"/>
          <w:rtl/>
        </w:rPr>
        <w:t>המ</w:t>
      </w:r>
      <w:r w:rsidRPr="004F2635">
        <w:rPr>
          <w:rStyle w:val="10"/>
          <w:rFonts w:hint="cs"/>
          <w:rtl/>
        </w:rPr>
        <w:t>צב השלישי</w:t>
      </w:r>
      <w:r>
        <w:rPr>
          <w:rStyle w:val="afe"/>
          <w:rFonts w:ascii="Calibri" w:hAnsi="Calibri" w:hint="cs"/>
          <w:rtl/>
        </w:rPr>
        <w:t xml:space="preserve"> עוסק ברצון משוער. אדם כלל לא נתן דעתו לסוגיה מסוימת בזמן אמת, ולא היו לו כל ציפיות לגביה. הוא לא חשב על הסוגיה, ולא ניתן ללמוד מהתנהגותו דבר ביחס אליה. עם זאת, בדיעבד יתכן שניתן לשער או לנסות לשער מה היה האדם משיב לו נשאל בזמן אמת מהו רצונו. תשובה זו היא רצונו המשוער. </w:t>
      </w:r>
    </w:p>
    <w:p w:rsidR="00CF0C55" w:rsidRDefault="00CF0C55" w:rsidP="00CF0C55">
      <w:pPr>
        <w:pStyle w:val="afb"/>
        <w:rPr>
          <w:rStyle w:val="afe"/>
          <w:rFonts w:ascii="Calibri" w:hAnsi="Calibri"/>
          <w:rtl/>
        </w:rPr>
      </w:pPr>
    </w:p>
    <w:p w:rsidR="00CF0C55" w:rsidRDefault="00CF0C55" w:rsidP="00CF0C55">
      <w:pPr>
        <w:pStyle w:val="afb"/>
        <w:rPr>
          <w:rStyle w:val="afe"/>
          <w:rFonts w:ascii="Calibri" w:hAnsi="Calibri"/>
          <w:rtl/>
        </w:rPr>
      </w:pPr>
      <w:r>
        <w:rPr>
          <w:rStyle w:val="afe"/>
          <w:rFonts w:ascii="Calibri" w:hAnsi="Calibri" w:hint="cs"/>
          <w:rtl/>
        </w:rPr>
        <w:t xml:space="preserve">על רקע הקדמה זו, קיימים שני קשיים בעמדה המתבססת על רצונו המשוער של בן הזוג. הראשון קשור לעובדות ולהוכחתן, ואילו השני נובע מעצם מעמדו המשפטי של "רצון משוער". </w:t>
      </w:r>
    </w:p>
    <w:p w:rsidR="00CF0C55" w:rsidRDefault="00CF0C55" w:rsidP="00CF0C55">
      <w:pPr>
        <w:pStyle w:val="afb"/>
        <w:rPr>
          <w:rStyle w:val="afe"/>
          <w:rFonts w:ascii="Calibri" w:hAnsi="Calibri"/>
          <w:rtl/>
        </w:rPr>
      </w:pPr>
    </w:p>
    <w:p w:rsidR="00CF0C55" w:rsidRDefault="00CF0C55" w:rsidP="00CF0C55">
      <w:pPr>
        <w:pStyle w:val="afb"/>
        <w:ind w:firstLine="0"/>
        <w:rPr>
          <w:rStyle w:val="afe"/>
        </w:rPr>
      </w:pPr>
      <w:r w:rsidRPr="0037358F">
        <w:rPr>
          <w:rStyle w:val="afe"/>
          <w:rFonts w:ascii="Calibri" w:hAnsi="Calibri" w:hint="cs"/>
          <w:rtl/>
        </w:rPr>
        <w:t>3</w:t>
      </w:r>
      <w:r w:rsidRPr="0037358F">
        <w:rPr>
          <w:rStyle w:val="afe"/>
          <w:rFonts w:ascii="Calibri" w:hAnsi="Calibri" w:hint="cs"/>
          <w:b/>
          <w:rtl/>
        </w:rPr>
        <w:t>.</w:t>
      </w:r>
      <w:r>
        <w:rPr>
          <w:rStyle w:val="10"/>
          <w:rFonts w:hint="cs"/>
          <w:rtl/>
        </w:rPr>
        <w:tab/>
      </w:r>
      <w:r w:rsidRPr="00E74352">
        <w:rPr>
          <w:rStyle w:val="10"/>
          <w:rFonts w:hint="cs"/>
          <w:rtl/>
        </w:rPr>
        <w:t>מהו הרצון המשוער של בני זוג בעת נישואיהם?</w:t>
      </w:r>
      <w:r>
        <w:rPr>
          <w:rStyle w:val="afe"/>
          <w:rFonts w:hint="cs"/>
          <w:rtl/>
        </w:rPr>
        <w:t xml:space="preserve"> בית הדין הרבני הניח כי רצונו המשוער של בן הזוג הוא לשלול את הזכויות בדירת המגורים מבת זוגו במקרה של הפרת ברית הנישואין. </w:t>
      </w:r>
      <w:proofErr w:type="spellStart"/>
      <w:r>
        <w:rPr>
          <w:rStyle w:val="afe"/>
          <w:rFonts w:hint="cs"/>
          <w:rtl/>
        </w:rPr>
        <w:t>ודוקו</w:t>
      </w:r>
      <w:proofErr w:type="spellEnd"/>
      <w:r>
        <w:rPr>
          <w:rStyle w:val="afe"/>
          <w:rFonts w:hint="cs"/>
          <w:rtl/>
        </w:rPr>
        <w:t xml:space="preserve">, מדובר ברצון משוער ולא ברצון אקטואלי. הוא לא הובע במפורש ואף לא נקבע שהוא הוסק מהתנהגות הצדדים בזמן אמת. מהעובדות שנקבעו בכל הערכאות לא עולה כלל כי הצדדים נתנו דעתם במהלך חיי הנישואין וטרם הפרידה לסוגיית זכויות בת הזוג בדירה אם תפר את ברית הנישואין. מדובר בהשערה היפותטית כי לו היו שואלים את בן הזוג בזמן אמת האם זהו רצונו, היה משיב לכך בחיוב. ואולם על ההכרעה העובדתית להתבסס על ראיות, ולא רק על השערה נטולת בסיס בדבר רצון משוער כזה או אחר. אפשר לשער, למשל, שבני זוג בתחילת הקשר הזוגי או בעיצומו דווקא מעוניינים בשיתוף בלתי מותנה בנכסיהם. לפי השערה אחרת </w:t>
      </w:r>
      <w:r>
        <w:rPr>
          <w:rStyle w:val="afe"/>
          <w:rtl/>
        </w:rPr>
        <w:t>–</w:t>
      </w:r>
      <w:r>
        <w:rPr>
          <w:rStyle w:val="afe"/>
          <w:rFonts w:hint="cs"/>
          <w:rtl/>
        </w:rPr>
        <w:t xml:space="preserve"> והיא משקפת בעיניי את מרבית המקרים </w:t>
      </w:r>
      <w:r>
        <w:rPr>
          <w:rStyle w:val="afe"/>
          <w:rtl/>
        </w:rPr>
        <w:t>–</w:t>
      </w:r>
      <w:r>
        <w:rPr>
          <w:rStyle w:val="afe"/>
          <w:rFonts w:hint="cs"/>
          <w:rtl/>
        </w:rPr>
        <w:t xml:space="preserve"> פעמים רבות בני זוג לא מסדירים את מכלול ענייני הגט והרכוש בעת הנישואין, מפני שהם אינם מעוניינים להתייחס ברגעי האושר והשלום לתרחיש של בגידה או גירושין. רצונם הוא להותיר את הסדרתם של מצבים כאלה לעתיד, בתקווה שכלל לא יתעוררו. פירושה של הכרעה כזו, שלא להכריע אלא להדחיק את העניין או לדחותו למועד אחר בעתיד, הוא שאם יתממש התרחיש השלילי יחול ההסדר הכללי של הדין. ניתן להדגים זאת באמצעות הימנעותו של אדם מכתיבת צוואה, מתוך </w:t>
      </w:r>
      <w:r>
        <w:rPr>
          <w:rStyle w:val="afe"/>
          <w:rFonts w:hint="cs"/>
          <w:rtl/>
        </w:rPr>
        <w:lastRenderedPageBreak/>
        <w:t xml:space="preserve">רצון שלא להידרש לאפשרות המכאיבה של פטירתו ותוצאותיה. במקרה כזה, המשמעות של הימנעותו מעריכת הצוואה היא שבעת פטירתו יחולקו נכסי עזבונו לפי הדין הכללי </w:t>
      </w:r>
      <w:r>
        <w:rPr>
          <w:rStyle w:val="afe"/>
          <w:rtl/>
        </w:rPr>
        <w:t>–</w:t>
      </w:r>
      <w:r>
        <w:rPr>
          <w:rStyle w:val="afe"/>
          <w:rFonts w:hint="cs"/>
          <w:rtl/>
        </w:rPr>
        <w:t xml:space="preserve"> ואין לומר כי יש לבחון תרחישים היפותטיים כאלה ואחרים. כך גם בני זוג שבחרו שלא להתייחס לסוגיה של חלוקת הרכוש במקרה של גירושין. דעתי היא שסביר יותר לומר כי הרצון המשוער של בני הזוג הוא שלא להידרש כלל לאפשרויות המכאיבות של הפרת יסודות הזוגיות או של גירושין </w:t>
      </w:r>
      <w:r>
        <w:rPr>
          <w:rStyle w:val="afe"/>
          <w:rtl/>
        </w:rPr>
        <w:t>–</w:t>
      </w:r>
      <w:r>
        <w:rPr>
          <w:rStyle w:val="afe"/>
          <w:rFonts w:hint="cs"/>
          <w:rtl/>
        </w:rPr>
        <w:t xml:space="preserve"> כך ולא רצון משוער לשלול זכויות כאלה ואחרות. בכל מקרה, הטוען לרצון משוער אחר, כגון שלילת הזכויות מבת הזוג </w:t>
      </w:r>
      <w:r>
        <w:rPr>
          <w:rStyle w:val="afe"/>
          <w:rtl/>
        </w:rPr>
        <w:t>–</w:t>
      </w:r>
      <w:r>
        <w:rPr>
          <w:rStyle w:val="afe"/>
          <w:rFonts w:hint="cs"/>
          <w:rtl/>
        </w:rPr>
        <w:t xml:space="preserve"> כרצון כללי </w:t>
      </w:r>
      <w:r>
        <w:rPr>
          <w:rStyle w:val="afe"/>
          <w:rtl/>
        </w:rPr>
        <w:t>–</w:t>
      </w:r>
      <w:r>
        <w:rPr>
          <w:rStyle w:val="afe"/>
          <w:rFonts w:hint="cs"/>
          <w:rtl/>
        </w:rPr>
        <w:t xml:space="preserve"> לא הציג כל ראיה לתמיכה בהשערה זו, ונקל לחלוק על כך.</w:t>
      </w:r>
    </w:p>
    <w:p w:rsidR="00CF0C55" w:rsidRDefault="00CF0C55" w:rsidP="00CF0C55">
      <w:pPr>
        <w:pStyle w:val="afb"/>
        <w:rPr>
          <w:rStyle w:val="afe"/>
          <w:rFonts w:ascii="Calibri" w:hAnsi="Calibri"/>
        </w:rPr>
      </w:pPr>
    </w:p>
    <w:p w:rsidR="00CF0C55" w:rsidRDefault="00CF0C55" w:rsidP="00CF0C55">
      <w:pPr>
        <w:pStyle w:val="11"/>
        <w:rPr>
          <w:rtl/>
        </w:rPr>
      </w:pPr>
      <w:r>
        <w:rPr>
          <w:rtl/>
        </w:rPr>
        <w:tab/>
      </w:r>
      <w:r>
        <w:rPr>
          <w:rFonts w:hint="cs"/>
          <w:rtl/>
        </w:rPr>
        <w:t xml:space="preserve">הקושי שבקביעת התשתית העובדתית ביחס לרצון משוער נובע גם מכך שמדובר ברצון של שני בני הזוג, ולא רק של אחד מהם. כלל גדול הוא בדיני החוזים שלכל חוזה </w:t>
      </w:r>
      <w:r>
        <w:rPr>
          <w:rtl/>
        </w:rPr>
        <w:t>–</w:t>
      </w:r>
      <w:r>
        <w:rPr>
          <w:rFonts w:hint="cs"/>
          <w:rtl/>
        </w:rPr>
        <w:t xml:space="preserve"> בניגוד לצוואה, למשל </w:t>
      </w:r>
      <w:r>
        <w:rPr>
          <w:rtl/>
        </w:rPr>
        <w:t>–</w:t>
      </w:r>
      <w:r>
        <w:rPr>
          <w:rFonts w:hint="cs"/>
          <w:rtl/>
        </w:rPr>
        <w:t xml:space="preserve"> יש לפחות שני צדדים. נדרש מפגש רצונות, וברצון חד צדדי לא סגי. לא די, למשל, בבחינת רצונו המשוער של בן הזוג, אלא יש להוסיף ולבחון גם מה היה רצונה המשוער של בת הזוג בעת השיתוף ספציפי בדירת המגורים, וביתר דיוק </w:t>
      </w:r>
      <w:r>
        <w:rPr>
          <w:rtl/>
        </w:rPr>
        <w:t>–</w:t>
      </w:r>
      <w:r>
        <w:rPr>
          <w:rFonts w:hint="cs"/>
          <w:rtl/>
        </w:rPr>
        <w:t xml:space="preserve"> מהו אומד הדעת המשוער המשותף לשניהם. כאן יש לחדד כי שיתוף ספציפי אינו בגדר "מתנה", לפחות לא במובן הרגיל של הענקה ללא תמורה. הרי ביחס למתנה רגילה למקבל יש שתי אפשרויות: לקבל את המתנה בתנאים שקבע הנותן או לסרב לקבלה. מנגד, כאן מדובר בהעברת זכויות על רקע מערכת היחסים הזוגית, שלא מתגבשת בנקודת זמן ספציפית ומוגדרת אלא עולה מפעולות שונות ומאורח החיים הזוגי, שבו קשה להפריד בין פעולותיו ורצונותיו של כל אחד מבני הזוג שעמדו בבסיס השיתוף. במקרה כזה, ספק אם כל מה שיכלה בת הזוג לעשות, באופן משוער, הוא להסכים לתנאים המשוערים של בן הזוג כלשונם (המשוערת) או לסרב לקבל זכויות בדירה. האם, למשל, ברקע השיתוף הספציפי היה מאמץ חריג של בת הזוג לשמור ולטפל בילדים לבדה, שעות רבות, כדי שבן הזוג יוכל להתרכז רק בענייני הפרנסה? ומה היה רצונה המשוער של בת הזוג ביחס למקרה שבו תישללנה זכויותיה בדירת המגורים בעקבות הפרת ברית הנישואין? האם, בהינתן רצון משוער כזה של בן הזוג, ניתן לשער שהייתה נוהגת באופן אחר במסגרת החיים המשותפים? האם הייתה עונה כי יש להבחין בין מקרים שונים, בתלות בדינמיקה שהובילה לכך שהפרה את ברית הנישואין, למשל התנהגות כזו או אחרת מצד בן הזוג שקדמה לקשר המיני עם אחר? האם היה מסכים בן הזוג לדרישות אלה במסגרת השיתוף הספציפי? ומה אם יש חילוקי דעות </w:t>
      </w:r>
      <w:r>
        <w:rPr>
          <w:rtl/>
        </w:rPr>
        <w:t>–</w:t>
      </w:r>
      <w:r>
        <w:rPr>
          <w:rFonts w:hint="cs"/>
          <w:rtl/>
        </w:rPr>
        <w:t xml:space="preserve"> משוערים </w:t>
      </w:r>
      <w:r>
        <w:rPr>
          <w:rtl/>
        </w:rPr>
        <w:t>–</w:t>
      </w:r>
      <w:r>
        <w:rPr>
          <w:rFonts w:hint="cs"/>
          <w:rtl/>
        </w:rPr>
        <w:t xml:space="preserve"> בין בני הזוג? דעתו המשוערת של מי גוברת? שאלות אלה מחדדות את הקושי ביחס לרצון המשוער בכלל, ובמערכת יחסים זוגית בפרט. </w:t>
      </w:r>
    </w:p>
    <w:p w:rsidR="00CF0C55" w:rsidRDefault="00CF0C55" w:rsidP="00CF0C55">
      <w:pPr>
        <w:pStyle w:val="11"/>
        <w:rPr>
          <w:rtl/>
        </w:rPr>
      </w:pPr>
    </w:p>
    <w:p w:rsidR="00CF0C55" w:rsidRPr="000F7559" w:rsidRDefault="00CF0C55" w:rsidP="00CF0C55">
      <w:pPr>
        <w:pStyle w:val="11"/>
        <w:rPr>
          <w:rStyle w:val="afe"/>
          <w:rtl/>
        </w:rPr>
      </w:pPr>
      <w:r w:rsidRPr="0037358F">
        <w:rPr>
          <w:rFonts w:hint="cs"/>
          <w:b/>
          <w:rtl/>
        </w:rPr>
        <w:lastRenderedPageBreak/>
        <w:t>4.</w:t>
      </w:r>
      <w:r>
        <w:rPr>
          <w:rStyle w:val="10"/>
          <w:rtl/>
        </w:rPr>
        <w:tab/>
      </w:r>
      <w:r w:rsidRPr="000F7559">
        <w:rPr>
          <w:rStyle w:val="10"/>
          <w:rFonts w:hint="cs"/>
          <w:rtl/>
        </w:rPr>
        <w:t>"רצון משוער" כהכרעה ערכית</w:t>
      </w:r>
      <w:r>
        <w:rPr>
          <w:rFonts w:hint="cs"/>
          <w:rtl/>
        </w:rPr>
        <w:t xml:space="preserve">. הקושי השני בגישת "הרצון המשוער" קיים גם לו הייתי מניח את נכונות ההשערה ששיער בית הדין הרבני </w:t>
      </w:r>
      <w:r>
        <w:rPr>
          <w:rtl/>
        </w:rPr>
        <w:t>–</w:t>
      </w:r>
      <w:r>
        <w:rPr>
          <w:rFonts w:hint="cs"/>
          <w:rtl/>
        </w:rPr>
        <w:t xml:space="preserve"> וכאמור, זו אינה עמדתי. </w:t>
      </w:r>
      <w:r>
        <w:rPr>
          <w:rStyle w:val="12"/>
          <w:rFonts w:hint="cs"/>
          <w:rtl/>
        </w:rPr>
        <w:t xml:space="preserve">יש </w:t>
      </w:r>
      <w:r w:rsidRPr="00E74352">
        <w:rPr>
          <w:rStyle w:val="12"/>
          <w:rFonts w:hint="cs"/>
          <w:rtl/>
        </w:rPr>
        <w:t xml:space="preserve">הבדל מהותי </w:t>
      </w:r>
      <w:r>
        <w:rPr>
          <w:rStyle w:val="12"/>
          <w:rtl/>
        </w:rPr>
        <w:t>–</w:t>
      </w:r>
      <w:r>
        <w:rPr>
          <w:rStyle w:val="12"/>
          <w:rFonts w:hint="cs"/>
          <w:rtl/>
        </w:rPr>
        <w:t xml:space="preserve"> או שמא תהומי </w:t>
      </w:r>
      <w:r>
        <w:rPr>
          <w:rStyle w:val="12"/>
          <w:rtl/>
        </w:rPr>
        <w:t>–</w:t>
      </w:r>
      <w:r>
        <w:rPr>
          <w:rStyle w:val="12"/>
          <w:rFonts w:hint="cs"/>
          <w:rtl/>
        </w:rPr>
        <w:t xml:space="preserve"> </w:t>
      </w:r>
      <w:r w:rsidRPr="00E74352">
        <w:rPr>
          <w:rStyle w:val="12"/>
          <w:rFonts w:hint="cs"/>
          <w:rtl/>
        </w:rPr>
        <w:t>בין</w:t>
      </w:r>
      <w:r>
        <w:rPr>
          <w:rStyle w:val="12"/>
          <w:rFonts w:hint="cs"/>
          <w:rtl/>
        </w:rPr>
        <w:t xml:space="preserve"> רצון אקטואלי, שהובע במפורש או שנלמד מהתנהגות, לרצון משוער. במצב האחרון </w:t>
      </w:r>
      <w:r w:rsidRPr="000F7559">
        <w:rPr>
          <w:rStyle w:val="afe"/>
          <w:rFonts w:hint="cs"/>
          <w:rtl/>
        </w:rPr>
        <w:t xml:space="preserve">לא מדובר ברצון אלא בהשערה ביחס לרצון שלא היה מעולם. הבדל </w:t>
      </w:r>
      <w:r>
        <w:rPr>
          <w:rStyle w:val="afe"/>
          <w:rFonts w:hint="cs"/>
          <w:rtl/>
        </w:rPr>
        <w:t xml:space="preserve">זה </w:t>
      </w:r>
      <w:r w:rsidRPr="000F7559">
        <w:rPr>
          <w:rStyle w:val="afe"/>
          <w:rFonts w:hint="cs"/>
          <w:rtl/>
        </w:rPr>
        <w:t xml:space="preserve">טומן בחובו משמעויות ערכיות ומשפטיות. המשפט מכיר בערכו העצמאי של הרצון </w:t>
      </w:r>
      <w:r w:rsidRPr="003A6E50">
        <w:rPr>
          <w:rStyle w:val="10"/>
          <w:rFonts w:hint="cs"/>
          <w:rtl/>
        </w:rPr>
        <w:t>האקטואלי</w:t>
      </w:r>
      <w:r w:rsidRPr="000F7559">
        <w:rPr>
          <w:rStyle w:val="afe"/>
          <w:rFonts w:hint="cs"/>
          <w:rtl/>
        </w:rPr>
        <w:t xml:space="preserve">, כפי שהוזכר לעיל, אך הרצון </w:t>
      </w:r>
      <w:r w:rsidRPr="003A6E50">
        <w:rPr>
          <w:rStyle w:val="10"/>
          <w:rFonts w:hint="cs"/>
          <w:rtl/>
        </w:rPr>
        <w:t>המשוער</w:t>
      </w:r>
      <w:r w:rsidRPr="000F7559">
        <w:rPr>
          <w:rStyle w:val="afe"/>
          <w:rFonts w:hint="cs"/>
          <w:rtl/>
        </w:rPr>
        <w:t xml:space="preserve"> כלל אינו רצון, ואין לו ערך כשלעצמו בתורת "רצון". כמובן, אחת מתכליות הדין יכולה להיות הגשמת רצונם המשוער של נמעניו מתוך רצון להשיא את רווחתם, אך חשוב לשים לב שכאן ההצדקה אינה נעוצה בהבעת הרצון שצופה פני עבר, אלא בתכלית </w:t>
      </w:r>
      <w:r w:rsidRPr="000F7559">
        <w:rPr>
          <w:rStyle w:val="afe"/>
          <w:rtl/>
        </w:rPr>
        <w:t>–</w:t>
      </w:r>
      <w:r w:rsidRPr="000F7559">
        <w:rPr>
          <w:rStyle w:val="afe"/>
          <w:rFonts w:hint="cs"/>
          <w:rtl/>
        </w:rPr>
        <w:t xml:space="preserve"> שעיניה מכוונות כלפי ההווה או העתיד </w:t>
      </w:r>
      <w:r w:rsidRPr="000F7559">
        <w:rPr>
          <w:rStyle w:val="afe"/>
          <w:rtl/>
        </w:rPr>
        <w:t>–</w:t>
      </w:r>
      <w:r w:rsidRPr="000F7559">
        <w:rPr>
          <w:rStyle w:val="afe"/>
          <w:rFonts w:hint="cs"/>
          <w:rtl/>
        </w:rPr>
        <w:t xml:space="preserve"> לשפר את מצבו של בעל הרצון המשוער. כך, למשל, אפשר להגשים את רצונם המשוער של אנשים ללא כל קשר לדיני החוזים: הרשות יכולה לחלק לאזרחים כסף כי היא סבורה שזהו רצונם המשוער וכך תגדל רווחתם. פעולה זו אינה ניתנת להצדקה על יסוד דיני החוזים, אלא על יסוד התפיסה שכיבוד רצונם המשוער של אנשים הוא דבר רצוי. במילים אחרות, "כיבודו" של רצון משוער אינו אלא שם קוד לשיקול מדיניות של השיטה המשפטית, או לניסוי מחשבתי שנועד לחשוף מה רצוי </w:t>
      </w:r>
      <w:r w:rsidRPr="001F6C91">
        <w:rPr>
          <w:rStyle w:val="10"/>
          <w:rFonts w:hint="cs"/>
          <w:rtl/>
        </w:rPr>
        <w:t>כיום</w:t>
      </w:r>
      <w:r w:rsidRPr="000F7559">
        <w:rPr>
          <w:rStyle w:val="afe"/>
          <w:rFonts w:hint="cs"/>
          <w:rtl/>
        </w:rPr>
        <w:t xml:space="preserve">. הגשמת רצונות משוערים אינה מבוססת על האוטונומיה של הרצון החופשי אלא על תפיסות שונות של "טוב" בעיני הרשות. לכן, ככל שעסקינן ברצון משוער ולא ברצון אקטואלי שהיה קיים בזמן אמת, לא לניתן להסתפק בטענה שיש להגשימו מכוח </w:t>
      </w:r>
      <w:r>
        <w:rPr>
          <w:rStyle w:val="afe"/>
          <w:rFonts w:hint="cs"/>
          <w:rtl/>
        </w:rPr>
        <w:t xml:space="preserve">זכות הקניין או </w:t>
      </w:r>
      <w:r w:rsidRPr="000F7559">
        <w:rPr>
          <w:rStyle w:val="afe"/>
          <w:rFonts w:hint="cs"/>
          <w:rtl/>
        </w:rPr>
        <w:t xml:space="preserve">חופש החוזים. יש להוסיף ולהסביר מדוע, למשל, יש להגשים את הרצון המשוער של פלוני, שמשיא את רווחתו אך פוגע ברווחתו של אלמוני, ומדוע תוצאה זו עדיפה על פני השאת רצונו המשוער של אלמוני, תוך הגדלת רווחתו על חשבונו של פלוני. </w:t>
      </w:r>
    </w:p>
    <w:p w:rsidR="00CF0C55" w:rsidRPr="002E1CDC" w:rsidRDefault="00CF0C55" w:rsidP="00CF0C55">
      <w:pPr>
        <w:pStyle w:val="afb"/>
        <w:rPr>
          <w:rStyle w:val="afe"/>
          <w:rFonts w:ascii="Calibri" w:hAnsi="Calibri"/>
          <w:sz w:val="14"/>
          <w:szCs w:val="14"/>
          <w:rtl/>
        </w:rPr>
      </w:pPr>
    </w:p>
    <w:p w:rsidR="00CF0C55" w:rsidRDefault="00CF0C55" w:rsidP="00CF0C55">
      <w:pPr>
        <w:pStyle w:val="afb"/>
        <w:rPr>
          <w:rStyle w:val="afe"/>
          <w:rFonts w:ascii="Calibri" w:hAnsi="Calibri"/>
          <w:rtl/>
        </w:rPr>
      </w:pPr>
      <w:r>
        <w:rPr>
          <w:rStyle w:val="afe"/>
          <w:rFonts w:ascii="Calibri" w:hAnsi="Calibri" w:hint="cs"/>
          <w:rtl/>
        </w:rPr>
        <w:t xml:space="preserve">כאמור, במקרה שלפנינו, עמדת בית הדין הרבני התבססה על רצון משוער ולא על רצון אקטואלי. בנסיבות אלה לא מספיק להצביע על קיומו של רצון משוער כזה, אלא יש להסביר מדוע, כעניין של מדיניות, ראוי להגשים דווקא את רצונו של בן הזוג </w:t>
      </w:r>
      <w:r w:rsidRPr="00DB363F">
        <w:rPr>
          <w:rStyle w:val="10"/>
          <w:rFonts w:hint="cs"/>
          <w:rtl/>
        </w:rPr>
        <w:t>כיום</w:t>
      </w:r>
      <w:r>
        <w:rPr>
          <w:rStyle w:val="afe"/>
          <w:rFonts w:ascii="Calibri" w:hAnsi="Calibri" w:hint="cs"/>
          <w:rtl/>
        </w:rPr>
        <w:t xml:space="preserve">, ולא את רצון בת זוגו להותיר בידיה את הזכויות שהועברו לידיה. ומזווית אחרת, השופט שטיין מציג את עמדתו כניטרלית ונקייה מהנחות ערכיות. ברם, הדין נגזר מהעובדות. וישאל השואל: מנין הבסיס או התשתית העובדתית לקרוא אל תוך ההסכם שכרתו בני הזוג תניה שהם מעולם לא קראו לתוכו ושבן הזוג חפץ בה כיום ואילו בת הזוג מתנגדת לה? אם הבסיס למסקנת חברי הוא עניין של מדיניות, או אז אף דעתו צבועה בשיקולים ערכיים. ואם הבסיס לקביעת חברי הוא עניין של עובדה, הכיצד זו הוכחה? </w:t>
      </w:r>
    </w:p>
    <w:p w:rsidR="00CF0C55" w:rsidRDefault="00CF0C55" w:rsidP="00CF0C55">
      <w:pPr>
        <w:pStyle w:val="afb"/>
        <w:rPr>
          <w:rStyle w:val="afe"/>
          <w:rFonts w:ascii="Calibri" w:hAnsi="Calibri"/>
          <w:rtl/>
        </w:rPr>
      </w:pPr>
    </w:p>
    <w:p w:rsidR="00CF0C55" w:rsidRDefault="00CF0C55" w:rsidP="00CF0C55">
      <w:pPr>
        <w:pStyle w:val="afb"/>
      </w:pPr>
      <w:r w:rsidRPr="00547A59">
        <w:rPr>
          <w:rStyle w:val="afe"/>
          <w:rFonts w:ascii="Calibri" w:hAnsi="Calibri" w:hint="cs"/>
          <w:rtl/>
        </w:rPr>
        <w:lastRenderedPageBreak/>
        <w:t>לגופ</w:t>
      </w:r>
      <w:r>
        <w:rPr>
          <w:rStyle w:val="afe"/>
          <w:rFonts w:ascii="Calibri" w:hAnsi="Calibri" w:hint="cs"/>
          <w:rtl/>
        </w:rPr>
        <w:t>ה</w:t>
      </w:r>
      <w:r w:rsidRPr="00547A59">
        <w:rPr>
          <w:rStyle w:val="afe"/>
          <w:rFonts w:ascii="Calibri" w:hAnsi="Calibri" w:hint="cs"/>
          <w:rtl/>
        </w:rPr>
        <w:t xml:space="preserve"> של מחלוקת, וכאמור בפתיחתה, מסכים אני עם פסק דינה של חברתי הנשיאה, ובכלל זאת עם הכרעתה בסוגיית </w:t>
      </w:r>
      <w:proofErr w:type="spellStart"/>
      <w:r w:rsidRPr="00547A59">
        <w:rPr>
          <w:rStyle w:val="afe"/>
          <w:rFonts w:ascii="Calibri" w:hAnsi="Calibri" w:hint="cs"/>
          <w:rtl/>
        </w:rPr>
        <w:t>נפקותה</w:t>
      </w:r>
      <w:proofErr w:type="spellEnd"/>
      <w:r w:rsidRPr="00547A59">
        <w:rPr>
          <w:rStyle w:val="afe"/>
          <w:rFonts w:ascii="Calibri" w:hAnsi="Calibri" w:hint="cs"/>
          <w:rtl/>
        </w:rPr>
        <w:t xml:space="preserve"> של הפרת ברית הנישואין מצד בת הזוג, כמפורט בפסקה 54 לחוות דעתה. אוסיף </w:t>
      </w:r>
      <w:r>
        <w:rPr>
          <w:rStyle w:val="afe"/>
          <w:rFonts w:ascii="Calibri" w:hAnsi="Calibri" w:hint="cs"/>
          <w:rtl/>
        </w:rPr>
        <w:t xml:space="preserve">כי הבעייתיות שבביסוס ההכרעה על רצון משוער לשלילת הזכויות מבת הזוג מתחדדת </w:t>
      </w:r>
      <w:r w:rsidRPr="00547A59">
        <w:rPr>
          <w:rStyle w:val="afe"/>
          <w:rFonts w:ascii="Calibri" w:hAnsi="Calibri" w:hint="cs"/>
          <w:rtl/>
        </w:rPr>
        <w:t xml:space="preserve">ככל שמרחיבים את נקודת המבט. מדוע לעצור בקריאת תניה מכללא רק במצבים של הפרת ברית הנישואין? הרי אפשר לטעון שהרצון המשוער של בן הזוג היה כי הזכויות בדירת המגורים יחזרו אליו בכל מקרה של פירוק הקשר הזוגי, יהיו הסיבות והנסיבות אשר יהיו. </w:t>
      </w:r>
      <w:r>
        <w:rPr>
          <w:rStyle w:val="afe"/>
          <w:rFonts w:ascii="Calibri" w:hAnsi="Calibri" w:hint="cs"/>
          <w:rtl/>
        </w:rPr>
        <w:t>ונמשיך</w:t>
      </w:r>
      <w:r w:rsidRPr="00547A59">
        <w:rPr>
          <w:rStyle w:val="afe"/>
          <w:rFonts w:ascii="Calibri" w:hAnsi="Calibri" w:hint="cs"/>
          <w:rtl/>
        </w:rPr>
        <w:t xml:space="preserve"> הלאה</w:t>
      </w:r>
      <w:r>
        <w:rPr>
          <w:rStyle w:val="afe"/>
          <w:rFonts w:ascii="Calibri" w:hAnsi="Calibri" w:hint="cs"/>
          <w:rtl/>
        </w:rPr>
        <w:t>,</w:t>
      </w:r>
      <w:r w:rsidRPr="00547A59">
        <w:rPr>
          <w:rStyle w:val="afe"/>
          <w:rFonts w:ascii="Calibri" w:hAnsi="Calibri" w:hint="cs"/>
          <w:rtl/>
        </w:rPr>
        <w:t xml:space="preserve"> להקשרים אחרים במשפט האזרחי, כגון התנהגות מחפירה </w:t>
      </w:r>
      <w:proofErr w:type="spellStart"/>
      <w:r w:rsidRPr="00547A59">
        <w:rPr>
          <w:rStyle w:val="afe"/>
          <w:rFonts w:ascii="Calibri" w:hAnsi="Calibri" w:hint="cs"/>
          <w:rtl/>
        </w:rPr>
        <w:t>מצידו</w:t>
      </w:r>
      <w:proofErr w:type="spellEnd"/>
      <w:r w:rsidRPr="00547A59">
        <w:rPr>
          <w:rStyle w:val="afe"/>
          <w:rFonts w:ascii="Calibri" w:hAnsi="Calibri" w:hint="cs"/>
          <w:rtl/>
        </w:rPr>
        <w:t xml:space="preserve"> של מקבל מתנה אפילו שלושים שנה לאחר שהמתנה כבר הוענקה והוקנתה. מדוע לא לומר שהרצון המשוער של </w:t>
      </w:r>
      <w:r>
        <w:rPr>
          <w:rStyle w:val="afe"/>
          <w:rFonts w:ascii="Calibri" w:hAnsi="Calibri" w:hint="cs"/>
          <w:rtl/>
        </w:rPr>
        <w:t xml:space="preserve">כל </w:t>
      </w:r>
      <w:r w:rsidRPr="00547A59">
        <w:rPr>
          <w:rStyle w:val="afe"/>
          <w:rFonts w:ascii="Calibri" w:hAnsi="Calibri" w:hint="cs"/>
          <w:rtl/>
        </w:rPr>
        <w:t>נותן מתנה הוא השבת המתנה לבעלותו בכל מקרה של התנהגות מחפירה, וגם שנים רבות קדימה</w:t>
      </w:r>
      <w:r>
        <w:rPr>
          <w:rStyle w:val="afe"/>
          <w:rFonts w:ascii="Calibri" w:hAnsi="Calibri" w:hint="cs"/>
          <w:rtl/>
        </w:rPr>
        <w:t xml:space="preserve"> </w:t>
      </w:r>
      <w:r>
        <w:rPr>
          <w:rStyle w:val="afe"/>
          <w:rFonts w:ascii="Calibri" w:hAnsi="Calibri"/>
          <w:rtl/>
        </w:rPr>
        <w:t>–</w:t>
      </w:r>
      <w:r>
        <w:rPr>
          <w:rStyle w:val="afe"/>
          <w:rFonts w:ascii="Calibri" w:hAnsi="Calibri" w:hint="cs"/>
          <w:rtl/>
        </w:rPr>
        <w:t xml:space="preserve"> כל זאת מבלי לדרוש ראיות פרטניות</w:t>
      </w:r>
      <w:r w:rsidRPr="00547A59">
        <w:rPr>
          <w:rStyle w:val="afe"/>
          <w:rFonts w:ascii="Calibri" w:hAnsi="Calibri" w:hint="cs"/>
          <w:rtl/>
        </w:rPr>
        <w:t xml:space="preserve">? כך לא לפי דיני המתנה, אלא לפי דיני החוזים הכלליים. אך קריאת </w:t>
      </w:r>
      <w:proofErr w:type="spellStart"/>
      <w:r w:rsidRPr="00547A59">
        <w:rPr>
          <w:rStyle w:val="afe"/>
          <w:rFonts w:ascii="Calibri" w:hAnsi="Calibri" w:hint="cs"/>
          <w:rtl/>
        </w:rPr>
        <w:t>תניות</w:t>
      </w:r>
      <w:proofErr w:type="spellEnd"/>
      <w:r w:rsidRPr="00547A59">
        <w:rPr>
          <w:rStyle w:val="afe"/>
          <w:rFonts w:ascii="Calibri" w:hAnsi="Calibri" w:hint="cs"/>
          <w:rtl/>
        </w:rPr>
        <w:t xml:space="preserve"> מכללא מעין אלה אינה נהוגה במשפטנו (או בכלל), ועניין זה משקף את הקושי </w:t>
      </w:r>
      <w:r>
        <w:rPr>
          <w:rStyle w:val="afe"/>
          <w:rFonts w:ascii="Calibri" w:hAnsi="Calibri" w:hint="cs"/>
          <w:rtl/>
        </w:rPr>
        <w:t xml:space="preserve">של הוספת </w:t>
      </w:r>
      <w:proofErr w:type="spellStart"/>
      <w:r>
        <w:rPr>
          <w:rStyle w:val="afe"/>
          <w:rFonts w:ascii="Calibri" w:hAnsi="Calibri" w:hint="cs"/>
          <w:rtl/>
        </w:rPr>
        <w:t>תניות</w:t>
      </w:r>
      <w:proofErr w:type="spellEnd"/>
      <w:r>
        <w:rPr>
          <w:rStyle w:val="afe"/>
          <w:rFonts w:ascii="Calibri" w:hAnsi="Calibri" w:hint="cs"/>
          <w:rtl/>
        </w:rPr>
        <w:t xml:space="preserve"> על יסוד "רצון משוער" להסכמים מעין אלה (</w:t>
      </w:r>
      <w:r>
        <w:rPr>
          <w:rFonts w:hint="cs"/>
          <w:rtl/>
        </w:rPr>
        <w:t xml:space="preserve">שחר ליפשיץ "שיפוט מוסרי של התנהגות מינית בנישואים: אוטונומיה ו'משילות' בעקבות בג"ץ 4602/13" </w:t>
      </w:r>
      <w:r w:rsidRPr="001F467D">
        <w:rPr>
          <w:rStyle w:val="10"/>
          <w:rFonts w:hint="cs"/>
          <w:rtl/>
        </w:rPr>
        <w:t>עיוני משפט</w:t>
      </w:r>
      <w:r>
        <w:rPr>
          <w:rFonts w:hint="cs"/>
          <w:rtl/>
        </w:rPr>
        <w:t xml:space="preserve"> מג 5, 40-38 (2020))</w:t>
      </w:r>
      <w:r w:rsidRPr="00547A59">
        <w:rPr>
          <w:rStyle w:val="afe"/>
          <w:rFonts w:ascii="Calibri" w:hAnsi="Calibri" w:hint="cs"/>
          <w:rtl/>
        </w:rPr>
        <w:t xml:space="preserve">. </w:t>
      </w:r>
    </w:p>
    <w:p w:rsidR="00CF0C55" w:rsidRDefault="00CF0C55" w:rsidP="00CF0C55">
      <w:pPr>
        <w:pStyle w:val="11"/>
        <w:rPr>
          <w:rtl/>
        </w:rPr>
      </w:pPr>
    </w:p>
    <w:p w:rsidR="00CF0C55" w:rsidRDefault="00CF0C55" w:rsidP="00CF0C55">
      <w:pPr>
        <w:pStyle w:val="afb"/>
        <w:ind w:firstLine="0"/>
        <w:rPr>
          <w:rtl/>
        </w:rPr>
      </w:pPr>
      <w:r>
        <w:rPr>
          <w:rFonts w:hint="cs"/>
          <w:rtl/>
        </w:rPr>
        <w:t>5.</w:t>
      </w:r>
      <w:r>
        <w:rPr>
          <w:rFonts w:hint="cs"/>
          <w:rtl/>
        </w:rPr>
        <w:tab/>
        <w:t xml:space="preserve">וכאן היתרון או "הרווח האגבי" </w:t>
      </w:r>
      <w:r>
        <w:rPr>
          <w:rtl/>
        </w:rPr>
        <w:t>–</w:t>
      </w:r>
      <w:r>
        <w:rPr>
          <w:rFonts w:hint="cs"/>
          <w:rtl/>
        </w:rPr>
        <w:t xml:space="preserve"> שאינו בשוליים </w:t>
      </w:r>
      <w:r>
        <w:rPr>
          <w:rtl/>
        </w:rPr>
        <w:t>–</w:t>
      </w:r>
      <w:r>
        <w:rPr>
          <w:rFonts w:hint="cs"/>
          <w:rtl/>
        </w:rPr>
        <w:t xml:space="preserve"> בגישה שהוצגה, לפיה אין בסיס לכוונה משוערת כללית לטובת בן הזוג. החלוקה </w:t>
      </w:r>
      <w:proofErr w:type="spellStart"/>
      <w:r>
        <w:rPr>
          <w:rFonts w:hint="cs"/>
          <w:rtl/>
        </w:rPr>
        <w:t>הרכושית</w:t>
      </w:r>
      <w:proofErr w:type="spellEnd"/>
      <w:r>
        <w:rPr>
          <w:rFonts w:hint="cs"/>
          <w:rtl/>
        </w:rPr>
        <w:t xml:space="preserve"> אמורה לשים דגש על השוויון בין בני הזוג. בעולמנו המורכב, החדש והישן, יש חלוקות שונות בין בני הזוג בכלכלת הבית. נראה כי המודלים המרכזיים בפועל הם שוויון במאמץ הכלכלי, או אי-שוויון מסוים, שנובע מהטלת מרכז האחריות על גידול הילדים במהלך היום על האם. בשני המצבים, אי ההסתמכות על רצון משוער או בלתי ידוע, לצד הניתוק בין אשמה לחלוקת הרכוש </w:t>
      </w:r>
      <w:r>
        <w:rPr>
          <w:rtl/>
        </w:rPr>
        <w:t>–</w:t>
      </w:r>
      <w:r>
        <w:rPr>
          <w:rFonts w:hint="cs"/>
          <w:rtl/>
        </w:rPr>
        <w:t xml:space="preserve"> שאף בתי הדין לא הסתייגו ממנו </w:t>
      </w:r>
      <w:r>
        <w:rPr>
          <w:rtl/>
        </w:rPr>
        <w:t>–</w:t>
      </w:r>
      <w:r>
        <w:rPr>
          <w:rFonts w:hint="cs"/>
          <w:rtl/>
        </w:rPr>
        <w:t xml:space="preserve"> שומר על השוויון בין בני הזוג. זה אינו הבסיס להכרעה, ולכן הגדרתי את העניין כ"רווח אגבי", הגם ששמירה על השוויון היא ערך חשוב בשיטה.</w:t>
      </w:r>
    </w:p>
    <w:p w:rsidR="00CF0C55" w:rsidRDefault="00CF0C55" w:rsidP="00CF0C55">
      <w:pPr>
        <w:pStyle w:val="11"/>
        <w:rPr>
          <w:rtl/>
        </w:rPr>
      </w:pPr>
    </w:p>
    <w:p w:rsidR="00CF0C55" w:rsidRDefault="00CF0C55" w:rsidP="00CF0C55">
      <w:pPr>
        <w:pStyle w:val="11"/>
        <w:rPr>
          <w:rtl/>
        </w:rPr>
      </w:pPr>
      <w:r>
        <w:rPr>
          <w:rtl/>
        </w:rPr>
        <w:tab/>
      </w:r>
      <w:r>
        <w:rPr>
          <w:rFonts w:hint="cs"/>
          <w:rtl/>
        </w:rPr>
        <w:t xml:space="preserve">יובהר כי את עמדתי מדוע אין לאפשר לשיקולי אשם להשפיע על חלוקת הרכוש בין בני הזוג בשיטה האזרחית הקיימת הבהרתי </w:t>
      </w:r>
      <w:proofErr w:type="spellStart"/>
      <w:r>
        <w:rPr>
          <w:rFonts w:hint="cs"/>
          <w:rtl/>
        </w:rPr>
        <w:t>בבע"מ</w:t>
      </w:r>
      <w:proofErr w:type="spellEnd"/>
      <w:r>
        <w:rPr>
          <w:rFonts w:hint="cs"/>
          <w:rtl/>
        </w:rPr>
        <w:t xml:space="preserve"> 7272/10 </w:t>
      </w:r>
      <w:r w:rsidRPr="000D10A2">
        <w:rPr>
          <w:rStyle w:val="10"/>
          <w:rFonts w:hint="cs"/>
          <w:rtl/>
        </w:rPr>
        <w:t>פלונית נ' פלוני</w:t>
      </w:r>
      <w:r>
        <w:rPr>
          <w:rFonts w:hint="cs"/>
          <w:rtl/>
        </w:rPr>
        <w:t xml:space="preserve"> (7.1.2014). להשלמת התמונה של יחסי הממון בעת הגירושין, </w:t>
      </w:r>
      <w:r>
        <w:rPr>
          <w:rFonts w:hint="cs"/>
          <w:sz w:val="28"/>
          <w:rtl/>
        </w:rPr>
        <w:t xml:space="preserve">ראו גם תשובת הרב הראשי לתל אביב הרב חיים דוד הלוי שהתפרסמה בספרו </w:t>
      </w:r>
      <w:r w:rsidRPr="000D10A2">
        <w:rPr>
          <w:rStyle w:val="10"/>
          <w:rFonts w:hint="cs"/>
          <w:rtl/>
        </w:rPr>
        <w:t>מים חיים</w:t>
      </w:r>
      <w:r>
        <w:rPr>
          <w:rFonts w:hint="cs"/>
          <w:sz w:val="28"/>
          <w:rtl/>
        </w:rPr>
        <w:t xml:space="preserve"> </w:t>
      </w:r>
      <w:proofErr w:type="spellStart"/>
      <w:r>
        <w:rPr>
          <w:rFonts w:hint="cs"/>
          <w:sz w:val="28"/>
          <w:rtl/>
        </w:rPr>
        <w:t>עג</w:t>
      </w:r>
      <w:proofErr w:type="spellEnd"/>
      <w:r>
        <w:rPr>
          <w:rFonts w:hint="cs"/>
          <w:sz w:val="28"/>
          <w:rtl/>
        </w:rPr>
        <w:t xml:space="preserve"> תשנ"א "ההלכה וחוק יחסי ממון"; לסוגיה הכללית ראו אף את מאמרו של הרב שלמה </w:t>
      </w:r>
      <w:proofErr w:type="spellStart"/>
      <w:r>
        <w:rPr>
          <w:rFonts w:hint="cs"/>
          <w:sz w:val="28"/>
          <w:rtl/>
        </w:rPr>
        <w:t>דיכובסקי</w:t>
      </w:r>
      <w:proofErr w:type="spellEnd"/>
      <w:r>
        <w:rPr>
          <w:rFonts w:hint="cs"/>
          <w:sz w:val="28"/>
          <w:rtl/>
        </w:rPr>
        <w:t xml:space="preserve"> ""הלכת השיתוף" – האם </w:t>
      </w:r>
      <w:proofErr w:type="spellStart"/>
      <w:r>
        <w:rPr>
          <w:rFonts w:hint="cs"/>
          <w:sz w:val="28"/>
          <w:rtl/>
        </w:rPr>
        <w:t>דינא</w:t>
      </w:r>
      <w:proofErr w:type="spellEnd"/>
      <w:r>
        <w:rPr>
          <w:rFonts w:hint="cs"/>
          <w:sz w:val="28"/>
          <w:rtl/>
        </w:rPr>
        <w:t xml:space="preserve"> </w:t>
      </w:r>
      <w:proofErr w:type="spellStart"/>
      <w:r>
        <w:rPr>
          <w:rFonts w:hint="cs"/>
          <w:sz w:val="28"/>
          <w:rtl/>
        </w:rPr>
        <w:t>דמלכותא</w:t>
      </w:r>
      <w:proofErr w:type="spellEnd"/>
      <w:r>
        <w:rPr>
          <w:rFonts w:hint="cs"/>
          <w:sz w:val="28"/>
          <w:rtl/>
        </w:rPr>
        <w:t xml:space="preserve">?" </w:t>
      </w:r>
      <w:proofErr w:type="spellStart"/>
      <w:r w:rsidRPr="000D10A2">
        <w:rPr>
          <w:rStyle w:val="10"/>
          <w:rFonts w:hint="cs"/>
          <w:rtl/>
        </w:rPr>
        <w:t>תחומין</w:t>
      </w:r>
      <w:proofErr w:type="spellEnd"/>
      <w:r>
        <w:rPr>
          <w:rFonts w:hint="cs"/>
          <w:sz w:val="28"/>
          <w:rtl/>
        </w:rPr>
        <w:t xml:space="preserve"> </w:t>
      </w:r>
      <w:proofErr w:type="spellStart"/>
      <w:r>
        <w:rPr>
          <w:rFonts w:hint="cs"/>
          <w:sz w:val="28"/>
          <w:rtl/>
        </w:rPr>
        <w:t>יח</w:t>
      </w:r>
      <w:proofErr w:type="spellEnd"/>
      <w:r>
        <w:rPr>
          <w:rFonts w:hint="cs"/>
          <w:sz w:val="28"/>
          <w:rtl/>
        </w:rPr>
        <w:t xml:space="preserve"> 18 (תשנ"ח). במאמר זה עומד המחבר, אשר כיהן כדיין בבית הדין </w:t>
      </w:r>
      <w:r w:rsidRPr="000D10A2">
        <w:rPr>
          <w:rStyle w:val="afc"/>
          <w:rFonts w:hint="cs"/>
          <w:rtl/>
        </w:rPr>
        <w:t>הרבני הגדול, על שיקולים הלכתיים התומכים ב"הלכת השיתוף" וביתר שאת ב</w:t>
      </w:r>
      <w:r w:rsidRPr="000D10A2">
        <w:rPr>
          <w:rStyle w:val="afc"/>
          <w:rtl/>
        </w:rPr>
        <w:t>חוק יחסי ממון</w:t>
      </w:r>
      <w:r w:rsidRPr="000D10A2">
        <w:rPr>
          <w:rStyle w:val="afc"/>
          <w:rFonts w:hint="cs"/>
          <w:rtl/>
        </w:rPr>
        <w:t>, אם מצד</w:t>
      </w:r>
      <w:r>
        <w:rPr>
          <w:rFonts w:hint="cs"/>
          <w:sz w:val="28"/>
          <w:rtl/>
        </w:rPr>
        <w:t xml:space="preserve"> הכלל "</w:t>
      </w:r>
      <w:proofErr w:type="spellStart"/>
      <w:r>
        <w:rPr>
          <w:rFonts w:hint="cs"/>
          <w:sz w:val="28"/>
          <w:rtl/>
        </w:rPr>
        <w:t>דינא</w:t>
      </w:r>
      <w:proofErr w:type="spellEnd"/>
      <w:r>
        <w:rPr>
          <w:rFonts w:hint="cs"/>
          <w:sz w:val="28"/>
          <w:rtl/>
        </w:rPr>
        <w:t xml:space="preserve"> </w:t>
      </w:r>
      <w:proofErr w:type="spellStart"/>
      <w:r>
        <w:rPr>
          <w:rFonts w:hint="cs"/>
          <w:sz w:val="28"/>
          <w:rtl/>
        </w:rPr>
        <w:t>דמלכותא</w:t>
      </w:r>
      <w:proofErr w:type="spellEnd"/>
      <w:r>
        <w:rPr>
          <w:rFonts w:hint="cs"/>
          <w:sz w:val="28"/>
          <w:rtl/>
        </w:rPr>
        <w:t xml:space="preserve"> </w:t>
      </w:r>
      <w:proofErr w:type="spellStart"/>
      <w:r>
        <w:rPr>
          <w:rFonts w:hint="cs"/>
          <w:sz w:val="28"/>
          <w:rtl/>
        </w:rPr>
        <w:t>דינא</w:t>
      </w:r>
      <w:proofErr w:type="spellEnd"/>
      <w:r>
        <w:rPr>
          <w:rFonts w:hint="cs"/>
          <w:sz w:val="28"/>
          <w:rtl/>
        </w:rPr>
        <w:t xml:space="preserve">", אם מצד </w:t>
      </w:r>
      <w:r>
        <w:rPr>
          <w:rFonts w:hint="cs"/>
          <w:sz w:val="28"/>
          <w:rtl/>
        </w:rPr>
        <w:lastRenderedPageBreak/>
        <w:t>המנהג וההסתמכות (</w:t>
      </w:r>
      <w:proofErr w:type="spellStart"/>
      <w:r>
        <w:rPr>
          <w:rFonts w:hint="cs"/>
          <w:sz w:val="28"/>
          <w:rtl/>
        </w:rPr>
        <w:t>אומדנא</w:t>
      </w:r>
      <w:proofErr w:type="spellEnd"/>
      <w:r>
        <w:rPr>
          <w:rFonts w:hint="cs"/>
          <w:sz w:val="28"/>
          <w:rtl/>
        </w:rPr>
        <w:t xml:space="preserve">) שנוצרה אצל צדדים במציאות בעקבות ההתפתחויות האזרחיות הללו, ואם מצד שיקולים פנים הלכתיים המוצאים עיגון במסורת המשפט העברי לעקרון השיתוף; לכך השוו את מאמר התגובה של הרב אברהם </w:t>
      </w:r>
      <w:proofErr w:type="spellStart"/>
      <w:r>
        <w:rPr>
          <w:rFonts w:hint="cs"/>
          <w:sz w:val="28"/>
          <w:rtl/>
        </w:rPr>
        <w:t>שרמן</w:t>
      </w:r>
      <w:proofErr w:type="spellEnd"/>
      <w:r>
        <w:rPr>
          <w:rFonts w:hint="cs"/>
          <w:sz w:val="28"/>
          <w:rtl/>
        </w:rPr>
        <w:t xml:space="preserve"> ""הלכת השיתוף" – אינה מעוגנת בדיני ישראל" </w:t>
      </w:r>
      <w:proofErr w:type="spellStart"/>
      <w:r w:rsidRPr="000D10A2">
        <w:rPr>
          <w:rStyle w:val="10"/>
          <w:rFonts w:hint="cs"/>
          <w:rtl/>
        </w:rPr>
        <w:t>תחומין</w:t>
      </w:r>
      <w:proofErr w:type="spellEnd"/>
      <w:r>
        <w:rPr>
          <w:rFonts w:hint="cs"/>
          <w:sz w:val="28"/>
          <w:rtl/>
        </w:rPr>
        <w:t xml:space="preserve"> </w:t>
      </w:r>
      <w:proofErr w:type="spellStart"/>
      <w:r>
        <w:rPr>
          <w:rFonts w:hint="cs"/>
          <w:sz w:val="28"/>
          <w:rtl/>
        </w:rPr>
        <w:t>יט</w:t>
      </w:r>
      <w:proofErr w:type="spellEnd"/>
      <w:r>
        <w:rPr>
          <w:rFonts w:hint="cs"/>
          <w:sz w:val="28"/>
          <w:rtl/>
        </w:rPr>
        <w:t xml:space="preserve"> 205 (תשנ"ט) וכן את תגובתו של הרב </w:t>
      </w:r>
      <w:proofErr w:type="spellStart"/>
      <w:r>
        <w:rPr>
          <w:rFonts w:hint="cs"/>
          <w:sz w:val="28"/>
          <w:rtl/>
        </w:rPr>
        <w:t>דיכובסקי</w:t>
      </w:r>
      <w:proofErr w:type="spellEnd"/>
      <w:r>
        <w:rPr>
          <w:rFonts w:hint="cs"/>
          <w:sz w:val="28"/>
          <w:rtl/>
        </w:rPr>
        <w:t xml:space="preserve"> שם, בעמ' 216 </w:t>
      </w:r>
      <w:r>
        <w:rPr>
          <w:sz w:val="28"/>
          <w:rtl/>
        </w:rPr>
        <w:t>–</w:t>
      </w:r>
      <w:r>
        <w:rPr>
          <w:rFonts w:hint="cs"/>
          <w:sz w:val="28"/>
          <w:rtl/>
        </w:rPr>
        <w:t xml:space="preserve"> 219</w:t>
      </w:r>
      <w:r>
        <w:rPr>
          <w:rFonts w:hint="cs"/>
          <w:rtl/>
        </w:rPr>
        <w:t xml:space="preserve"> (וכן ראו בע"מ 7272/10 הנ"ל, פסקה 7 לחוות דעתי). </w:t>
      </w:r>
    </w:p>
    <w:p w:rsidR="00CF0C55" w:rsidRDefault="00CF0C55" w:rsidP="00CF0C55">
      <w:pPr>
        <w:pStyle w:val="11"/>
        <w:rPr>
          <w:rtl/>
        </w:rPr>
      </w:pPr>
    </w:p>
    <w:p w:rsidR="00CF0C55" w:rsidRDefault="00CF0C55" w:rsidP="00CF0C55">
      <w:pPr>
        <w:pStyle w:val="afb"/>
        <w:ind w:firstLine="0"/>
      </w:pPr>
      <w:r>
        <w:rPr>
          <w:rFonts w:hint="cs"/>
          <w:rtl/>
        </w:rPr>
        <w:t>6.</w:t>
      </w:r>
      <w:r>
        <w:rPr>
          <w:rFonts w:hint="cs"/>
          <w:rtl/>
        </w:rPr>
        <w:tab/>
        <w:t xml:space="preserve">ההערה השלישית עוסקת במקרה תיאורטי שבו העביר אדם את הזכויות בנכס מסוים (בהווה), והוסכם כי הזכויות ישובו לידיו אם יתנהג הנעבר בעתיד בצורה כזו או אחרת. כאן הרצון הוא אקטואלי ומפורש, ולכן יש משקל לטענה כי יש לכבד את החופש של הצדדים לעצב את החוזה כרצונם. ברם, הדין מכיר בכך שתקנת הציבור עשויה לגבור על הרצון החופשי, יהא זה רצונם המשותף של צדדים לחוזה או רצונו של אדם במסגרת צוואה (סעיף 30 לחוק החוזים, התשל"ג-1973; סעיפים 34, 38 לחוק הירושה, התשכ"ה-1965. לעניין תחולת תקנת הציבור בהקשר זה ראו גם </w:t>
      </w:r>
      <w:r w:rsidRPr="006E3EEE">
        <w:rPr>
          <w:rtl/>
        </w:rPr>
        <w:t>ע"א 245/85 </w:t>
      </w:r>
      <w:r w:rsidRPr="006E3EEE">
        <w:rPr>
          <w:rStyle w:val="10"/>
          <w:rtl/>
        </w:rPr>
        <w:t>אנגלמן נ' קלי</w:t>
      </w:r>
      <w:r w:rsidRPr="006E3EEE">
        <w:rPr>
          <w:rStyle w:val="10"/>
          <w:rFonts w:hint="cs"/>
          <w:rtl/>
        </w:rPr>
        <w:t>ין</w:t>
      </w:r>
      <w:r w:rsidRPr="006E3EEE">
        <w:rPr>
          <w:rFonts w:hint="cs"/>
          <w:rtl/>
        </w:rPr>
        <w:t>, פ"ד</w:t>
      </w:r>
      <w:r w:rsidRPr="006E3EEE">
        <w:t xml:space="preserve"> </w:t>
      </w:r>
      <w:r w:rsidRPr="006E3EEE">
        <w:rPr>
          <w:rtl/>
        </w:rPr>
        <w:t xml:space="preserve">מג(1) </w:t>
      </w:r>
      <w:r>
        <w:rPr>
          <w:rFonts w:hint="cs"/>
          <w:rtl/>
        </w:rPr>
        <w:t xml:space="preserve">772 (1989)). אגב, </w:t>
      </w:r>
      <w:r w:rsidRPr="000B444B">
        <w:rPr>
          <w:rFonts w:hint="cs"/>
          <w:rtl/>
        </w:rPr>
        <w:t xml:space="preserve">הכלל של בטלות חוזה על אף הסכמת הצדדים בשל פגיעה </w:t>
      </w:r>
      <w:r w:rsidRPr="000B444B">
        <w:rPr>
          <w:rStyle w:val="afc"/>
          <w:rFonts w:hint="cs"/>
          <w:rtl/>
        </w:rPr>
        <w:t>בערך אחר אינו המצאה של המשפט המקובל, אלא מופיע גם במשפט העברי. ב</w:t>
      </w:r>
      <w:hyperlink r:id="rId9" w:history="1">
        <w:r w:rsidRPr="000B444B">
          <w:rPr>
            <w:rStyle w:val="afc"/>
            <w:rtl/>
          </w:rPr>
          <w:t>ע"א 566/77 </w:t>
        </w:r>
        <w:proofErr w:type="spellStart"/>
        <w:r w:rsidRPr="000B444B">
          <w:rPr>
            <w:rStyle w:val="10"/>
            <w:rtl/>
          </w:rPr>
          <w:t>דיקר</w:t>
        </w:r>
        <w:proofErr w:type="spellEnd"/>
        <w:r w:rsidRPr="000B444B">
          <w:rPr>
            <w:rStyle w:val="10"/>
            <w:rtl/>
          </w:rPr>
          <w:t xml:space="preserve"> נ' מוך</w:t>
        </w:r>
        <w:r w:rsidRPr="000B444B">
          <w:rPr>
            <w:rStyle w:val="afc"/>
            <w:rFonts w:hint="cs"/>
            <w:rtl/>
          </w:rPr>
          <w:t xml:space="preserve">, פ"ד </w:t>
        </w:r>
        <w:r w:rsidRPr="000B444B">
          <w:rPr>
            <w:rStyle w:val="afc"/>
            <w:rtl/>
          </w:rPr>
          <w:t>לב(2) 141</w:t>
        </w:r>
        <w:r w:rsidRPr="000B444B">
          <w:rPr>
            <w:rStyle w:val="afc"/>
            <w:rFonts w:hint="cs"/>
            <w:rtl/>
          </w:rPr>
          <w:t xml:space="preserve">, 153-152 </w:t>
        </w:r>
        <w:r w:rsidRPr="000B444B">
          <w:rPr>
            <w:rStyle w:val="afc"/>
            <w:rtl/>
          </w:rPr>
          <w:t>(1978)‏</w:t>
        </w:r>
      </w:hyperlink>
      <w:r w:rsidRPr="000B444B">
        <w:rPr>
          <w:rStyle w:val="afc"/>
          <w:rFonts w:hint="cs"/>
          <w:rtl/>
        </w:rPr>
        <w:t xml:space="preserve"> עמד השופט </w:t>
      </w:r>
      <w:r w:rsidRPr="00D33444">
        <w:rPr>
          <w:rStyle w:val="10"/>
          <w:rFonts w:hint="cs"/>
          <w:rtl/>
        </w:rPr>
        <w:t>מ' אלון</w:t>
      </w:r>
      <w:r w:rsidRPr="000B444B">
        <w:rPr>
          <w:rStyle w:val="afc"/>
          <w:rFonts w:hint="cs"/>
          <w:rtl/>
        </w:rPr>
        <w:t xml:space="preserve"> על מספר דוגמאות ממקורות המשפט העברי לפסילתם של</w:t>
      </w:r>
      <w:r w:rsidRPr="000B444B">
        <w:rPr>
          <w:rFonts w:hint="cs"/>
          <w:rtl/>
        </w:rPr>
        <w:t xml:space="preserve"> חוזים מטעמים של תקנת הציבור: הסכם בין סוחרים </w:t>
      </w:r>
      <w:r>
        <w:rPr>
          <w:rFonts w:hint="cs"/>
          <w:rtl/>
        </w:rPr>
        <w:t>(</w:t>
      </w:r>
      <w:r w:rsidRPr="000B444B">
        <w:rPr>
          <w:rFonts w:hint="cs"/>
          <w:rtl/>
        </w:rPr>
        <w:t>ש</w:t>
      </w:r>
      <w:r>
        <w:rPr>
          <w:rFonts w:hint="cs"/>
          <w:rtl/>
        </w:rPr>
        <w:t>לא קיבל אישור בידי הנהגת הקהילה)</w:t>
      </w:r>
      <w:r w:rsidRPr="000B444B">
        <w:rPr>
          <w:rFonts w:hint="cs"/>
          <w:rtl/>
        </w:rPr>
        <w:t xml:space="preserve"> להעלות מחירים באופן מתואם</w:t>
      </w:r>
      <w:r>
        <w:rPr>
          <w:rFonts w:hint="cs"/>
          <w:rtl/>
        </w:rPr>
        <w:t xml:space="preserve"> (תלמוד בבלי, </w:t>
      </w:r>
      <w:r w:rsidRPr="00E379D2">
        <w:rPr>
          <w:rStyle w:val="afc"/>
          <w:rtl/>
        </w:rPr>
        <w:t xml:space="preserve">בבא </w:t>
      </w:r>
      <w:proofErr w:type="spellStart"/>
      <w:r w:rsidRPr="00E379D2">
        <w:rPr>
          <w:rStyle w:val="afc"/>
          <w:rtl/>
        </w:rPr>
        <w:t>בתרא</w:t>
      </w:r>
      <w:proofErr w:type="spellEnd"/>
      <w:r w:rsidRPr="00E379D2">
        <w:rPr>
          <w:rStyle w:val="afc"/>
          <w:rtl/>
        </w:rPr>
        <w:t xml:space="preserve"> ט, א וחידושי הרמב"ן, </w:t>
      </w:r>
      <w:proofErr w:type="spellStart"/>
      <w:r w:rsidRPr="00E379D2">
        <w:rPr>
          <w:rStyle w:val="afc"/>
          <w:rtl/>
        </w:rPr>
        <w:t>הר"ן</w:t>
      </w:r>
      <w:proofErr w:type="spellEnd"/>
      <w:r w:rsidRPr="00E379D2">
        <w:rPr>
          <w:rStyle w:val="afc"/>
          <w:rtl/>
        </w:rPr>
        <w:t xml:space="preserve"> </w:t>
      </w:r>
      <w:proofErr w:type="spellStart"/>
      <w:r w:rsidRPr="00E379D2">
        <w:rPr>
          <w:rStyle w:val="afc"/>
          <w:rtl/>
        </w:rPr>
        <w:t>והריטב"א</w:t>
      </w:r>
      <w:proofErr w:type="spellEnd"/>
      <w:r w:rsidRPr="00E379D2">
        <w:rPr>
          <w:rStyle w:val="afc"/>
          <w:rtl/>
        </w:rPr>
        <w:t>, שם</w:t>
      </w:r>
      <w:r>
        <w:rPr>
          <w:rStyle w:val="afc"/>
          <w:rFonts w:hint="cs"/>
          <w:rtl/>
        </w:rPr>
        <w:t xml:space="preserve">); </w:t>
      </w:r>
      <w:r w:rsidRPr="000B444B">
        <w:rPr>
          <w:rFonts w:hint="cs"/>
          <w:rtl/>
        </w:rPr>
        <w:t>הסכם בין צדדים לגרימת "צער שבגוף" לאחד מהם</w:t>
      </w:r>
      <w:r>
        <w:rPr>
          <w:rFonts w:hint="cs"/>
          <w:rtl/>
        </w:rPr>
        <w:t xml:space="preserve"> (תלמוד בבלי, </w:t>
      </w:r>
      <w:r>
        <w:rPr>
          <w:rtl/>
        </w:rPr>
        <w:t>כתובות נו, א</w:t>
      </w:r>
      <w:r>
        <w:rPr>
          <w:rFonts w:hint="cs"/>
          <w:rtl/>
        </w:rPr>
        <w:t xml:space="preserve"> ופירוש </w:t>
      </w:r>
      <w:r>
        <w:rPr>
          <w:rtl/>
        </w:rPr>
        <w:t>רש"י</w:t>
      </w:r>
      <w:r>
        <w:rPr>
          <w:rFonts w:hint="cs"/>
          <w:rtl/>
        </w:rPr>
        <w:t xml:space="preserve"> שם)</w:t>
      </w:r>
      <w:r w:rsidRPr="000B444B">
        <w:rPr>
          <w:rFonts w:hint="cs"/>
          <w:rtl/>
        </w:rPr>
        <w:t xml:space="preserve">; והסכמה של אישה לפטור את בעלה מן החובה לפדות אותה במקרה שתיפול בשבי </w:t>
      </w:r>
      <w:r>
        <w:rPr>
          <w:rFonts w:hint="cs"/>
          <w:rtl/>
        </w:rPr>
        <w:t xml:space="preserve">(פירוש תוספות על תלמוד בבלי, </w:t>
      </w:r>
      <w:r w:rsidRPr="00E379D2">
        <w:rPr>
          <w:rStyle w:val="afc"/>
          <w:rtl/>
        </w:rPr>
        <w:t xml:space="preserve">כתובות </w:t>
      </w:r>
      <w:proofErr w:type="spellStart"/>
      <w:r w:rsidRPr="00E379D2">
        <w:rPr>
          <w:rStyle w:val="afc"/>
          <w:rtl/>
        </w:rPr>
        <w:t>מז</w:t>
      </w:r>
      <w:proofErr w:type="spellEnd"/>
      <w:r w:rsidRPr="00E379D2">
        <w:rPr>
          <w:rStyle w:val="afc"/>
          <w:rtl/>
        </w:rPr>
        <w:t xml:space="preserve">, ב, ד"ה </w:t>
      </w:r>
      <w:r>
        <w:rPr>
          <w:rStyle w:val="afc"/>
          <w:rFonts w:hint="cs"/>
          <w:rtl/>
        </w:rPr>
        <w:t>"</w:t>
      </w:r>
      <w:proofErr w:type="spellStart"/>
      <w:r w:rsidRPr="00E379D2">
        <w:rPr>
          <w:rStyle w:val="afc"/>
          <w:rtl/>
        </w:rPr>
        <w:t>זימנין</w:t>
      </w:r>
      <w:proofErr w:type="spellEnd"/>
      <w:r>
        <w:rPr>
          <w:rStyle w:val="afc"/>
          <w:rFonts w:hint="cs"/>
          <w:rtl/>
        </w:rPr>
        <w:t>"</w:t>
      </w:r>
      <w:r w:rsidRPr="00E379D2">
        <w:rPr>
          <w:rStyle w:val="afc"/>
          <w:rtl/>
        </w:rPr>
        <w:t>; שו</w:t>
      </w:r>
      <w:r>
        <w:rPr>
          <w:rStyle w:val="afc"/>
          <w:rFonts w:hint="cs"/>
          <w:rtl/>
        </w:rPr>
        <w:t>לחן ערוך</w:t>
      </w:r>
      <w:r w:rsidRPr="00E379D2">
        <w:rPr>
          <w:rStyle w:val="afc"/>
          <w:rtl/>
        </w:rPr>
        <w:t>, אבן העזר פ</w:t>
      </w:r>
      <w:r>
        <w:rPr>
          <w:rStyle w:val="afc"/>
          <w:rtl/>
        </w:rPr>
        <w:t>ט, ה</w:t>
      </w:r>
      <w:r>
        <w:rPr>
          <w:rStyle w:val="afc"/>
          <w:rFonts w:hint="cs"/>
          <w:rtl/>
        </w:rPr>
        <w:t xml:space="preserve">. </w:t>
      </w:r>
      <w:r w:rsidRPr="000B444B">
        <w:rPr>
          <w:rFonts w:hint="cs"/>
          <w:rtl/>
        </w:rPr>
        <w:t>וכן ראו</w:t>
      </w:r>
      <w:r>
        <w:rPr>
          <w:rFonts w:hint="cs"/>
          <w:rtl/>
        </w:rPr>
        <w:t xml:space="preserve"> באופן כללי</w:t>
      </w:r>
      <w:r w:rsidRPr="000B444B">
        <w:rPr>
          <w:rFonts w:hint="cs"/>
          <w:rtl/>
        </w:rPr>
        <w:t xml:space="preserve"> </w:t>
      </w:r>
      <w:r w:rsidRPr="000B444B">
        <w:rPr>
          <w:rStyle w:val="10"/>
          <w:rFonts w:hint="cs"/>
          <w:rtl/>
        </w:rPr>
        <w:t>חוק לישראל: פגמים בחוזה</w:t>
      </w:r>
      <w:r w:rsidRPr="000B444B">
        <w:rPr>
          <w:rFonts w:hint="cs"/>
          <w:rtl/>
        </w:rPr>
        <w:t xml:space="preserve"> 52-51, 61 (</w:t>
      </w:r>
      <w:r>
        <w:rPr>
          <w:rFonts w:hint="cs"/>
          <w:rtl/>
        </w:rPr>
        <w:t xml:space="preserve">נחום </w:t>
      </w:r>
      <w:proofErr w:type="spellStart"/>
      <w:r>
        <w:rPr>
          <w:rFonts w:hint="cs"/>
          <w:rtl/>
        </w:rPr>
        <w:t>רקובר</w:t>
      </w:r>
      <w:proofErr w:type="spellEnd"/>
      <w:r>
        <w:rPr>
          <w:rFonts w:hint="cs"/>
          <w:rtl/>
        </w:rPr>
        <w:t xml:space="preserve"> עורך, </w:t>
      </w:r>
      <w:proofErr w:type="spellStart"/>
      <w:r w:rsidRPr="000B444B">
        <w:rPr>
          <w:rFonts w:hint="cs"/>
          <w:rtl/>
        </w:rPr>
        <w:t>התשע"ב</w:t>
      </w:r>
      <w:proofErr w:type="spellEnd"/>
      <w:r w:rsidRPr="000B444B">
        <w:rPr>
          <w:rFonts w:hint="cs"/>
          <w:rtl/>
        </w:rPr>
        <w:t>)</w:t>
      </w:r>
      <w:r>
        <w:rPr>
          <w:rFonts w:hint="cs"/>
          <w:rtl/>
        </w:rPr>
        <w:t>)</w:t>
      </w:r>
      <w:r w:rsidRPr="000B444B">
        <w:rPr>
          <w:rFonts w:hint="cs"/>
          <w:rtl/>
        </w:rPr>
        <w:t>.</w:t>
      </w:r>
      <w:r>
        <w:rPr>
          <w:rFonts w:hint="cs"/>
          <w:rtl/>
        </w:rPr>
        <w:t xml:space="preserve"> </w:t>
      </w:r>
    </w:p>
    <w:p w:rsidR="00CF0C55" w:rsidRDefault="00CF0C55" w:rsidP="00CF0C55">
      <w:pPr>
        <w:pStyle w:val="afb"/>
      </w:pPr>
    </w:p>
    <w:p w:rsidR="00CF0C55" w:rsidRDefault="00CF0C55" w:rsidP="00CF0C55">
      <w:pPr>
        <w:pStyle w:val="afb"/>
      </w:pPr>
      <w:r>
        <w:rPr>
          <w:rFonts w:hint="cs"/>
          <w:rtl/>
        </w:rPr>
        <w:t xml:space="preserve">השאלה שבפתח פסקה זו הוצגה באופן כללי, וגרסאות שונות שלה מעוררות </w:t>
      </w:r>
      <w:proofErr w:type="spellStart"/>
      <w:r>
        <w:rPr>
          <w:rFonts w:hint="cs"/>
          <w:rtl/>
        </w:rPr>
        <w:t>מורכבויות</w:t>
      </w:r>
      <w:proofErr w:type="spellEnd"/>
      <w:r>
        <w:rPr>
          <w:rFonts w:hint="cs"/>
          <w:rtl/>
        </w:rPr>
        <w:t xml:space="preserve"> שונות. גרסה אחת, למשל, היא הסכם לשיתוף ספציפי בדירת מגוריו של אדם עם בן זוגו, כשבהסכם נקבע מפורשות כי במקרה של הפרת ברית הנישואין הזכויות בדירה ישובו לידי בעליהן המקוריים. טענה אפשרית היא כי תניה כזו מנוגדת לתקנת הציבור, שכן היא קובעת סנקציה כלכלית ביחס להתנהגות אישית ואינטימית, תוך פגיעה בחירותו של מי שעליו מוטל ה"איסור" ובאוטונומיה החופשית שלו. מאידך גיסא ניתן לסבור כי תניה כזו אינה פסולה, ואפילו כי היא ראויה. בגרסה אחרת של השאלה לא מדובר בהפרת ברית הנישואין אלא בעצם סיום הנישואין. האם בנסיבות כאלה תשתנה </w:t>
      </w:r>
      <w:r>
        <w:rPr>
          <w:rFonts w:hint="cs"/>
          <w:rtl/>
        </w:rPr>
        <w:lastRenderedPageBreak/>
        <w:t xml:space="preserve">התשובה, לכאן או לכאן? ועוד גרסאות קשורות למישור הזמן. האם יש להבחין בין אורך התקופה שבה תקפה התניה, למשל שנה, חמש שנים או חמישים שנה? היציבות הנדרשת בדיני הקניין ורתיעתה של שיטת המשפט מ"כוכביות" ביחס לזכויות קניין תומכת בפסילתן של </w:t>
      </w:r>
      <w:proofErr w:type="spellStart"/>
      <w:r>
        <w:rPr>
          <w:rFonts w:hint="cs"/>
          <w:rtl/>
        </w:rPr>
        <w:t>תניות</w:t>
      </w:r>
      <w:proofErr w:type="spellEnd"/>
      <w:r>
        <w:rPr>
          <w:rFonts w:hint="cs"/>
          <w:rtl/>
        </w:rPr>
        <w:t xml:space="preserve"> כאלה מתוקף תקנת הציבור, ותמיכה זו גדלה ככל שמדובר בתקופה ארוכה יותר. </w:t>
      </w:r>
    </w:p>
    <w:p w:rsidR="00CF0C55" w:rsidRDefault="00CF0C55" w:rsidP="00CF0C55">
      <w:pPr>
        <w:pStyle w:val="11"/>
        <w:rPr>
          <w:rtl/>
        </w:rPr>
      </w:pPr>
    </w:p>
    <w:p w:rsidR="00CF0C55" w:rsidRDefault="00CF0C55" w:rsidP="00CF0C55">
      <w:pPr>
        <w:pStyle w:val="afb"/>
        <w:rPr>
          <w:rtl/>
        </w:rPr>
      </w:pPr>
      <w:r>
        <w:rPr>
          <w:rtl/>
        </w:rPr>
        <w:tab/>
      </w:r>
      <w:r>
        <w:rPr>
          <w:rFonts w:hint="cs"/>
          <w:rtl/>
        </w:rPr>
        <w:t xml:space="preserve">גרסאות נוספות של הסוגיה עולות ביחס לצוואות. כאמור, חוק הירושה מאפשר לפסול </w:t>
      </w:r>
      <w:proofErr w:type="spellStart"/>
      <w:r>
        <w:rPr>
          <w:rFonts w:hint="cs"/>
          <w:rtl/>
        </w:rPr>
        <w:t>תניות</w:t>
      </w:r>
      <w:proofErr w:type="spellEnd"/>
      <w:r>
        <w:rPr>
          <w:rFonts w:hint="cs"/>
          <w:rtl/>
        </w:rPr>
        <w:t xml:space="preserve"> בה לשם הגנה על תקנת הציבור, ובין היתר עסקה הפסיקה בתיקים שבהם ביקש המצווה לשלוט באמצעות הצוואה בהתנהגותם ובאורח חייהם של נמעניה. לצד ההכרה במעמדו המיוחד של רצון המת ובחשיבות קיומו, ישנה הכרה גם בכך שיש גבול למידת השליטה שיש לתת לרצון זה בעולמם של החיים </w:t>
      </w:r>
      <w:r>
        <w:rPr>
          <w:rtl/>
        </w:rPr>
        <w:t>–</w:t>
      </w:r>
      <w:r>
        <w:rPr>
          <w:rFonts w:hint="cs"/>
          <w:rtl/>
        </w:rPr>
        <w:t xml:space="preserve"> הימנעות מ"שלטון היד המתה" (</w:t>
      </w:r>
      <w:r>
        <w:rPr>
          <w:rFonts w:hint="cs"/>
          <w:i/>
          <w:iCs/>
          <w:rtl/>
        </w:rPr>
        <w:t>"</w:t>
      </w:r>
      <w:r w:rsidRPr="00B17950">
        <w:rPr>
          <w:rFonts w:ascii="Garamond" w:eastAsiaTheme="minorHAnsi" w:hAnsi="Garamond"/>
        </w:rPr>
        <w:t>The dead hand control</w:t>
      </w:r>
      <w:r>
        <w:rPr>
          <w:rFonts w:hint="cs"/>
          <w:rtl/>
        </w:rPr>
        <w:t xml:space="preserve">", ובעברית גם: "שלטון הרפאים". ראו </w:t>
      </w:r>
      <w:r w:rsidRPr="00B17950">
        <w:rPr>
          <w:rFonts w:ascii="Garamond" w:eastAsiaTheme="minorHAnsi" w:hAnsi="Garamond"/>
        </w:rPr>
        <w:t xml:space="preserve">Adam J. Hirsch &amp; William K.S. Wang, </w:t>
      </w:r>
      <w:r w:rsidRPr="00B17950">
        <w:rPr>
          <w:rFonts w:ascii="Garamond" w:eastAsiaTheme="minorHAnsi" w:hAnsi="Garamond"/>
          <w:i/>
          <w:iCs/>
        </w:rPr>
        <w:t>A Qualitative Theory of the Dead Hand</w:t>
      </w:r>
      <w:r w:rsidRPr="00B17950">
        <w:rPr>
          <w:rFonts w:ascii="Garamond" w:eastAsiaTheme="minorHAnsi" w:hAnsi="Garamond"/>
        </w:rPr>
        <w:t xml:space="preserve">, 68 </w:t>
      </w:r>
      <w:r w:rsidRPr="00B17950">
        <w:rPr>
          <w:rFonts w:ascii="Garamond" w:eastAsiaTheme="minorHAnsi" w:hAnsi="Garamond"/>
          <w:smallCaps/>
        </w:rPr>
        <w:t>Ind.</w:t>
      </w:r>
      <w:r w:rsidRPr="00B17950">
        <w:rPr>
          <w:rFonts w:ascii="Garamond" w:eastAsiaTheme="minorHAnsi" w:hAnsi="Garamond"/>
        </w:rPr>
        <w:t xml:space="preserve"> L.J. </w:t>
      </w:r>
      <w:r w:rsidRPr="00B17950">
        <w:rPr>
          <w:rFonts w:ascii="Garamond" w:eastAsiaTheme="minorHAnsi" w:hAnsi="Garamond"/>
          <w:smallCaps/>
        </w:rPr>
        <w:t>1, 7 (1992)</w:t>
      </w:r>
      <w:r>
        <w:rPr>
          <w:rFonts w:hint="cs"/>
          <w:rtl/>
        </w:rPr>
        <w:t xml:space="preserve">; </w:t>
      </w:r>
      <w:proofErr w:type="spellStart"/>
      <w:r>
        <w:rPr>
          <w:rFonts w:hint="cs"/>
          <w:rtl/>
        </w:rPr>
        <w:t>בר"ע</w:t>
      </w:r>
      <w:proofErr w:type="spellEnd"/>
      <w:r>
        <w:rPr>
          <w:rFonts w:hint="cs"/>
          <w:rtl/>
        </w:rPr>
        <w:t xml:space="preserve"> 108/75 </w:t>
      </w:r>
      <w:proofErr w:type="spellStart"/>
      <w:r w:rsidRPr="00E027A2">
        <w:rPr>
          <w:rStyle w:val="10"/>
          <w:rFonts w:hint="cs"/>
          <w:rtl/>
        </w:rPr>
        <w:t>גרייבר</w:t>
      </w:r>
      <w:proofErr w:type="spellEnd"/>
      <w:r w:rsidRPr="00E027A2">
        <w:rPr>
          <w:rStyle w:val="10"/>
          <w:rFonts w:hint="cs"/>
          <w:rtl/>
        </w:rPr>
        <w:t xml:space="preserve"> נ' </w:t>
      </w:r>
      <w:proofErr w:type="spellStart"/>
      <w:r w:rsidRPr="00E027A2">
        <w:rPr>
          <w:rStyle w:val="10"/>
          <w:rFonts w:hint="cs"/>
          <w:rtl/>
        </w:rPr>
        <w:t>גרייבר</w:t>
      </w:r>
      <w:proofErr w:type="spellEnd"/>
      <w:r>
        <w:rPr>
          <w:rFonts w:hint="cs"/>
          <w:rtl/>
        </w:rPr>
        <w:t xml:space="preserve">, פ"ד </w:t>
      </w:r>
      <w:proofErr w:type="spellStart"/>
      <w:proofErr w:type="gramStart"/>
      <w:r>
        <w:rPr>
          <w:rFonts w:hint="cs"/>
          <w:rtl/>
        </w:rPr>
        <w:t>כט</w:t>
      </w:r>
      <w:proofErr w:type="spellEnd"/>
      <w:r>
        <w:rPr>
          <w:rFonts w:hint="cs"/>
          <w:rtl/>
        </w:rPr>
        <w:t>(</w:t>
      </w:r>
      <w:proofErr w:type="gramEnd"/>
      <w:r>
        <w:rPr>
          <w:rFonts w:hint="cs"/>
          <w:rtl/>
        </w:rPr>
        <w:t>2) 673, 679 (1975)). כך, למשל, פסל בית משפט זה תניה בצוואה שביקשה למנוע מאישה להיות בקשר עם אחותה (</w:t>
      </w:r>
      <w:hyperlink r:id="rId10" w:history="1">
        <w:r w:rsidRPr="00C415A7">
          <w:rPr>
            <w:rFonts w:hint="cs"/>
            <w:rtl/>
          </w:rPr>
          <w:t xml:space="preserve">ע"א 724/87 </w:t>
        </w:r>
        <w:r w:rsidRPr="00F534BA">
          <w:rPr>
            <w:rStyle w:val="10"/>
            <w:rFonts w:hint="cs"/>
            <w:rtl/>
          </w:rPr>
          <w:t>כלפה נ' גולד</w:t>
        </w:r>
        <w:r w:rsidRPr="00C415A7">
          <w:rPr>
            <w:rFonts w:hint="cs"/>
            <w:rtl/>
          </w:rPr>
          <w:t>, פ"ד מח</w:t>
        </w:r>
      </w:hyperlink>
      <w:r>
        <w:rPr>
          <w:rFonts w:hint="cs"/>
          <w:rtl/>
        </w:rPr>
        <w:t xml:space="preserve">(1) 22 (1993)). באותו עניין הורתה צוואתה של אם כי בתה </w:t>
      </w:r>
      <w:r>
        <w:rPr>
          <w:rtl/>
        </w:rPr>
        <w:t>–</w:t>
      </w:r>
      <w:r>
        <w:rPr>
          <w:rFonts w:hint="cs"/>
          <w:rtl/>
        </w:rPr>
        <w:t xml:space="preserve"> שהייתה קטינה באותה עת </w:t>
      </w:r>
      <w:r>
        <w:rPr>
          <w:rtl/>
        </w:rPr>
        <w:t>–</w:t>
      </w:r>
      <w:r>
        <w:rPr>
          <w:rFonts w:hint="cs"/>
          <w:rtl/>
        </w:rPr>
        <w:t xml:space="preserve"> תירש את נכסי </w:t>
      </w:r>
      <w:proofErr w:type="spellStart"/>
      <w:r>
        <w:rPr>
          <w:rFonts w:hint="cs"/>
          <w:rtl/>
        </w:rPr>
        <w:t>העזבון</w:t>
      </w:r>
      <w:proofErr w:type="spellEnd"/>
      <w:r>
        <w:rPr>
          <w:rFonts w:hint="cs"/>
          <w:rtl/>
        </w:rPr>
        <w:t xml:space="preserve"> עם הגיעה לגיל 25, אך זאת בתנאי שלא תהיה בקשר עם אחותה. בית המשפט העליון קבע כי "ה</w:t>
      </w:r>
      <w:r w:rsidRPr="00F534BA">
        <w:rPr>
          <w:rFonts w:hint="cs"/>
          <w:rtl/>
        </w:rPr>
        <w:t>סייגים המועטים לעניין הוראות שמצווה רשאי לצוות, מכוונים בעיקר למנוע שליטה ממושכת מדיי של המת על החיים... תנאי שמשמעותו ציווי לנתק קשר למשך תקופת חיים בין שתי אחיות, כמו גם בין בת לבני משפחה אחרים, הינו בלתי מוסרי, וככזה בט</w:t>
      </w:r>
      <w:r>
        <w:rPr>
          <w:rFonts w:hint="cs"/>
          <w:rtl/>
        </w:rPr>
        <w:t xml:space="preserve">ל" (שם, עמוד 40). לא ניתן אפוא תוקף לרצונה של האם לשלוט באמצעות נכסיה בהתנהגותה של בתה שנים רבות קדימה. </w:t>
      </w:r>
    </w:p>
    <w:p w:rsidR="00CF0C55" w:rsidRPr="002E1CDC" w:rsidRDefault="00CF0C55" w:rsidP="00CF0C55">
      <w:pPr>
        <w:pStyle w:val="afb"/>
        <w:rPr>
          <w:sz w:val="10"/>
          <w:szCs w:val="14"/>
          <w:rtl/>
        </w:rPr>
      </w:pPr>
    </w:p>
    <w:p w:rsidR="00CF0C55" w:rsidRPr="00F534BA" w:rsidRDefault="00CF0C55" w:rsidP="00CF0C55">
      <w:pPr>
        <w:pStyle w:val="afb"/>
        <w:rPr>
          <w:rtl/>
        </w:rPr>
      </w:pPr>
      <w:r>
        <w:rPr>
          <w:rFonts w:hint="cs"/>
          <w:rtl/>
        </w:rPr>
        <w:t xml:space="preserve">הדוגמאות השונות ממחישות בעיקר את הקושי לקבוע כלל גורף </w:t>
      </w:r>
      <w:proofErr w:type="spellStart"/>
      <w:r>
        <w:rPr>
          <w:rFonts w:hint="cs"/>
          <w:rtl/>
        </w:rPr>
        <w:t>בכגון</w:t>
      </w:r>
      <w:proofErr w:type="spellEnd"/>
      <w:r>
        <w:rPr>
          <w:rFonts w:hint="cs"/>
          <w:rtl/>
        </w:rPr>
        <w:t xml:space="preserve"> דא. לאמור, אין בהכרח תשובה של "כן" או "לא" לשאלה שנשאלה </w:t>
      </w:r>
      <w:r>
        <w:rPr>
          <w:rtl/>
        </w:rPr>
        <w:t>–</w:t>
      </w:r>
      <w:r>
        <w:rPr>
          <w:rFonts w:hint="cs"/>
          <w:rtl/>
        </w:rPr>
        <w:t xml:space="preserve"> מה הדין כאשר בני הזוג קבעו בצורה מפורשת כי אם אחד מהם יפר בעתיד את ברית הנישואין, נכס שכבר עבר לבעלותו ישוב לידי בן הזוג השני. יתכן כי התשובה </w:t>
      </w:r>
      <w:proofErr w:type="spellStart"/>
      <w:r>
        <w:rPr>
          <w:rFonts w:hint="cs"/>
          <w:rtl/>
        </w:rPr>
        <w:t>תלויית</w:t>
      </w:r>
      <w:proofErr w:type="spellEnd"/>
      <w:r>
        <w:rPr>
          <w:rFonts w:hint="cs"/>
          <w:rtl/>
        </w:rPr>
        <w:t xml:space="preserve"> נסיבות. בל נשכח כי </w:t>
      </w:r>
      <w:proofErr w:type="spellStart"/>
      <w:r>
        <w:rPr>
          <w:rFonts w:hint="cs"/>
          <w:rtl/>
        </w:rPr>
        <w:t>הנסיון</w:t>
      </w:r>
      <w:proofErr w:type="spellEnd"/>
      <w:r>
        <w:rPr>
          <w:rFonts w:hint="cs"/>
          <w:rtl/>
        </w:rPr>
        <w:t xml:space="preserve"> של אדם לשלוט, באמצעות נכסיו, באורח חייו העתידי של אדם אחר מעורר בעייתיות. כאן, כאמור, לא היה </w:t>
      </w:r>
      <w:proofErr w:type="spellStart"/>
      <w:r>
        <w:rPr>
          <w:rFonts w:hint="cs"/>
          <w:rtl/>
        </w:rPr>
        <w:t>נסיון</w:t>
      </w:r>
      <w:proofErr w:type="spellEnd"/>
      <w:r>
        <w:rPr>
          <w:rFonts w:hint="cs"/>
          <w:rtl/>
        </w:rPr>
        <w:t xml:space="preserve"> כזה בפועל, ולכן איננו נדרשים לערוך דיון מפורט יותר. נסתפק בקביעה כי הוראה בדבר השבת הזכויות בדירת מגורים בעקבות הפרת ברית הנישואין מעוררת מורכבות כשלעצמה, לפחות בנסיבות מסוימות, ובכל מקרה קשיים אלה תומכים במסקנה שאל לבית המשפט לקרוא תניה כזו ליחסים שבין הצדדים אם הם עצמם לא קבעו אותה. </w:t>
      </w:r>
    </w:p>
    <w:p w:rsidR="00CF0C55" w:rsidRPr="003C3128" w:rsidRDefault="00CF0C55" w:rsidP="00CF0C55">
      <w:pPr>
        <w:pStyle w:val="afb"/>
        <w:rPr>
          <w:sz w:val="22"/>
          <w:szCs w:val="26"/>
          <w:rtl/>
        </w:rPr>
      </w:pPr>
    </w:p>
    <w:p w:rsidR="00710211" w:rsidRPr="002E1CDC" w:rsidRDefault="00CF0C55" w:rsidP="002E1CDC">
      <w:pPr>
        <w:pStyle w:val="afb"/>
        <w:ind w:firstLine="0"/>
        <w:rPr>
          <w:sz w:val="16"/>
          <w:szCs w:val="20"/>
          <w:rtl/>
        </w:rPr>
      </w:pPr>
      <w:r>
        <w:rPr>
          <w:rFonts w:hint="cs"/>
          <w:rtl/>
        </w:rPr>
        <w:t>7.</w:t>
      </w:r>
      <w:r>
        <w:rPr>
          <w:rFonts w:hint="cs"/>
          <w:rtl/>
        </w:rPr>
        <w:tab/>
        <w:t xml:space="preserve">כאמור, מסכים אני לפסק דינה של חברתי הנשיאה. </w:t>
      </w:r>
      <w:r w:rsidR="002E1CDC">
        <w:rPr>
          <w:rtl/>
        </w:rPr>
        <w:br/>
      </w:r>
    </w:p>
    <w:tbl>
      <w:tblPr>
        <w:bidiVisual/>
        <w:tblW w:w="8363" w:type="dxa"/>
        <w:tblLook w:val="01E0" w:firstRow="1" w:lastRow="1" w:firstColumn="1" w:lastColumn="1" w:noHBand="0" w:noVBand="0"/>
      </w:tblPr>
      <w:tblGrid>
        <w:gridCol w:w="2783"/>
        <w:gridCol w:w="2797"/>
        <w:gridCol w:w="2783"/>
      </w:tblGrid>
      <w:tr w:rsidR="00CF0C55" w:rsidTr="00760584">
        <w:tc>
          <w:tcPr>
            <w:tcW w:w="2783" w:type="dxa"/>
            <w:shd w:val="clear" w:color="auto" w:fill="auto"/>
          </w:tcPr>
          <w:p w:rsidR="00CF0C55" w:rsidRDefault="00CF0C55" w:rsidP="00760584">
            <w:pPr>
              <w:pStyle w:val="Ruller41"/>
              <w:spacing w:line="240" w:lineRule="auto"/>
              <w:rPr>
                <w:rtl/>
              </w:rPr>
            </w:pPr>
          </w:p>
        </w:tc>
        <w:tc>
          <w:tcPr>
            <w:tcW w:w="2797" w:type="dxa"/>
            <w:shd w:val="clear" w:color="auto" w:fill="auto"/>
          </w:tcPr>
          <w:p w:rsidR="00CF0C55" w:rsidRDefault="00CF0C55" w:rsidP="00760584">
            <w:pPr>
              <w:pStyle w:val="Ruller41"/>
              <w:spacing w:line="240" w:lineRule="auto"/>
              <w:jc w:val="center"/>
              <w:rPr>
                <w:rtl/>
              </w:rPr>
            </w:pPr>
          </w:p>
        </w:tc>
        <w:tc>
          <w:tcPr>
            <w:tcW w:w="2783" w:type="dxa"/>
            <w:shd w:val="clear" w:color="auto" w:fill="auto"/>
          </w:tcPr>
          <w:p w:rsidR="00CF0C55" w:rsidRDefault="00CF0C55" w:rsidP="00760584">
            <w:pPr>
              <w:pStyle w:val="Ruller41"/>
              <w:spacing w:line="240" w:lineRule="auto"/>
              <w:jc w:val="center"/>
              <w:rPr>
                <w:rtl/>
              </w:rPr>
            </w:pPr>
            <w:r>
              <w:rPr>
                <w:rtl/>
              </w:rPr>
              <w:t>ש ו פ ט</w:t>
            </w:r>
          </w:p>
        </w:tc>
      </w:tr>
    </w:tbl>
    <w:p w:rsidR="00211BFE" w:rsidRDefault="00211BFE" w:rsidP="00D22EA3">
      <w:pPr>
        <w:pStyle w:val="Ruller41"/>
        <w:spacing w:line="240" w:lineRule="auto"/>
        <w:rPr>
          <w:rtl/>
        </w:rPr>
      </w:pPr>
    </w:p>
    <w:p w:rsidR="00EB4123" w:rsidRDefault="00EB4123" w:rsidP="00D22EA3">
      <w:pPr>
        <w:pStyle w:val="Ruller41"/>
        <w:spacing w:line="240" w:lineRule="auto"/>
        <w:rPr>
          <w:rtl/>
        </w:rPr>
      </w:pPr>
    </w:p>
    <w:p w:rsidR="00FF0D41" w:rsidRPr="00503A3E" w:rsidRDefault="00FF0D41" w:rsidP="00FF0D41">
      <w:pPr>
        <w:pStyle w:val="BODYVERDICT"/>
        <w:rPr>
          <w:rFonts w:cs="Miriam"/>
          <w:sz w:val="24"/>
          <w:szCs w:val="24"/>
          <w:u w:val="single"/>
          <w:rtl/>
        </w:rPr>
      </w:pPr>
      <w:r>
        <w:rPr>
          <w:rFonts w:cs="Miriam"/>
          <w:sz w:val="24"/>
          <w:szCs w:val="24"/>
          <w:u w:val="single"/>
          <w:rtl/>
        </w:rPr>
        <w:t>השופט ד' מינץ:</w:t>
      </w:r>
    </w:p>
    <w:p w:rsidR="00FF0D41" w:rsidRDefault="00FF0D41" w:rsidP="00FF0D41">
      <w:pPr>
        <w:pStyle w:val="Ruller41"/>
        <w:rPr>
          <w:rtl/>
        </w:rPr>
      </w:pPr>
    </w:p>
    <w:p w:rsidR="00FF0D41" w:rsidRDefault="00FF0D41" w:rsidP="00FF0D41">
      <w:pPr>
        <w:pStyle w:val="Ruller41"/>
        <w:rPr>
          <w:rtl/>
        </w:rPr>
      </w:pPr>
      <w:r>
        <w:rPr>
          <w:rtl/>
        </w:rPr>
        <w:tab/>
      </w:r>
      <w:r>
        <w:rPr>
          <w:rFonts w:hint="cs"/>
          <w:rtl/>
        </w:rPr>
        <w:t xml:space="preserve">סומך אני את שתי ידיי על חוות דעתו של חברי השופט </w:t>
      </w:r>
      <w:r w:rsidRPr="00E90B3B">
        <w:rPr>
          <w:rFonts w:ascii="Century" w:hAnsi="Century" w:cs="Miriam" w:hint="cs"/>
          <w:b/>
          <w:spacing w:val="0"/>
          <w:szCs w:val="24"/>
          <w:rtl/>
        </w:rPr>
        <w:t>נ' סולברג</w:t>
      </w:r>
      <w:r>
        <w:rPr>
          <w:rFonts w:hint="cs"/>
          <w:rtl/>
        </w:rPr>
        <w:t xml:space="preserve"> ועל חוות דעתו של חברי השופט </w:t>
      </w:r>
      <w:r>
        <w:rPr>
          <w:rFonts w:ascii="Century" w:hAnsi="Century" w:cs="Miriam" w:hint="cs"/>
          <w:b/>
          <w:spacing w:val="0"/>
          <w:szCs w:val="24"/>
          <w:rtl/>
        </w:rPr>
        <w:t>א' שטיין</w:t>
      </w:r>
      <w:r>
        <w:rPr>
          <w:rFonts w:ascii="Century" w:hAnsi="Century" w:hint="cs"/>
          <w:rtl/>
        </w:rPr>
        <w:t xml:space="preserve"> בכל הנוגע להתערבות בית משפט זה בפסק דינו של בית הדין הרבני הגדול בענייננו. בעניין זה יפה הטעים השופט </w:t>
      </w:r>
      <w:r>
        <w:rPr>
          <w:rFonts w:ascii="Century" w:hAnsi="Century" w:cs="Miriam" w:hint="cs"/>
          <w:b/>
          <w:spacing w:val="0"/>
          <w:szCs w:val="24"/>
          <w:rtl/>
        </w:rPr>
        <w:t xml:space="preserve">שטיין </w:t>
      </w:r>
      <w:r>
        <w:rPr>
          <w:rFonts w:ascii="Century" w:hAnsi="Century" w:hint="cs"/>
          <w:rtl/>
        </w:rPr>
        <w:t>באופן ציורי כי העניין "נטוע בדיני ראיות ולא בדיני עריות" (פסקה 7 לחוות דעתו)</w:t>
      </w:r>
      <w:r>
        <w:rPr>
          <w:rFonts w:hint="cs"/>
          <w:rtl/>
        </w:rPr>
        <w:t xml:space="preserve">. בכך יכולתי לסיים את דבריי, אך פטור ללא כלום קשה. אוסיף אפוא מילים מספר משלי, תוך תקווה כי כל תוספת משלי לא תיגרע. </w:t>
      </w:r>
    </w:p>
    <w:p w:rsidR="00FF0D41" w:rsidRDefault="00FF0D41" w:rsidP="00FF0D41">
      <w:pPr>
        <w:pStyle w:val="Ruller41"/>
        <w:rPr>
          <w:rtl/>
        </w:rPr>
      </w:pPr>
    </w:p>
    <w:p w:rsidR="00FF0D41" w:rsidRPr="002044F1" w:rsidRDefault="00FF0D41" w:rsidP="00FF0D41">
      <w:pPr>
        <w:pStyle w:val="Ruller41"/>
        <w:rPr>
          <w:rFonts w:ascii="Century" w:hAnsi="Century" w:cs="Miriam"/>
          <w:b/>
          <w:spacing w:val="0"/>
          <w:szCs w:val="24"/>
          <w:rtl/>
        </w:rPr>
      </w:pPr>
      <w:r w:rsidRPr="002044F1">
        <w:rPr>
          <w:rFonts w:ascii="Century" w:hAnsi="Century" w:cs="Miriam" w:hint="cs"/>
          <w:b/>
          <w:spacing w:val="0"/>
          <w:szCs w:val="24"/>
          <w:rtl/>
        </w:rPr>
        <w:t>ראש לכול</w:t>
      </w:r>
    </w:p>
    <w:p w:rsidR="00FF0D41" w:rsidRDefault="00FF0D41" w:rsidP="00FF0D41">
      <w:pPr>
        <w:pStyle w:val="Ruller41"/>
        <w:rPr>
          <w:rtl/>
        </w:rPr>
      </w:pPr>
      <w:r>
        <w:rPr>
          <w:rtl/>
        </w:rPr>
        <w:tab/>
      </w:r>
      <w:r>
        <w:rPr>
          <w:rFonts w:hint="cs"/>
          <w:rtl/>
        </w:rPr>
        <w:t xml:space="preserve">אקדים ואומר כי הקביעה שלא קמה עילת התערבות בפסק דינו של בית הדין הרבני במקרה זה, גם אם שגה ביישום הלכות בית משפט זה, עולה לדעתי בקנה אחד עם ההלכה הפסוקה מקדמת דנא בסוגיה. מעבר לכך, כפי שציינתי בחוות דעתי בפסק הדין מושא העתירה לדיון נוסף (להלן: </w:t>
      </w:r>
      <w:r w:rsidRPr="004C0F3C">
        <w:rPr>
          <w:rFonts w:ascii="Century" w:hAnsi="Century" w:cs="Miriam" w:hint="cs"/>
          <w:b/>
          <w:spacing w:val="0"/>
          <w:szCs w:val="24"/>
          <w:rtl/>
        </w:rPr>
        <w:t>פסק הדין הראשון</w:t>
      </w:r>
      <w:r>
        <w:rPr>
          <w:rFonts w:hint="cs"/>
          <w:rtl/>
        </w:rPr>
        <w:t xml:space="preserve">) וכפי שציין חברי השופט </w:t>
      </w:r>
      <w:r>
        <w:rPr>
          <w:rFonts w:ascii="Century" w:hAnsi="Century" w:cs="Miriam" w:hint="cs"/>
          <w:b/>
          <w:spacing w:val="0"/>
          <w:szCs w:val="24"/>
          <w:rtl/>
        </w:rPr>
        <w:t>שטיין</w:t>
      </w:r>
      <w:r>
        <w:rPr>
          <w:rFonts w:hint="cs"/>
          <w:rtl/>
        </w:rPr>
        <w:t xml:space="preserve">, דעתי היא כי הפרשנות שבחר בית הדין, אף אינה כזו המגלה על פניה טעות. </w:t>
      </w:r>
    </w:p>
    <w:p w:rsidR="00FF0D41" w:rsidRDefault="00FF0D41" w:rsidP="00FF0D41">
      <w:pPr>
        <w:pStyle w:val="Ruller41"/>
        <w:rPr>
          <w:rtl/>
        </w:rPr>
      </w:pPr>
    </w:p>
    <w:p w:rsidR="00FF0D41" w:rsidRDefault="00FF0D41" w:rsidP="00FF0D41">
      <w:pPr>
        <w:pStyle w:val="Ruller4"/>
        <w:numPr>
          <w:ilvl w:val="0"/>
          <w:numId w:val="31"/>
        </w:numPr>
      </w:pPr>
      <w:r>
        <w:rPr>
          <w:rFonts w:hint="cs"/>
          <w:rtl/>
        </w:rPr>
        <w:t xml:space="preserve">תחילה אחזור על הידוע. הלכה היא כי בית משפט זה אינו יושב כערכאת ערעור על החלטות ופסקי דין של בתי הדין הרבניים. התערבות בית משפט זה בהכרעותיהם של בתי הדין שמורה למקרים קיצוניים של חריגה מסמכות, פגיעה בעקרונות הצדק הטבעי, סטייה מהוראות החוק המכוונות כלפי בתי הדין הרבניים או כאשר נדרש סעד מן הצדק (בג"ץ 8638/03 </w:t>
      </w:r>
      <w:r w:rsidRPr="00FF0D41">
        <w:rPr>
          <w:rFonts w:ascii="Century" w:hAnsi="Century" w:cs="Miriam" w:hint="cs"/>
          <w:b/>
          <w:spacing w:val="0"/>
          <w:szCs w:val="24"/>
          <w:rtl/>
        </w:rPr>
        <w:t>סימה אמיר נ' בית הדין הרבני הגדול בירושלים</w:t>
      </w:r>
      <w:r>
        <w:rPr>
          <w:rFonts w:hint="cs"/>
          <w:rtl/>
        </w:rPr>
        <w:t xml:space="preserve">, פ"ד סא(1) 259 (2006); בג"ץ 580/11 </w:t>
      </w:r>
      <w:r w:rsidRPr="00FF0D41">
        <w:rPr>
          <w:rFonts w:ascii="Century" w:hAnsi="Century" w:cs="Miriam" w:hint="cs"/>
          <w:b/>
          <w:spacing w:val="0"/>
          <w:szCs w:val="24"/>
          <w:rtl/>
        </w:rPr>
        <w:t xml:space="preserve">פלונית נ' בית הדין הרבני הגדול בירושלים </w:t>
      </w:r>
      <w:r>
        <w:rPr>
          <w:rFonts w:hint="cs"/>
          <w:rtl/>
        </w:rPr>
        <w:t xml:space="preserve">(31.1.2011); בג"ץ 3467/15 </w:t>
      </w:r>
      <w:r w:rsidRPr="00FF0D41">
        <w:rPr>
          <w:rFonts w:ascii="Century" w:hAnsi="Century" w:cs="Miriam" w:hint="cs"/>
          <w:b/>
          <w:spacing w:val="0"/>
          <w:szCs w:val="24"/>
          <w:rtl/>
        </w:rPr>
        <w:t>פלונית נ' בית הדין הרבני האזורי בחיפה</w:t>
      </w:r>
      <w:r>
        <w:rPr>
          <w:rFonts w:hint="cs"/>
          <w:rtl/>
        </w:rPr>
        <w:t xml:space="preserve">, פסקה 6 (21.9.2015); בג"ץ 7070/16 </w:t>
      </w:r>
      <w:r w:rsidRPr="00FF0D41">
        <w:rPr>
          <w:rFonts w:ascii="Century" w:hAnsi="Century" w:cs="Miriam" w:hint="cs"/>
          <w:b/>
          <w:spacing w:val="0"/>
          <w:szCs w:val="24"/>
          <w:rtl/>
        </w:rPr>
        <w:t>פלוני נ' בית הדין הרבני הגדול בירושלים</w:t>
      </w:r>
      <w:r>
        <w:rPr>
          <w:rFonts w:hint="cs"/>
          <w:rtl/>
        </w:rPr>
        <w:t xml:space="preserve">, פסקה 8 (4.1.2017); בג"ץ 6598/16 </w:t>
      </w:r>
      <w:r w:rsidRPr="00FF0D41">
        <w:rPr>
          <w:rFonts w:ascii="Century" w:hAnsi="Century" w:cs="Miriam" w:hint="cs"/>
          <w:b/>
          <w:spacing w:val="0"/>
          <w:szCs w:val="24"/>
          <w:rtl/>
        </w:rPr>
        <w:t>פלונית נ' בית הדין הרבני הגדול</w:t>
      </w:r>
      <w:r>
        <w:rPr>
          <w:rFonts w:hint="cs"/>
          <w:rtl/>
        </w:rPr>
        <w:t xml:space="preserve">, פסקה 8 (14.2.2017); בג"ץ 316/20 </w:t>
      </w:r>
      <w:r w:rsidRPr="00FF0D41">
        <w:rPr>
          <w:rFonts w:ascii="Century" w:hAnsi="Century" w:cs="Miriam" w:hint="cs"/>
          <w:b/>
          <w:spacing w:val="0"/>
          <w:szCs w:val="24"/>
          <w:rtl/>
        </w:rPr>
        <w:t>פלוני נ' בית הדין הרבני הגדול</w:t>
      </w:r>
      <w:r>
        <w:rPr>
          <w:rFonts w:hint="cs"/>
          <w:rtl/>
        </w:rPr>
        <w:t xml:space="preserve">, פסקה 4 (29.6.2020); בג"ץ 2350/20 </w:t>
      </w:r>
      <w:r w:rsidRPr="00FF0D41">
        <w:rPr>
          <w:rFonts w:ascii="Century" w:hAnsi="Century" w:cs="Miriam" w:hint="cs"/>
          <w:b/>
          <w:spacing w:val="0"/>
          <w:szCs w:val="24"/>
          <w:rtl/>
        </w:rPr>
        <w:t>פלוני נ' בית הדין הרבני הגדול</w:t>
      </w:r>
      <w:r>
        <w:rPr>
          <w:rFonts w:hint="cs"/>
          <w:rtl/>
        </w:rPr>
        <w:t xml:space="preserve">, פסקה 8 (10.9.2020)). גם טעות ביישום הדין אינה מקימה כשלעצמה עילה להתערבות בית משפט זה (בג"ץ 6863/15 </w:t>
      </w:r>
      <w:r w:rsidRPr="00FF0D41">
        <w:rPr>
          <w:rFonts w:ascii="Century" w:hAnsi="Century" w:cs="Miriam" w:hint="cs"/>
          <w:b/>
          <w:spacing w:val="0"/>
          <w:szCs w:val="24"/>
          <w:rtl/>
        </w:rPr>
        <w:t>פלונית נ' פלונית</w:t>
      </w:r>
      <w:r>
        <w:rPr>
          <w:rFonts w:hint="cs"/>
          <w:rtl/>
        </w:rPr>
        <w:t xml:space="preserve">, פסקה 5 (18.10.2015); בג"ץ 2898/18 </w:t>
      </w:r>
      <w:r w:rsidRPr="00FF0D41">
        <w:rPr>
          <w:rFonts w:ascii="Century" w:hAnsi="Century" w:cs="Miriam" w:hint="cs"/>
          <w:b/>
          <w:spacing w:val="0"/>
          <w:szCs w:val="24"/>
          <w:rtl/>
        </w:rPr>
        <w:t xml:space="preserve">פלונית נ' בית הדין הרבני הגדול בירושלים </w:t>
      </w:r>
      <w:r>
        <w:rPr>
          <w:rFonts w:hint="cs"/>
          <w:rtl/>
        </w:rPr>
        <w:t xml:space="preserve">(3.6.2019); בג"ץ 2350/20 </w:t>
      </w:r>
      <w:r w:rsidRPr="00FF0D41">
        <w:rPr>
          <w:rFonts w:ascii="Century" w:hAnsi="Century" w:cs="Miriam" w:hint="cs"/>
          <w:b/>
          <w:spacing w:val="0"/>
          <w:szCs w:val="24"/>
          <w:rtl/>
        </w:rPr>
        <w:t xml:space="preserve">פלוני נ' בית הדין הרבני הגדול </w:t>
      </w:r>
      <w:r>
        <w:rPr>
          <w:rFonts w:hint="cs"/>
          <w:rtl/>
        </w:rPr>
        <w:t xml:space="preserve">(10.9.2020)). קל וחומר, גם אם שגה בית הדין הרבני באחת מהנמקותיו, אם הכרעתו </w:t>
      </w:r>
      <w:r>
        <w:rPr>
          <w:rFonts w:hint="cs"/>
          <w:rtl/>
        </w:rPr>
        <w:lastRenderedPageBreak/>
        <w:t xml:space="preserve">עומדת ללא אותה הנמקה שגויה </w:t>
      </w:r>
      <w:r>
        <w:rPr>
          <w:rtl/>
        </w:rPr>
        <w:t>–</w:t>
      </w:r>
      <w:r>
        <w:rPr>
          <w:rFonts w:hint="cs"/>
          <w:rtl/>
        </w:rPr>
        <w:t xml:space="preserve"> אין מקום להתערבות בית משפט זה (ראו למשל: בג"ץ 6037/18 </w:t>
      </w:r>
      <w:r w:rsidRPr="00FF0D41">
        <w:rPr>
          <w:rFonts w:ascii="Century" w:hAnsi="Century" w:cs="Miriam" w:hint="cs"/>
          <w:b/>
          <w:spacing w:val="0"/>
          <w:szCs w:val="24"/>
          <w:rtl/>
        </w:rPr>
        <w:t>פלונית נ' בית הדין הרבני האזורי ת"א יפו</w:t>
      </w:r>
      <w:r>
        <w:rPr>
          <w:rFonts w:hint="cs"/>
          <w:rtl/>
        </w:rPr>
        <w:t xml:space="preserve"> (18.2.2019)). </w:t>
      </w:r>
    </w:p>
    <w:p w:rsidR="00FF0D41" w:rsidRDefault="00FF0D41" w:rsidP="00FF0D41">
      <w:pPr>
        <w:pStyle w:val="Ruller4"/>
        <w:numPr>
          <w:ilvl w:val="0"/>
          <w:numId w:val="0"/>
        </w:numPr>
        <w:rPr>
          <w:rtl/>
        </w:rPr>
      </w:pPr>
    </w:p>
    <w:p w:rsidR="00FF0D41" w:rsidRPr="00DA1BBA" w:rsidRDefault="00FF0D41" w:rsidP="00FF0D41">
      <w:pPr>
        <w:pStyle w:val="Ruller4"/>
        <w:numPr>
          <w:ilvl w:val="0"/>
          <w:numId w:val="0"/>
        </w:numPr>
        <w:rPr>
          <w:rFonts w:ascii="Century" w:hAnsi="Century" w:cs="Miriam"/>
          <w:b/>
          <w:spacing w:val="0"/>
          <w:sz w:val="22"/>
          <w:szCs w:val="24"/>
        </w:rPr>
      </w:pPr>
      <w:r w:rsidRPr="00DA1BBA">
        <w:rPr>
          <w:rFonts w:ascii="Century" w:hAnsi="Century" w:cs="Miriam" w:hint="cs"/>
          <w:b/>
          <w:spacing w:val="0"/>
          <w:sz w:val="22"/>
          <w:szCs w:val="24"/>
          <w:rtl/>
        </w:rPr>
        <w:t>שיתוף ספציפי בנכסים</w:t>
      </w:r>
    </w:p>
    <w:p w:rsidR="00FF0D41" w:rsidRDefault="00FF0D41" w:rsidP="00FF0D41">
      <w:pPr>
        <w:pStyle w:val="Ruller4"/>
      </w:pPr>
      <w:r>
        <w:rPr>
          <w:rFonts w:hint="cs"/>
          <w:rtl/>
        </w:rPr>
        <w:t xml:space="preserve">נקודת המוצא לדיון משותפת לי ולכל חבריי. הנחת היסוד, אחריה אין להרהר, היא כי הלכת </w:t>
      </w:r>
      <w:r w:rsidRPr="009A54B6">
        <w:rPr>
          <w:rFonts w:ascii="Century" w:hAnsi="Century" w:cs="Miriam" w:hint="cs"/>
          <w:b/>
          <w:spacing w:val="0"/>
          <w:szCs w:val="24"/>
          <w:rtl/>
        </w:rPr>
        <w:t xml:space="preserve">בבלי </w:t>
      </w:r>
      <w:r>
        <w:rPr>
          <w:rFonts w:hint="cs"/>
          <w:rtl/>
        </w:rPr>
        <w:t xml:space="preserve">(בג"ץ 1000/92 </w:t>
      </w:r>
      <w:r w:rsidRPr="006150F7">
        <w:rPr>
          <w:rFonts w:ascii="Century" w:hAnsi="Century" w:cs="Miriam" w:hint="cs"/>
          <w:b/>
          <w:spacing w:val="0"/>
          <w:szCs w:val="24"/>
          <w:rtl/>
        </w:rPr>
        <w:t>בבלי נ' בית הדין הרבני הגדול</w:t>
      </w:r>
      <w:r>
        <w:rPr>
          <w:rFonts w:hint="cs"/>
          <w:rtl/>
        </w:rPr>
        <w:t>, פ"ד מח(2) 221 (1994)) שרירה וקיימת. על פי הלכה זו, הכלל הוא כי על בתי הדין הרבניים, בעת שנידונים לפניהם ענייני רכוש הנכרכים בענייני הנישואין והגירושין, לפסוק על פי הדין האזרחי. במסגרת זו, אף כי אין "</w:t>
      </w:r>
      <w:proofErr w:type="spellStart"/>
      <w:r>
        <w:rPr>
          <w:rFonts w:hint="cs"/>
          <w:rtl/>
        </w:rPr>
        <w:t>נענשין</w:t>
      </w:r>
      <w:proofErr w:type="spellEnd"/>
      <w:r>
        <w:rPr>
          <w:rFonts w:hint="cs"/>
          <w:rtl/>
        </w:rPr>
        <w:t xml:space="preserve">" על בגידה למפרע על ידי נטילת הזכויות ברכוש המשותף (ע"א 264/77 </w:t>
      </w:r>
      <w:r w:rsidRPr="00BB0813">
        <w:rPr>
          <w:rFonts w:ascii="Century" w:hAnsi="Century" w:cs="Miriam" w:hint="cs"/>
          <w:b/>
          <w:spacing w:val="0"/>
          <w:szCs w:val="24"/>
          <w:rtl/>
        </w:rPr>
        <w:t>דרור נ' דרור</w:t>
      </w:r>
      <w:r>
        <w:rPr>
          <w:rFonts w:hint="cs"/>
          <w:rtl/>
        </w:rPr>
        <w:t xml:space="preserve">, פ"ד לב(1) 829, 833 (1978) (להלן: עניין </w:t>
      </w:r>
      <w:r w:rsidRPr="005C1FC0">
        <w:rPr>
          <w:rFonts w:ascii="Century" w:hAnsi="Century" w:cs="Miriam" w:hint="cs"/>
          <w:b/>
          <w:spacing w:val="0"/>
          <w:sz w:val="22"/>
          <w:szCs w:val="24"/>
          <w:rtl/>
        </w:rPr>
        <w:t>דרור</w:t>
      </w:r>
      <w:r>
        <w:rPr>
          <w:rFonts w:hint="cs"/>
          <w:rtl/>
        </w:rPr>
        <w:t xml:space="preserve">); וראו גם: בג"ץ 8928/06 </w:t>
      </w:r>
      <w:r w:rsidRPr="00BB0813">
        <w:rPr>
          <w:rFonts w:ascii="Century" w:hAnsi="Century" w:cs="Miriam" w:hint="cs"/>
          <w:b/>
          <w:spacing w:val="0"/>
          <w:szCs w:val="24"/>
          <w:rtl/>
        </w:rPr>
        <w:t xml:space="preserve">פלונית נ' בית הדין הרבני הגדול לערעורים בירושלים </w:t>
      </w:r>
      <w:r>
        <w:rPr>
          <w:rFonts w:hint="cs"/>
          <w:rtl/>
        </w:rPr>
        <w:t xml:space="preserve">(8.10.2008) (להלן: </w:t>
      </w:r>
      <w:r w:rsidRPr="00730CF7">
        <w:rPr>
          <w:rFonts w:ascii="Century" w:hAnsi="Century" w:cs="Miriam" w:hint="cs"/>
          <w:b/>
          <w:spacing w:val="0"/>
          <w:sz w:val="22"/>
          <w:szCs w:val="24"/>
          <w:rtl/>
        </w:rPr>
        <w:t>בג"ץ 8928/06</w:t>
      </w:r>
      <w:r>
        <w:rPr>
          <w:rFonts w:hint="cs"/>
          <w:rtl/>
        </w:rPr>
        <w:t xml:space="preserve">)), הלכה היא כי בנסיבות מסוימות, לבגידה עשויה להיות נפקות בשאלת קיומו של </w:t>
      </w:r>
      <w:r w:rsidRPr="00650AEF">
        <w:rPr>
          <w:rFonts w:ascii="Century" w:hAnsi="Century" w:cs="Miriam" w:hint="cs"/>
          <w:b/>
          <w:spacing w:val="0"/>
          <w:szCs w:val="24"/>
          <w:rtl/>
        </w:rPr>
        <w:t>שיתוף בנכס ספציפי</w:t>
      </w:r>
      <w:r w:rsidRPr="00650AEF">
        <w:rPr>
          <w:rFonts w:hint="cs"/>
          <w:rtl/>
        </w:rPr>
        <w:t xml:space="preserve"> </w:t>
      </w:r>
      <w:r>
        <w:rPr>
          <w:rFonts w:hint="cs"/>
          <w:rtl/>
        </w:rPr>
        <w:t xml:space="preserve">(בג"ץ 3995/00 </w:t>
      </w:r>
      <w:r w:rsidRPr="00AF4FA4">
        <w:rPr>
          <w:rFonts w:ascii="Century" w:hAnsi="Century" w:cs="Miriam" w:hint="cs"/>
          <w:b/>
          <w:spacing w:val="0"/>
          <w:szCs w:val="24"/>
          <w:rtl/>
        </w:rPr>
        <w:t>פלונית נ' בית הדין הרבני הגדול</w:t>
      </w:r>
      <w:r>
        <w:rPr>
          <w:rFonts w:ascii="Century" w:hAnsi="Century" w:cs="Miriam" w:hint="cs"/>
          <w:b/>
          <w:spacing w:val="0"/>
          <w:szCs w:val="24"/>
          <w:rtl/>
        </w:rPr>
        <w:t xml:space="preserve"> לערעורים בירושלים</w:t>
      </w:r>
      <w:r>
        <w:rPr>
          <w:rFonts w:hint="cs"/>
          <w:rtl/>
        </w:rPr>
        <w:t xml:space="preserve">, פ"ד נו(6) 883 (2002) (להלן: </w:t>
      </w:r>
      <w:r w:rsidRPr="004B6FCE">
        <w:rPr>
          <w:rFonts w:ascii="Century" w:hAnsi="Century" w:cs="Miriam" w:hint="cs"/>
          <w:b/>
          <w:spacing w:val="0"/>
          <w:szCs w:val="24"/>
          <w:rtl/>
        </w:rPr>
        <w:t>בג"ץ 3995/</w:t>
      </w:r>
      <w:r>
        <w:rPr>
          <w:rFonts w:ascii="Century" w:hAnsi="Century" w:cs="Miriam" w:hint="cs"/>
          <w:b/>
          <w:spacing w:val="0"/>
          <w:szCs w:val="24"/>
          <w:rtl/>
        </w:rPr>
        <w:t>0</w:t>
      </w:r>
      <w:r w:rsidRPr="004B6FCE">
        <w:rPr>
          <w:rFonts w:ascii="Century" w:hAnsi="Century" w:cs="Miriam" w:hint="cs"/>
          <w:b/>
          <w:spacing w:val="0"/>
          <w:szCs w:val="24"/>
          <w:rtl/>
        </w:rPr>
        <w:t>0</w:t>
      </w:r>
      <w:r>
        <w:rPr>
          <w:rFonts w:hint="cs"/>
          <w:rtl/>
        </w:rPr>
        <w:t xml:space="preserve">; וראו בקשר לידועים בציבור: ע"א 4385/91 </w:t>
      </w:r>
      <w:r w:rsidRPr="00650AEF">
        <w:rPr>
          <w:rFonts w:ascii="Century" w:hAnsi="Century" w:cs="Miriam" w:hint="cs"/>
          <w:b/>
          <w:spacing w:val="0"/>
          <w:szCs w:val="24"/>
          <w:rtl/>
        </w:rPr>
        <w:t>סלם נ' כרמי</w:t>
      </w:r>
      <w:r>
        <w:rPr>
          <w:rFonts w:hint="cs"/>
          <w:rtl/>
        </w:rPr>
        <w:t xml:space="preserve">, פ"ד נא(1) 337, 349 (1997)). וכפי שצוין על ידי השופט (כתוארו אז) </w:t>
      </w:r>
      <w:r w:rsidRPr="00905B2D">
        <w:rPr>
          <w:rFonts w:ascii="Century" w:hAnsi="Century" w:cs="Miriam" w:hint="cs"/>
          <w:b/>
          <w:spacing w:val="0"/>
          <w:szCs w:val="24"/>
          <w:rtl/>
        </w:rPr>
        <w:t>א'</w:t>
      </w:r>
      <w:r w:rsidRPr="00905B2D">
        <w:rPr>
          <w:rFonts w:hint="cs"/>
          <w:rtl/>
        </w:rPr>
        <w:t xml:space="preserve"> </w:t>
      </w:r>
      <w:r w:rsidRPr="00905B2D">
        <w:rPr>
          <w:rFonts w:ascii="Century" w:hAnsi="Century" w:cs="Miriam" w:hint="cs"/>
          <w:b/>
          <w:spacing w:val="0"/>
          <w:szCs w:val="24"/>
          <w:rtl/>
        </w:rPr>
        <w:t>ברק</w:t>
      </w:r>
      <w:r w:rsidRPr="00905B2D">
        <w:rPr>
          <w:rFonts w:hint="cs"/>
          <w:rtl/>
        </w:rPr>
        <w:t xml:space="preserve"> </w:t>
      </w:r>
      <w:r>
        <w:rPr>
          <w:rFonts w:hint="cs"/>
          <w:rtl/>
        </w:rPr>
        <w:t>בבג"ץ 3995/00, במסגרתו נלקחה בחשבון בגידה (גם אם ממושכת) מצד האישה בבעלה בעת בחינת השיתוף הקנייני בין בני זוג במהלך נישואיהם:</w:t>
      </w:r>
    </w:p>
    <w:p w:rsidR="00FF0D41" w:rsidRDefault="00FF0D41" w:rsidP="00FF0D41">
      <w:pPr>
        <w:pStyle w:val="Ruller4"/>
        <w:numPr>
          <w:ilvl w:val="0"/>
          <w:numId w:val="0"/>
        </w:numPr>
        <w:rPr>
          <w:rtl/>
        </w:rPr>
      </w:pPr>
    </w:p>
    <w:p w:rsidR="00FF0D41" w:rsidRDefault="00FF0D41" w:rsidP="00FF0D41">
      <w:pPr>
        <w:pStyle w:val="Ruller5"/>
        <w:rPr>
          <w:rtl/>
        </w:rPr>
      </w:pPr>
      <w:r>
        <w:rPr>
          <w:rFonts w:hint="cs"/>
          <w:rtl/>
        </w:rPr>
        <w:t xml:space="preserve">"אכן, יסוד הכרחי בחזקת השיתוף </w:t>
      </w:r>
      <w:r>
        <w:rPr>
          <w:rtl/>
        </w:rPr>
        <w:t>–</w:t>
      </w:r>
      <w:r>
        <w:rPr>
          <w:rFonts w:hint="cs"/>
          <w:rtl/>
        </w:rPr>
        <w:t xml:space="preserve"> כמו גם בהחלתה על נכס זה או אחר </w:t>
      </w:r>
      <w:r>
        <w:rPr>
          <w:rtl/>
        </w:rPr>
        <w:t>–</w:t>
      </w:r>
      <w:r>
        <w:rPr>
          <w:rFonts w:hint="cs"/>
          <w:rtl/>
        </w:rPr>
        <w:t xml:space="preserve"> היא ההרמוניה בין בני הזוג, כוונת השיתוף והחיים המשותפים ביניהם [...]. כך גם במחלוקת נושא העתירה שבפנינו שעניינה נכס שנרכש לפני הנישואין על-ידי אחד מבני-הזוג והרשום על שמו בלבד. אכן, במקרה שבפנינו הנישואין בין הצדדים נמשכו 17 שנה, אולם [...] הראיות כפי שהן עולות מפסקי-הדין של הערכאות קמא אינן מצביעות על חיי נישואין שהתנהלו בהרמוניה. כך נקבע הן על-ידי משיב 2 הן על-ידי משיב 1, כי האישה בגדה ממושכות בבעלה. בהכרעת-דינו של בית-הדין הרבני הגדול אף נקבע כי האישה הודתה שבגדה בבעלה במשך 12 שנה מתוך 17 שנות הנישואין. גם אם התקופה קצרה יותר, כטענת האישה, הרי שאין בכך כדי לצייר את מערכת היחסים בין השניים באור ורוד יותר. כמו כן לאורך כל שנות הנישואין הקפידו בני-הזוג לשמור על ההפרדה בבעלות על שתי דירותיהם אף שגרו יחדיו בדירת הבעל..." (שם, עמ' 883).</w:t>
      </w:r>
    </w:p>
    <w:p w:rsidR="00FF0D41" w:rsidRDefault="00FF0D41" w:rsidP="00FF0D41">
      <w:pPr>
        <w:pStyle w:val="Ruller4"/>
        <w:numPr>
          <w:ilvl w:val="0"/>
          <w:numId w:val="0"/>
        </w:numPr>
      </w:pPr>
    </w:p>
    <w:p w:rsidR="00FF0D41" w:rsidRDefault="00FF0D41" w:rsidP="00FF0D41">
      <w:pPr>
        <w:pStyle w:val="Ruller4"/>
        <w:numPr>
          <w:ilvl w:val="0"/>
          <w:numId w:val="0"/>
        </w:numPr>
        <w:rPr>
          <w:rtl/>
        </w:rPr>
      </w:pPr>
      <w:r>
        <w:rPr>
          <w:rtl/>
        </w:rPr>
        <w:tab/>
      </w:r>
      <w:r>
        <w:rPr>
          <w:rFonts w:hint="cs"/>
          <w:rtl/>
        </w:rPr>
        <w:t xml:space="preserve">עקרונות אלה, כפי שציין גם היועץ המשפטי לממשלה בענייננו, הם אשר עמדו גם בבסיס פסק הדין מושא הליך זה, ובמובן זה אין בו כל חידוש. </w:t>
      </w:r>
    </w:p>
    <w:p w:rsidR="00FF0D41" w:rsidRDefault="00FF0D41" w:rsidP="00FF0D41">
      <w:pPr>
        <w:pStyle w:val="Ruller4"/>
        <w:numPr>
          <w:ilvl w:val="0"/>
          <w:numId w:val="0"/>
        </w:numPr>
      </w:pPr>
    </w:p>
    <w:p w:rsidR="00FF0D41" w:rsidRPr="005E32F9" w:rsidRDefault="00FF0D41" w:rsidP="00FF0D41">
      <w:pPr>
        <w:pStyle w:val="Ruller4"/>
        <w:rPr>
          <w:rtl/>
        </w:rPr>
      </w:pPr>
      <w:r>
        <w:rPr>
          <w:rFonts w:hint="cs"/>
          <w:rtl/>
        </w:rPr>
        <w:t xml:space="preserve">במאמר מוסגר אציין בקצרה מנקודת מבט השוואתית כי הלכה למעשה, גם </w:t>
      </w:r>
      <w:r w:rsidRPr="005E32F9">
        <w:rPr>
          <w:rtl/>
        </w:rPr>
        <w:t>במשפט האמריקני</w:t>
      </w:r>
      <w:r>
        <w:rPr>
          <w:rFonts w:hint="cs"/>
          <w:rtl/>
        </w:rPr>
        <w:t xml:space="preserve"> ישנם ביטויים לגישה שיש לקחת בחשבון בגידה בין בני הזוג במסגרת חלוקת הרכוש ביניהם. </w:t>
      </w:r>
      <w:r w:rsidRPr="005E32F9">
        <w:rPr>
          <w:rFonts w:hint="cs"/>
          <w:rtl/>
        </w:rPr>
        <w:t>ב</w:t>
      </w:r>
      <w:r>
        <w:rPr>
          <w:rFonts w:hint="cs"/>
          <w:rtl/>
        </w:rPr>
        <w:t xml:space="preserve">שאלת </w:t>
      </w:r>
      <w:r w:rsidRPr="005E32F9">
        <w:rPr>
          <w:rFonts w:hint="cs"/>
          <w:rtl/>
        </w:rPr>
        <w:t xml:space="preserve">כללי חלוקת הרכוש בין בני הזוג, ניתן לחלק את </w:t>
      </w:r>
      <w:r>
        <w:rPr>
          <w:rFonts w:hint="cs"/>
          <w:rtl/>
        </w:rPr>
        <w:t xml:space="preserve">המשפט המדינתי </w:t>
      </w:r>
      <w:r w:rsidRPr="005E32F9">
        <w:rPr>
          <w:rFonts w:hint="cs"/>
          <w:rtl/>
        </w:rPr>
        <w:t xml:space="preserve">לשתי קבוצות עיקריות: (א) מדינות </w:t>
      </w:r>
      <w:r>
        <w:rPr>
          <w:rFonts w:hint="cs"/>
          <w:rtl/>
        </w:rPr>
        <w:t xml:space="preserve">הנוהגות </w:t>
      </w:r>
      <w:r w:rsidRPr="005E32F9">
        <w:rPr>
          <w:rFonts w:hint="cs"/>
          <w:rtl/>
        </w:rPr>
        <w:t xml:space="preserve">בהתאם למשפט המקובל, </w:t>
      </w:r>
      <w:r>
        <w:rPr>
          <w:rFonts w:hint="cs"/>
          <w:rtl/>
        </w:rPr>
        <w:t xml:space="preserve">המקיים </w:t>
      </w:r>
      <w:r w:rsidRPr="005E32F9">
        <w:rPr>
          <w:rFonts w:hint="cs"/>
          <w:rtl/>
        </w:rPr>
        <w:t xml:space="preserve">משטר של הפרדה </w:t>
      </w:r>
      <w:proofErr w:type="spellStart"/>
      <w:r w:rsidRPr="005E32F9">
        <w:rPr>
          <w:rFonts w:hint="cs"/>
          <w:rtl/>
        </w:rPr>
        <w:t>רכושית</w:t>
      </w:r>
      <w:proofErr w:type="spellEnd"/>
      <w:r>
        <w:rPr>
          <w:rFonts w:hint="cs"/>
          <w:rtl/>
        </w:rPr>
        <w:t xml:space="preserve"> בין בני הזוג</w:t>
      </w:r>
      <w:r w:rsidRPr="005E32F9">
        <w:rPr>
          <w:rFonts w:hint="cs"/>
          <w:rtl/>
        </w:rPr>
        <w:t>, שבו ברירת המחדל היא כי הרכוש נצבר לכל אחד מבני הזוג בנפרד</w:t>
      </w:r>
      <w:r>
        <w:rPr>
          <w:rFonts w:hint="cs"/>
          <w:rtl/>
        </w:rPr>
        <w:t>. ברם, בעת פירוד משטר יחסי הממון מתרחש מַעֲבָר ל</w:t>
      </w:r>
      <w:r w:rsidRPr="005E32F9">
        <w:rPr>
          <w:rFonts w:hint="cs"/>
          <w:rtl/>
        </w:rPr>
        <w:t xml:space="preserve">משטר של "חלוקה הוגנת", שבו </w:t>
      </w:r>
      <w:r>
        <w:rPr>
          <w:rFonts w:hint="cs"/>
          <w:rtl/>
        </w:rPr>
        <w:t xml:space="preserve">בדומה למשטר "איזון המשאבים" לפי סעיף 5(א) לחוק יחסי ממון בין בני זוג, התשל"ג-1973 (להלן: </w:t>
      </w:r>
      <w:r w:rsidRPr="003A27D9">
        <w:rPr>
          <w:rFonts w:ascii="Century" w:hAnsi="Century" w:cs="Miriam" w:hint="cs"/>
          <w:b/>
          <w:spacing w:val="0"/>
          <w:sz w:val="22"/>
          <w:szCs w:val="24"/>
          <w:rtl/>
        </w:rPr>
        <w:t>חוק יחסי ממון</w:t>
      </w:r>
      <w:r w:rsidRPr="003A27D9">
        <w:rPr>
          <w:rFonts w:hint="cs"/>
          <w:rtl/>
        </w:rPr>
        <w:t xml:space="preserve"> </w:t>
      </w:r>
      <w:r>
        <w:rPr>
          <w:rFonts w:hint="cs"/>
          <w:rtl/>
        </w:rPr>
        <w:t xml:space="preserve">או </w:t>
      </w:r>
      <w:r w:rsidRPr="00D4135D">
        <w:rPr>
          <w:rFonts w:ascii="Century" w:hAnsi="Century" w:cs="Miriam" w:hint="cs"/>
          <w:b/>
          <w:spacing w:val="0"/>
          <w:szCs w:val="24"/>
          <w:rtl/>
        </w:rPr>
        <w:t>החוק</w:t>
      </w:r>
      <w:r>
        <w:rPr>
          <w:rFonts w:hint="cs"/>
          <w:rtl/>
        </w:rPr>
        <w:t>),</w:t>
      </w:r>
      <w:r w:rsidRPr="005E32F9">
        <w:rPr>
          <w:rFonts w:hint="cs"/>
          <w:rtl/>
        </w:rPr>
        <w:t xml:space="preserve"> נערכת חלוקה של הנכסים על פי מגוון רחב של שיקולים; (ב) מדינות שבהן נ</w:t>
      </w:r>
      <w:r>
        <w:rPr>
          <w:rFonts w:hint="cs"/>
          <w:rtl/>
        </w:rPr>
        <w:t>והגת</w:t>
      </w:r>
      <w:r w:rsidRPr="005E32F9">
        <w:rPr>
          <w:rFonts w:hint="cs"/>
          <w:rtl/>
        </w:rPr>
        <w:t xml:space="preserve"> שיטת "החלוקה השווה"</w:t>
      </w:r>
      <w:r>
        <w:rPr>
          <w:rFonts w:hint="cs"/>
          <w:rtl/>
        </w:rPr>
        <w:t xml:space="preserve"> או "השיתוף הקהילתי"</w:t>
      </w:r>
      <w:r w:rsidRPr="005E32F9">
        <w:rPr>
          <w:rFonts w:hint="cs"/>
          <w:rtl/>
        </w:rPr>
        <w:t>, שבה הרכוש נתפס כמשותף וכמתחלק באופן שווה, הן במהלך תקופת הנישואין והן בסופה (</w:t>
      </w:r>
      <w:r>
        <w:rPr>
          <w:rFonts w:hint="cs"/>
          <w:rtl/>
        </w:rPr>
        <w:t xml:space="preserve">יצחק כהן </w:t>
      </w:r>
      <w:proofErr w:type="spellStart"/>
      <w:r>
        <w:rPr>
          <w:rFonts w:hint="cs"/>
          <w:rtl/>
        </w:rPr>
        <w:t>ואמל</w:t>
      </w:r>
      <w:proofErr w:type="spellEnd"/>
      <w:r>
        <w:rPr>
          <w:rFonts w:hint="cs"/>
          <w:rtl/>
        </w:rPr>
        <w:t xml:space="preserve"> </w:t>
      </w:r>
      <w:proofErr w:type="spellStart"/>
      <w:r>
        <w:rPr>
          <w:rFonts w:hint="cs"/>
          <w:rtl/>
        </w:rPr>
        <w:t>ג'בארין</w:t>
      </w:r>
      <w:proofErr w:type="spellEnd"/>
      <w:r>
        <w:rPr>
          <w:rFonts w:hint="cs"/>
          <w:rtl/>
        </w:rPr>
        <w:t xml:space="preserve"> "יחסים מחוץ לנישואין כשיקול בחלוקת הרכוש המשפחתי </w:t>
      </w:r>
      <w:r>
        <w:rPr>
          <w:rtl/>
        </w:rPr>
        <w:t>–</w:t>
      </w:r>
      <w:r>
        <w:rPr>
          <w:rFonts w:hint="cs"/>
          <w:rtl/>
        </w:rPr>
        <w:t xml:space="preserve"> עיון מחודש במשפט הישראלי" </w:t>
      </w:r>
      <w:r w:rsidRPr="004B2AEA">
        <w:rPr>
          <w:rFonts w:ascii="Century" w:hAnsi="Century" w:cs="Miriam" w:hint="cs"/>
          <w:b/>
          <w:spacing w:val="0"/>
          <w:szCs w:val="24"/>
          <w:rtl/>
        </w:rPr>
        <w:t>משפט ועסקים</w:t>
      </w:r>
      <w:r w:rsidRPr="004B2AEA">
        <w:rPr>
          <w:rFonts w:hint="cs"/>
          <w:rtl/>
        </w:rPr>
        <w:t xml:space="preserve"> </w:t>
      </w:r>
      <w:proofErr w:type="spellStart"/>
      <w:r>
        <w:rPr>
          <w:rFonts w:hint="cs"/>
          <w:rtl/>
        </w:rPr>
        <w:t>טז</w:t>
      </w:r>
      <w:proofErr w:type="spellEnd"/>
      <w:r>
        <w:rPr>
          <w:rFonts w:hint="cs"/>
          <w:rtl/>
        </w:rPr>
        <w:t xml:space="preserve"> 465, 495-484 (</w:t>
      </w:r>
      <w:proofErr w:type="spellStart"/>
      <w:r>
        <w:rPr>
          <w:rFonts w:hint="cs"/>
          <w:rtl/>
        </w:rPr>
        <w:t>התשע"ד</w:t>
      </w:r>
      <w:proofErr w:type="spellEnd"/>
      <w:r>
        <w:rPr>
          <w:rFonts w:hint="cs"/>
          <w:rtl/>
        </w:rPr>
        <w:t xml:space="preserve">) (להלן: </w:t>
      </w:r>
      <w:r w:rsidRPr="00785F79">
        <w:rPr>
          <w:rFonts w:ascii="Century" w:hAnsi="Century" w:cs="Miriam" w:hint="cs"/>
          <w:b/>
          <w:spacing w:val="0"/>
          <w:sz w:val="22"/>
          <w:szCs w:val="24"/>
          <w:rtl/>
        </w:rPr>
        <w:t xml:space="preserve">כהן </w:t>
      </w:r>
      <w:proofErr w:type="spellStart"/>
      <w:r w:rsidRPr="00785F79">
        <w:rPr>
          <w:rFonts w:ascii="Century" w:hAnsi="Century" w:cs="Miriam" w:hint="cs"/>
          <w:b/>
          <w:spacing w:val="0"/>
          <w:sz w:val="22"/>
          <w:szCs w:val="24"/>
          <w:rtl/>
        </w:rPr>
        <w:t>וג'בארין</w:t>
      </w:r>
      <w:proofErr w:type="spellEnd"/>
      <w:r>
        <w:rPr>
          <w:rFonts w:hint="cs"/>
          <w:rtl/>
        </w:rPr>
        <w:t>)</w:t>
      </w:r>
      <w:r w:rsidRPr="005E32F9">
        <w:rPr>
          <w:rFonts w:hint="cs"/>
          <w:rtl/>
        </w:rPr>
        <w:t xml:space="preserve">. </w:t>
      </w:r>
      <w:r>
        <w:rPr>
          <w:rFonts w:hint="cs"/>
          <w:rtl/>
        </w:rPr>
        <w:t xml:space="preserve">זאת, בדומה למשטר יחסי הממון לפי "הלכת השיתוף" (וראו לעניין משטר זה: ע"א 300/64 </w:t>
      </w:r>
      <w:r>
        <w:rPr>
          <w:rFonts w:ascii="Century" w:hAnsi="Century" w:cs="Miriam" w:hint="cs"/>
          <w:b/>
          <w:spacing w:val="0"/>
          <w:sz w:val="22"/>
          <w:szCs w:val="24"/>
          <w:rtl/>
        </w:rPr>
        <w:t>ברגר נ' מנהל מס</w:t>
      </w:r>
      <w:r w:rsidRPr="00785F79">
        <w:rPr>
          <w:rFonts w:ascii="Century" w:hAnsi="Century" w:cs="Miriam" w:hint="cs"/>
          <w:b/>
          <w:spacing w:val="0"/>
          <w:sz w:val="22"/>
          <w:szCs w:val="24"/>
          <w:rtl/>
        </w:rPr>
        <w:t xml:space="preserve"> </w:t>
      </w:r>
      <w:r>
        <w:rPr>
          <w:rFonts w:ascii="Century" w:hAnsi="Century" w:cs="Miriam" w:hint="cs"/>
          <w:b/>
          <w:spacing w:val="0"/>
          <w:sz w:val="22"/>
          <w:szCs w:val="24"/>
          <w:rtl/>
        </w:rPr>
        <w:t>ה</w:t>
      </w:r>
      <w:r w:rsidRPr="00785F79">
        <w:rPr>
          <w:rFonts w:ascii="Century" w:hAnsi="Century" w:cs="Miriam" w:hint="cs"/>
          <w:b/>
          <w:spacing w:val="0"/>
          <w:sz w:val="22"/>
          <w:szCs w:val="24"/>
          <w:rtl/>
        </w:rPr>
        <w:t>עיזבון</w:t>
      </w:r>
      <w:r>
        <w:rPr>
          <w:rFonts w:ascii="Century" w:hAnsi="Century" w:hint="cs"/>
          <w:sz w:val="22"/>
          <w:rtl/>
        </w:rPr>
        <w:t xml:space="preserve">, פ"ד </w:t>
      </w:r>
      <w:proofErr w:type="spellStart"/>
      <w:r>
        <w:rPr>
          <w:rFonts w:ascii="Century" w:hAnsi="Century" w:hint="cs"/>
          <w:sz w:val="22"/>
          <w:rtl/>
        </w:rPr>
        <w:t>יט</w:t>
      </w:r>
      <w:proofErr w:type="spellEnd"/>
      <w:r>
        <w:rPr>
          <w:rFonts w:ascii="Century" w:hAnsi="Century" w:hint="cs"/>
          <w:sz w:val="22"/>
          <w:rtl/>
        </w:rPr>
        <w:t xml:space="preserve">(2) 240 (1965); ע"א 253/65 </w:t>
      </w:r>
      <w:proofErr w:type="spellStart"/>
      <w:r>
        <w:rPr>
          <w:rFonts w:ascii="Century" w:hAnsi="Century" w:cs="Miriam" w:hint="cs"/>
          <w:b/>
          <w:spacing w:val="0"/>
          <w:sz w:val="22"/>
          <w:szCs w:val="24"/>
          <w:rtl/>
        </w:rPr>
        <w:t>בריקר</w:t>
      </w:r>
      <w:proofErr w:type="spellEnd"/>
      <w:r>
        <w:rPr>
          <w:rFonts w:ascii="Century" w:hAnsi="Century" w:cs="Miriam" w:hint="cs"/>
          <w:b/>
          <w:spacing w:val="0"/>
          <w:sz w:val="22"/>
          <w:szCs w:val="24"/>
          <w:rtl/>
        </w:rPr>
        <w:t xml:space="preserve"> נ' </w:t>
      </w:r>
      <w:proofErr w:type="spellStart"/>
      <w:r>
        <w:rPr>
          <w:rFonts w:ascii="Century" w:hAnsi="Century" w:cs="Miriam" w:hint="cs"/>
          <w:b/>
          <w:spacing w:val="0"/>
          <w:sz w:val="22"/>
          <w:szCs w:val="24"/>
          <w:rtl/>
        </w:rPr>
        <w:t>בריקר</w:t>
      </w:r>
      <w:proofErr w:type="spellEnd"/>
      <w:r>
        <w:rPr>
          <w:rFonts w:ascii="Century" w:hAnsi="Century" w:hint="cs"/>
          <w:sz w:val="22"/>
          <w:rtl/>
        </w:rPr>
        <w:t xml:space="preserve">, פ"ד כ(1) 589 (1966); ע"א 135/68 </w:t>
      </w:r>
      <w:r>
        <w:rPr>
          <w:rFonts w:ascii="Century" w:hAnsi="Century" w:cs="Miriam" w:hint="cs"/>
          <w:b/>
          <w:spacing w:val="0"/>
          <w:sz w:val="22"/>
          <w:szCs w:val="24"/>
          <w:rtl/>
        </w:rPr>
        <w:t>בראלי נ' מנהל מס עיזבון, ירושלים</w:t>
      </w:r>
      <w:r>
        <w:rPr>
          <w:rFonts w:ascii="Century" w:hAnsi="Century" w:hint="cs"/>
          <w:sz w:val="22"/>
          <w:rtl/>
        </w:rPr>
        <w:t xml:space="preserve">, פ"ד </w:t>
      </w:r>
      <w:proofErr w:type="spellStart"/>
      <w:r>
        <w:rPr>
          <w:rFonts w:ascii="Century" w:hAnsi="Century" w:hint="cs"/>
          <w:sz w:val="22"/>
          <w:rtl/>
        </w:rPr>
        <w:t>כג</w:t>
      </w:r>
      <w:proofErr w:type="spellEnd"/>
      <w:r>
        <w:rPr>
          <w:rFonts w:ascii="Century" w:hAnsi="Century" w:hint="cs"/>
          <w:sz w:val="22"/>
          <w:rtl/>
        </w:rPr>
        <w:t xml:space="preserve">(1) 393 (1969); ע"א 595/69 </w:t>
      </w:r>
      <w:proofErr w:type="spellStart"/>
      <w:r>
        <w:rPr>
          <w:rFonts w:ascii="Century" w:hAnsi="Century" w:cs="Miriam" w:hint="cs"/>
          <w:b/>
          <w:spacing w:val="0"/>
          <w:sz w:val="22"/>
          <w:szCs w:val="24"/>
          <w:rtl/>
        </w:rPr>
        <w:t>אפטה</w:t>
      </w:r>
      <w:proofErr w:type="spellEnd"/>
      <w:r>
        <w:rPr>
          <w:rFonts w:ascii="Century" w:hAnsi="Century" w:cs="Miriam" w:hint="cs"/>
          <w:b/>
          <w:spacing w:val="0"/>
          <w:sz w:val="22"/>
          <w:szCs w:val="24"/>
          <w:rtl/>
        </w:rPr>
        <w:t xml:space="preserve"> נ' </w:t>
      </w:r>
      <w:proofErr w:type="spellStart"/>
      <w:r>
        <w:rPr>
          <w:rFonts w:ascii="Century" w:hAnsi="Century" w:cs="Miriam" w:hint="cs"/>
          <w:b/>
          <w:spacing w:val="0"/>
          <w:sz w:val="22"/>
          <w:szCs w:val="24"/>
          <w:rtl/>
        </w:rPr>
        <w:t>אפטה</w:t>
      </w:r>
      <w:proofErr w:type="spellEnd"/>
      <w:r>
        <w:rPr>
          <w:rFonts w:ascii="Century" w:hAnsi="Century" w:hint="cs"/>
          <w:sz w:val="22"/>
          <w:rtl/>
        </w:rPr>
        <w:t xml:space="preserve">, פ"ד כה(1) 561 (1971); וראו עוד לעניין משטרי יחסי הממון בארצות הברית: ד' מינץ "השותפות </w:t>
      </w:r>
      <w:proofErr w:type="spellStart"/>
      <w:r>
        <w:rPr>
          <w:rFonts w:ascii="Century" w:hAnsi="Century" w:hint="cs"/>
          <w:sz w:val="22"/>
          <w:rtl/>
        </w:rPr>
        <w:t>הנישואית</w:t>
      </w:r>
      <w:proofErr w:type="spellEnd"/>
      <w:r>
        <w:rPr>
          <w:rFonts w:ascii="Century" w:hAnsi="Century" w:hint="cs"/>
          <w:sz w:val="22"/>
          <w:rtl/>
        </w:rPr>
        <w:t xml:space="preserve"> והערבות ההדדית בין בני זוג בפשיטת רגל </w:t>
      </w:r>
      <w:r>
        <w:rPr>
          <w:rFonts w:ascii="Century" w:hAnsi="Century"/>
          <w:sz w:val="22"/>
          <w:rtl/>
        </w:rPr>
        <w:t>–</w:t>
      </w:r>
      <w:r>
        <w:rPr>
          <w:rFonts w:ascii="Century" w:hAnsi="Century" w:hint="cs"/>
          <w:sz w:val="22"/>
          <w:rtl/>
        </w:rPr>
        <w:t xml:space="preserve"> עיון מחודש" </w:t>
      </w:r>
      <w:r>
        <w:rPr>
          <w:rFonts w:ascii="Century" w:hAnsi="Century" w:cs="Miriam" w:hint="cs"/>
          <w:b/>
          <w:spacing w:val="0"/>
          <w:sz w:val="22"/>
          <w:szCs w:val="24"/>
          <w:rtl/>
        </w:rPr>
        <w:t>דין ודברים</w:t>
      </w:r>
      <w:r>
        <w:rPr>
          <w:rFonts w:ascii="Century" w:hAnsi="Century" w:hint="cs"/>
          <w:sz w:val="22"/>
          <w:rtl/>
        </w:rPr>
        <w:t xml:space="preserve"> ט 105, 117 </w:t>
      </w:r>
      <w:proofErr w:type="spellStart"/>
      <w:r>
        <w:rPr>
          <w:rFonts w:ascii="Century" w:hAnsi="Century" w:hint="cs"/>
          <w:sz w:val="22"/>
          <w:rtl/>
        </w:rPr>
        <w:t>ה"ש</w:t>
      </w:r>
      <w:proofErr w:type="spellEnd"/>
      <w:r>
        <w:rPr>
          <w:rFonts w:ascii="Century" w:hAnsi="Century" w:hint="cs"/>
          <w:sz w:val="22"/>
          <w:rtl/>
        </w:rPr>
        <w:t xml:space="preserve"> 58 (</w:t>
      </w:r>
      <w:proofErr w:type="spellStart"/>
      <w:r>
        <w:rPr>
          <w:rFonts w:ascii="Century" w:hAnsi="Century" w:hint="cs"/>
          <w:sz w:val="22"/>
          <w:rtl/>
        </w:rPr>
        <w:t>התשע"ו</w:t>
      </w:r>
      <w:proofErr w:type="spellEnd"/>
      <w:r>
        <w:rPr>
          <w:rFonts w:ascii="Century" w:hAnsi="Century" w:hint="cs"/>
          <w:sz w:val="22"/>
          <w:rtl/>
        </w:rPr>
        <w:t>)).</w:t>
      </w:r>
      <w:r>
        <w:rPr>
          <w:rFonts w:ascii="Century" w:hAnsi="Century" w:cs="Miriam" w:hint="cs"/>
          <w:b/>
          <w:spacing w:val="0"/>
          <w:sz w:val="22"/>
          <w:szCs w:val="24"/>
          <w:rtl/>
        </w:rPr>
        <w:t xml:space="preserve"> </w:t>
      </w:r>
      <w:r w:rsidRPr="00373408">
        <w:rPr>
          <w:rFonts w:ascii="Century" w:hAnsi="Century" w:hint="cs"/>
          <w:sz w:val="22"/>
          <w:rtl/>
        </w:rPr>
        <w:t>הלכה</w:t>
      </w:r>
      <w:r w:rsidRPr="00AF18AA">
        <w:rPr>
          <w:rFonts w:hint="cs"/>
          <w:rtl/>
        </w:rPr>
        <w:t xml:space="preserve"> </w:t>
      </w:r>
      <w:r w:rsidRPr="005E32F9">
        <w:rPr>
          <w:rFonts w:hint="cs"/>
          <w:rtl/>
        </w:rPr>
        <w:t>למעשה, גם המדינות שבהן נהגה שיטת "החלוקה השווה" אימצו את דוקטרינת "החלוקה ההוגנת" לצורך חלוקת הנכסים לאחר תום יחסי הנישואין, ואולם הגישות השונות שעומדות בבסיס השיטה המשפטית של כל אחת מהמדינות השפיעו על אופן היישום של דוקטרינת החלוקה ההוגנת.</w:t>
      </w:r>
    </w:p>
    <w:p w:rsidR="00FF0D41" w:rsidRDefault="00FF0D41" w:rsidP="00FF0D41">
      <w:pPr>
        <w:pStyle w:val="Ruller4"/>
        <w:numPr>
          <w:ilvl w:val="0"/>
          <w:numId w:val="0"/>
        </w:numPr>
      </w:pPr>
    </w:p>
    <w:p w:rsidR="00FF0D41" w:rsidRDefault="00FF0D41" w:rsidP="00FF0D41">
      <w:pPr>
        <w:pStyle w:val="Ruller4"/>
        <w:numPr>
          <w:ilvl w:val="0"/>
          <w:numId w:val="0"/>
        </w:numPr>
        <w:tabs>
          <w:tab w:val="left" w:pos="720"/>
        </w:tabs>
        <w:rPr>
          <w:rtl/>
        </w:rPr>
      </w:pPr>
      <w:r>
        <w:rPr>
          <w:rtl/>
        </w:rPr>
        <w:tab/>
      </w:r>
      <w:r>
        <w:rPr>
          <w:rFonts w:hint="cs"/>
          <w:rtl/>
        </w:rPr>
        <w:t xml:space="preserve">כך, </w:t>
      </w:r>
      <w:r w:rsidRPr="005E32F9">
        <w:rPr>
          <w:rFonts w:hint="cs"/>
          <w:rtl/>
        </w:rPr>
        <w:t xml:space="preserve">במדינות שבהן נהג בעבר המשפט המקובל, במסגרת יישום </w:t>
      </w:r>
      <w:r>
        <w:rPr>
          <w:rFonts w:hint="cs"/>
          <w:rtl/>
        </w:rPr>
        <w:t>"</w:t>
      </w:r>
      <w:r w:rsidRPr="005E32F9">
        <w:rPr>
          <w:rFonts w:hint="cs"/>
          <w:rtl/>
        </w:rPr>
        <w:t>החלוקה ההוגנת</w:t>
      </w:r>
      <w:r>
        <w:rPr>
          <w:rFonts w:hint="cs"/>
          <w:rtl/>
        </w:rPr>
        <w:t>"</w:t>
      </w:r>
      <w:r w:rsidRPr="005E32F9">
        <w:rPr>
          <w:rFonts w:hint="cs"/>
          <w:rtl/>
        </w:rPr>
        <w:t xml:space="preserve"> בין בני הזוג, נוטה בית המשפט להתחשב גם </w:t>
      </w:r>
      <w:r>
        <w:rPr>
          <w:rFonts w:hint="cs"/>
          <w:rtl/>
        </w:rPr>
        <w:t xml:space="preserve">ב"שיקולי אשם" </w:t>
      </w:r>
      <w:r w:rsidRPr="005E32F9">
        <w:rPr>
          <w:rFonts w:hint="cs"/>
          <w:rtl/>
        </w:rPr>
        <w:t>(</w:t>
      </w:r>
      <w:r w:rsidRPr="00785F79">
        <w:rPr>
          <w:rFonts w:ascii="Century" w:hAnsi="Century" w:cs="Miriam" w:hint="cs"/>
          <w:b/>
          <w:spacing w:val="0"/>
          <w:sz w:val="22"/>
          <w:szCs w:val="24"/>
          <w:rtl/>
        </w:rPr>
        <w:t xml:space="preserve">כהן </w:t>
      </w:r>
      <w:proofErr w:type="spellStart"/>
      <w:r w:rsidRPr="00785F79">
        <w:rPr>
          <w:rFonts w:ascii="Century" w:hAnsi="Century" w:cs="Miriam" w:hint="cs"/>
          <w:b/>
          <w:spacing w:val="0"/>
          <w:sz w:val="22"/>
          <w:szCs w:val="24"/>
          <w:rtl/>
        </w:rPr>
        <w:t>וג'בארין</w:t>
      </w:r>
      <w:proofErr w:type="spellEnd"/>
      <w:r>
        <w:rPr>
          <w:rFonts w:hint="cs"/>
          <w:rtl/>
        </w:rPr>
        <w:t xml:space="preserve">, </w:t>
      </w:r>
      <w:r w:rsidRPr="005E32F9">
        <w:rPr>
          <w:rFonts w:hint="cs"/>
          <w:rtl/>
        </w:rPr>
        <w:t>עמ' 492). כך</w:t>
      </w:r>
      <w:r>
        <w:rPr>
          <w:rFonts w:hint="cs"/>
          <w:rtl/>
        </w:rPr>
        <w:t xml:space="preserve"> למשל</w:t>
      </w:r>
      <w:r w:rsidRPr="005E32F9">
        <w:rPr>
          <w:rFonts w:hint="cs"/>
          <w:rtl/>
        </w:rPr>
        <w:t xml:space="preserve">, </w:t>
      </w:r>
      <w:r>
        <w:rPr>
          <w:rFonts w:hint="cs"/>
          <w:rtl/>
        </w:rPr>
        <w:t xml:space="preserve">לא פעם בית המשפט קבע כי האישה תקבל יותר ממחצית מהרכוש המשותף, לאחר שהתברר כי הבעל בגד בה במשך השנים (ראו לדוגמה </w:t>
      </w:r>
      <w:r w:rsidRPr="005E32F9">
        <w:rPr>
          <w:rFonts w:hint="cs"/>
          <w:rtl/>
        </w:rPr>
        <w:t>ב</w:t>
      </w:r>
      <w:r>
        <w:rPr>
          <w:rFonts w:hint="cs"/>
          <w:rtl/>
        </w:rPr>
        <w:t>מדינות ו</w:t>
      </w:r>
      <w:r w:rsidRPr="005E32F9">
        <w:rPr>
          <w:rFonts w:hint="cs"/>
          <w:rtl/>
        </w:rPr>
        <w:t>ירג'יניה ומיזורי</w:t>
      </w:r>
      <w:r>
        <w:rPr>
          <w:rFonts w:hint="cs"/>
          <w:rtl/>
        </w:rPr>
        <w:t>: (</w:t>
      </w:r>
      <w:r w:rsidRPr="005E32F9">
        <w:t>O'Loughlin v. O'Loughlin, 458 S.E.2d 323 (Va. Ct. App. 1995)</w:t>
      </w:r>
      <w:r>
        <w:t xml:space="preserve">; </w:t>
      </w:r>
      <w:r w:rsidRPr="005E32F9">
        <w:t>Huber v.</w:t>
      </w:r>
      <w:r>
        <w:t xml:space="preserve"> H</w:t>
      </w:r>
      <w:r w:rsidRPr="005E32F9">
        <w:t>uber, 682 S.W.2d 493 (Mo. Ct. App. E.D. 1984)</w:t>
      </w:r>
      <w:r>
        <w:t xml:space="preserve">; </w:t>
      </w:r>
      <w:r w:rsidRPr="003E55A2">
        <w:t>Finch v. Finch, 442 S.W.3d 209 (Mo. Ct. App. 2014)</w:t>
      </w:r>
      <w:r>
        <w:rPr>
          <w:rFonts w:hint="cs"/>
          <w:rtl/>
        </w:rPr>
        <w:t>). במקרה אחר בית המשפט הבהיר כי במצב בו הבגידה עמדה בבסיס הרקע לפרידה, לא נפל פגם בהתחשבות בה במסגרת חלוקת הרכוש (</w:t>
      </w:r>
      <w:r>
        <w:t>Pence v. Pence (Va. Ct. App. 2016)</w:t>
      </w:r>
      <w:r>
        <w:rPr>
          <w:rFonts w:ascii="FrankRuehl" w:hAnsi="FrankRuehl" w:hint="cs"/>
          <w:sz w:val="28"/>
          <w:rtl/>
        </w:rPr>
        <w:t>)</w:t>
      </w:r>
      <w:r>
        <w:rPr>
          <w:rFonts w:hint="cs"/>
          <w:rtl/>
        </w:rPr>
        <w:t xml:space="preserve"> (פורסם ב-</w:t>
      </w:r>
      <w:r>
        <w:t>Westlaw</w:t>
      </w:r>
      <w:r>
        <w:rPr>
          <w:rFonts w:hint="cs"/>
          <w:rtl/>
        </w:rPr>
        <w:t xml:space="preserve">). </w:t>
      </w:r>
      <w:r w:rsidRPr="005E32F9">
        <w:rPr>
          <w:rFonts w:hint="cs"/>
          <w:rtl/>
        </w:rPr>
        <w:t>במקרה אחר, ב</w:t>
      </w:r>
      <w:r>
        <w:rPr>
          <w:rFonts w:hint="cs"/>
          <w:rtl/>
        </w:rPr>
        <w:t xml:space="preserve">מדינת </w:t>
      </w:r>
      <w:r w:rsidRPr="005E32F9">
        <w:rPr>
          <w:rFonts w:hint="cs"/>
          <w:rtl/>
        </w:rPr>
        <w:t xml:space="preserve">מישיגן </w:t>
      </w:r>
      <w:r>
        <w:rPr>
          <w:rFonts w:hint="cs"/>
          <w:rtl/>
        </w:rPr>
        <w:t xml:space="preserve">אף </w:t>
      </w:r>
      <w:r w:rsidRPr="005E32F9">
        <w:rPr>
          <w:rFonts w:hint="cs"/>
          <w:rtl/>
        </w:rPr>
        <w:t xml:space="preserve">נקבע כי האישה תקבל רק רבע מהרכוש, עקב </w:t>
      </w:r>
      <w:r>
        <w:rPr>
          <w:rFonts w:hint="cs"/>
          <w:rtl/>
        </w:rPr>
        <w:t>בגידתה בבעלה</w:t>
      </w:r>
      <w:r w:rsidRPr="005E32F9">
        <w:rPr>
          <w:rFonts w:hint="cs"/>
          <w:rtl/>
        </w:rPr>
        <w:t xml:space="preserve">, אם כי בערכאת הערעור </w:t>
      </w:r>
      <w:r w:rsidRPr="005E32F9">
        <w:rPr>
          <w:rFonts w:hint="cs"/>
          <w:rtl/>
        </w:rPr>
        <w:lastRenderedPageBreak/>
        <w:t>נקבע כי היה על בית המשפט להתחשב בשיקולים נוספים (</w:t>
      </w:r>
      <w:r w:rsidRPr="005E32F9">
        <w:t>Sparks v. Sparks, 485 N.W.2d 893, 909 (Mich. 1992)</w:t>
      </w:r>
      <w:r w:rsidRPr="005E32F9">
        <w:rPr>
          <w:rFonts w:hint="cs"/>
          <w:rtl/>
        </w:rPr>
        <w:t>).</w:t>
      </w:r>
      <w:r>
        <w:rPr>
          <w:rFonts w:hint="cs"/>
          <w:rtl/>
        </w:rPr>
        <w:t xml:space="preserve"> רוצה לומר כי לא בית הדין הרבני בענייננו הוא זה ש"הגה" את הרעיון שיש לקחת בחשבון את הנאמנות המינית של בני הזוג בעת חלוקת הרכוש ביניהם (אם כי לא מפאת אשמה), אלא ההלכה קנתה לה שבת לא רק בישראל, אלא גם במדינות נאורות אחרות מעבר לים.</w:t>
      </w:r>
    </w:p>
    <w:p w:rsidR="00FF0D41" w:rsidRDefault="00FF0D41" w:rsidP="00FF0D41">
      <w:pPr>
        <w:pStyle w:val="Ruller41"/>
      </w:pPr>
    </w:p>
    <w:p w:rsidR="00FF0D41" w:rsidRDefault="00FF0D41" w:rsidP="00FF0D41">
      <w:pPr>
        <w:pStyle w:val="Ruller4"/>
        <w:rPr>
          <w:rtl/>
        </w:rPr>
      </w:pPr>
      <w:r>
        <w:rPr>
          <w:rFonts w:hint="cs"/>
          <w:rtl/>
        </w:rPr>
        <w:t xml:space="preserve">ובחזרה לענייננו. לא ניתן להתעלם מכך שמדובר באחד מסוגי הנכסים המוחרגים מכלל איזון המשאבים הקבוע בסעיף 5(א) לחוק, על פיו עם התרת הנישואין, זכאי כל אחד מבני הזוג למחצית שווים של כלל נכסי בני הזוג. שכן, מדובר בנכס שנבנה על מגרש שקיבל הבעל בירושה טרם נשואיו, במימונו של הבעל טרם הנישואים, ומאז הוא נשאר רשום כבעליו הבלעדי. לשם הכרה בשיתוף בנכס מסוג זה, יש להוכיח כוונת שיתוף ספציפית על יסוד הדין הכללי. נטל ההוכחה מוטל בהקשר זה על הטוען לכוונת השיתוף, כאשר מדובר בשאלה עובדתית תלוית נסיבות קונקרטיות (ראו למשל: בע"מ 1398/11 </w:t>
      </w:r>
      <w:r w:rsidRPr="00993F20">
        <w:rPr>
          <w:rFonts w:ascii="Century" w:hAnsi="Century" w:cs="Miriam" w:hint="cs"/>
          <w:b/>
          <w:spacing w:val="0"/>
          <w:szCs w:val="24"/>
          <w:rtl/>
        </w:rPr>
        <w:t>אלמונית נ' אלמוני</w:t>
      </w:r>
      <w:r>
        <w:rPr>
          <w:rFonts w:hint="cs"/>
          <w:rtl/>
        </w:rPr>
        <w:t xml:space="preserve">, פסקה 14 (26.12.2012) (להלן: </w:t>
      </w:r>
      <w:r w:rsidRPr="00AD3941">
        <w:rPr>
          <w:rFonts w:ascii="Century" w:hAnsi="Century" w:cs="Miriam" w:hint="cs"/>
          <w:b/>
          <w:spacing w:val="0"/>
          <w:sz w:val="22"/>
          <w:szCs w:val="24"/>
          <w:rtl/>
        </w:rPr>
        <w:t>בע"מ 1398/11</w:t>
      </w:r>
      <w:r>
        <w:rPr>
          <w:rFonts w:hint="cs"/>
          <w:rtl/>
        </w:rPr>
        <w:t xml:space="preserve">); בע"מ 2991/13 </w:t>
      </w:r>
      <w:r w:rsidRPr="00993F20">
        <w:rPr>
          <w:rFonts w:ascii="Century" w:hAnsi="Century" w:cs="Miriam" w:hint="cs"/>
          <w:b/>
          <w:spacing w:val="0"/>
          <w:szCs w:val="24"/>
          <w:rtl/>
        </w:rPr>
        <w:t xml:space="preserve">פלונית נ' פלוני </w:t>
      </w:r>
      <w:r>
        <w:rPr>
          <w:rFonts w:hint="cs"/>
          <w:rtl/>
        </w:rPr>
        <w:t xml:space="preserve">(21.8.2013); ע"א 4306/12 </w:t>
      </w:r>
      <w:r w:rsidRPr="003C3454">
        <w:rPr>
          <w:rFonts w:ascii="Century" w:hAnsi="Century" w:cs="Miriam" w:hint="cs"/>
          <w:b/>
          <w:spacing w:val="0"/>
          <w:szCs w:val="24"/>
          <w:rtl/>
        </w:rPr>
        <w:t>פלונית נ' בנק לאומי לישראל</w:t>
      </w:r>
      <w:r>
        <w:rPr>
          <w:rFonts w:hint="cs"/>
          <w:rtl/>
        </w:rPr>
        <w:t xml:space="preserve">, פסקה 15 (15.7.2018)). </w:t>
      </w:r>
    </w:p>
    <w:p w:rsidR="00FF0D41" w:rsidRDefault="00FF0D41" w:rsidP="00FF0D41">
      <w:pPr>
        <w:pStyle w:val="Ruller41"/>
        <w:rPr>
          <w:rtl/>
        </w:rPr>
      </w:pPr>
    </w:p>
    <w:p w:rsidR="00FF0D41" w:rsidRDefault="00FF0D41" w:rsidP="00FF0D41">
      <w:pPr>
        <w:pStyle w:val="Ruller4"/>
        <w:rPr>
          <w:rtl/>
        </w:rPr>
      </w:pPr>
      <w:r>
        <w:rPr>
          <w:rFonts w:hint="cs"/>
          <w:rtl/>
        </w:rPr>
        <w:t>לצורך הוכחת כוונת שיתוף ספציפית כאמור, יש להצביע על "דבר מה נוסף" מלבד חיים משותפים ונישואין ממושכים, כאשר "בכך נבדל בסוגיה זו ההסדר הקבוע בחוק יחסי ממון מחזקת השיתוף, ויש להקפיד לא לטשטש את הגבול עד כדי ביטולו כליל" (</w:t>
      </w:r>
      <w:r w:rsidRPr="00AD3941">
        <w:rPr>
          <w:rFonts w:ascii="Century" w:hAnsi="Century" w:cs="Miriam" w:hint="cs"/>
          <w:b/>
          <w:spacing w:val="0"/>
          <w:sz w:val="22"/>
          <w:szCs w:val="24"/>
          <w:rtl/>
        </w:rPr>
        <w:t>בע"מ 1398/11</w:t>
      </w:r>
      <w:r w:rsidRPr="0070751A">
        <w:rPr>
          <w:rFonts w:hint="cs"/>
          <w:rtl/>
        </w:rPr>
        <w:t>, פסקה 18</w:t>
      </w:r>
      <w:r>
        <w:rPr>
          <w:rFonts w:hint="cs"/>
          <w:rtl/>
        </w:rPr>
        <w:t xml:space="preserve">). הוא הדין גם כאשר מדובר בדירת מגורים, לגביה נפסק כי גם אם ניתן להקל על בן הזוג הטוען לבעלות משותפת בדירת המגורים הרשומה רק על שמו של בן זוגו, עדיין לא די בעצם קיומם של חיי נישואים משותפים שלהם, שאם לא כן, "נמצאת מכניס בדלת אחורית את חזקת השיתוף" (רע"א 8672/00 </w:t>
      </w:r>
      <w:r w:rsidRPr="00CE15A2">
        <w:rPr>
          <w:rFonts w:ascii="Century" w:hAnsi="Century" w:cs="Miriam" w:hint="cs"/>
          <w:b/>
          <w:spacing w:val="0"/>
          <w:szCs w:val="24"/>
          <w:rtl/>
        </w:rPr>
        <w:t>אבו רומי נ' אבו רומי</w:t>
      </w:r>
      <w:r>
        <w:rPr>
          <w:rFonts w:hint="cs"/>
          <w:rtl/>
        </w:rPr>
        <w:t xml:space="preserve">, פ"ד נו(6) 175, 183 (2002)). ראיות רלוונטיות לעניין זה עשויות להיות קשורות למועד רכישת הדירה; מקורות המימון לרכישתה ובכלל זה האם ניטלה הלוואה בגינה נרשמה משכנתא על הדירה אשר שולמה על ידי בני הזוג במשותף; השתתפות בן הזוג בשיפוץ הדירה או בהרחבתה; אורך חיי הנישואין; התנהגות הצדדים; המצג שהציגו האחד כלפי השני; וכיו"ב (ע"א 7750/10 </w:t>
      </w:r>
      <w:r w:rsidRPr="003E1187">
        <w:rPr>
          <w:rFonts w:ascii="Century" w:hAnsi="Century" w:cs="Miriam" w:hint="cs"/>
          <w:b/>
          <w:spacing w:val="0"/>
          <w:szCs w:val="24"/>
          <w:rtl/>
        </w:rPr>
        <w:t xml:space="preserve">בן </w:t>
      </w:r>
      <w:proofErr w:type="spellStart"/>
      <w:r w:rsidRPr="003E1187">
        <w:rPr>
          <w:rFonts w:ascii="Century" w:hAnsi="Century" w:cs="Miriam" w:hint="cs"/>
          <w:b/>
          <w:spacing w:val="0"/>
          <w:szCs w:val="24"/>
          <w:rtl/>
        </w:rPr>
        <w:t>גיאת</w:t>
      </w:r>
      <w:proofErr w:type="spellEnd"/>
      <w:r w:rsidRPr="003E1187">
        <w:rPr>
          <w:rFonts w:ascii="Century" w:hAnsi="Century" w:cs="Miriam" w:hint="cs"/>
          <w:b/>
          <w:spacing w:val="0"/>
          <w:szCs w:val="24"/>
          <w:rtl/>
        </w:rPr>
        <w:t xml:space="preserve"> </w:t>
      </w:r>
      <w:r>
        <w:rPr>
          <w:rFonts w:ascii="Century" w:hAnsi="Century" w:cs="Miriam" w:hint="cs"/>
          <w:b/>
          <w:spacing w:val="0"/>
          <w:szCs w:val="24"/>
          <w:rtl/>
        </w:rPr>
        <w:t xml:space="preserve">נ' </w:t>
      </w:r>
      <w:r w:rsidRPr="003E1187">
        <w:rPr>
          <w:rFonts w:ascii="Century" w:hAnsi="Century" w:cs="Miriam" w:hint="cs"/>
          <w:b/>
          <w:spacing w:val="0"/>
          <w:szCs w:val="24"/>
          <w:rtl/>
        </w:rPr>
        <w:t>הכשרת היישוב ביטוח</w:t>
      </w:r>
      <w:r>
        <w:rPr>
          <w:rFonts w:ascii="Century" w:hAnsi="Century" w:cs="Miriam" w:hint="cs"/>
          <w:b/>
          <w:spacing w:val="0"/>
          <w:szCs w:val="24"/>
          <w:rtl/>
        </w:rPr>
        <w:t xml:space="preserve"> בע"מ</w:t>
      </w:r>
      <w:r>
        <w:rPr>
          <w:rFonts w:hint="cs"/>
          <w:rtl/>
        </w:rPr>
        <w:t xml:space="preserve">, פסקה 13 לפסק דינו של השופט </w:t>
      </w:r>
      <w:r w:rsidRPr="003E1187">
        <w:rPr>
          <w:rFonts w:ascii="Century" w:hAnsi="Century" w:cs="Miriam" w:hint="cs"/>
          <w:b/>
          <w:spacing w:val="0"/>
          <w:szCs w:val="24"/>
          <w:rtl/>
        </w:rPr>
        <w:t>י' עמית</w:t>
      </w:r>
      <w:r>
        <w:rPr>
          <w:rFonts w:hint="cs"/>
          <w:rtl/>
        </w:rPr>
        <w:t xml:space="preserve">, פסקאות ו'-ז' לפסק דינו של השופט (כתוארו אז) </w:t>
      </w:r>
      <w:r w:rsidRPr="003E1187">
        <w:rPr>
          <w:rFonts w:ascii="Century" w:hAnsi="Century" w:cs="Miriam" w:hint="cs"/>
          <w:b/>
          <w:spacing w:val="0"/>
          <w:szCs w:val="24"/>
          <w:rtl/>
        </w:rPr>
        <w:t xml:space="preserve">א' רובינשטיין </w:t>
      </w:r>
      <w:r>
        <w:rPr>
          <w:rFonts w:hint="cs"/>
          <w:rtl/>
        </w:rPr>
        <w:t xml:space="preserve">(11.8.2011) (להלן: עניין </w:t>
      </w:r>
      <w:r w:rsidRPr="00811AEB">
        <w:rPr>
          <w:rFonts w:ascii="Century" w:hAnsi="Century" w:cs="Miriam" w:hint="cs"/>
          <w:b/>
          <w:spacing w:val="0"/>
          <w:szCs w:val="24"/>
          <w:rtl/>
        </w:rPr>
        <w:t xml:space="preserve">בן </w:t>
      </w:r>
      <w:proofErr w:type="spellStart"/>
      <w:r w:rsidRPr="00811AEB">
        <w:rPr>
          <w:rFonts w:ascii="Century" w:hAnsi="Century" w:cs="Miriam" w:hint="cs"/>
          <w:b/>
          <w:spacing w:val="0"/>
          <w:szCs w:val="24"/>
          <w:rtl/>
        </w:rPr>
        <w:t>גיאת</w:t>
      </w:r>
      <w:proofErr w:type="spellEnd"/>
      <w:r>
        <w:rPr>
          <w:rFonts w:hint="cs"/>
          <w:rtl/>
        </w:rPr>
        <w:t xml:space="preserve">); </w:t>
      </w:r>
      <w:r w:rsidRPr="00AD3941">
        <w:rPr>
          <w:rFonts w:ascii="Century" w:hAnsi="Century" w:cs="Miriam" w:hint="cs"/>
          <w:b/>
          <w:spacing w:val="0"/>
          <w:sz w:val="22"/>
          <w:szCs w:val="24"/>
          <w:rtl/>
        </w:rPr>
        <w:t>בע"מ 1398/11</w:t>
      </w:r>
      <w:r>
        <w:rPr>
          <w:rFonts w:hint="cs"/>
          <w:rtl/>
        </w:rPr>
        <w:t xml:space="preserve">, פסקאות 16-13 לפסק דינו של השופט </w:t>
      </w:r>
      <w:r w:rsidRPr="009B289A">
        <w:rPr>
          <w:rFonts w:ascii="Century" w:hAnsi="Century" w:cs="Miriam" w:hint="cs"/>
          <w:b/>
          <w:spacing w:val="0"/>
          <w:szCs w:val="24"/>
          <w:rtl/>
        </w:rPr>
        <w:t xml:space="preserve">י' </w:t>
      </w:r>
      <w:proofErr w:type="spellStart"/>
      <w:r w:rsidRPr="009B289A">
        <w:rPr>
          <w:rFonts w:ascii="Century" w:hAnsi="Century" w:cs="Miriam" w:hint="cs"/>
          <w:b/>
          <w:spacing w:val="0"/>
          <w:szCs w:val="24"/>
          <w:rtl/>
        </w:rPr>
        <w:t>דנציגר</w:t>
      </w:r>
      <w:proofErr w:type="spellEnd"/>
      <w:r>
        <w:rPr>
          <w:rFonts w:hint="cs"/>
          <w:rtl/>
        </w:rPr>
        <w:t xml:space="preserve"> ופסק דינו של השופט </w:t>
      </w:r>
      <w:r w:rsidRPr="009B289A">
        <w:rPr>
          <w:rFonts w:ascii="Century" w:hAnsi="Century" w:cs="Miriam" w:hint="cs"/>
          <w:b/>
          <w:spacing w:val="0"/>
          <w:szCs w:val="24"/>
          <w:rtl/>
        </w:rPr>
        <w:t>י' עמית</w:t>
      </w:r>
      <w:r>
        <w:rPr>
          <w:rFonts w:hint="cs"/>
          <w:rtl/>
        </w:rPr>
        <w:t xml:space="preserve">; בג"ץ 287/16 </w:t>
      </w:r>
      <w:r w:rsidRPr="003E1187">
        <w:rPr>
          <w:rFonts w:ascii="Century" w:hAnsi="Century" w:cs="Miriam" w:hint="cs"/>
          <w:b/>
          <w:spacing w:val="0"/>
          <w:szCs w:val="24"/>
          <w:rtl/>
        </w:rPr>
        <w:t>פלוני נ' בית הדין הרבני הגדול בירושלים</w:t>
      </w:r>
      <w:r>
        <w:rPr>
          <w:rFonts w:hint="cs"/>
          <w:rtl/>
        </w:rPr>
        <w:t xml:space="preserve">, פסקה 14 (27.3.2016)). </w:t>
      </w:r>
      <w:proofErr w:type="spellStart"/>
      <w:r>
        <w:rPr>
          <w:rFonts w:hint="cs"/>
          <w:rtl/>
        </w:rPr>
        <w:t>בבע"מ</w:t>
      </w:r>
      <w:proofErr w:type="spellEnd"/>
      <w:r>
        <w:rPr>
          <w:rFonts w:hint="cs"/>
          <w:rtl/>
        </w:rPr>
        <w:t xml:space="preserve"> 1398/11 אף צוין כי במרבית המקרים בהם קיבלו בתי המשפט את טענת השיתוף, הוכח כי בוצעו השקעות </w:t>
      </w:r>
      <w:r>
        <w:rPr>
          <w:rFonts w:hint="cs"/>
          <w:rtl/>
        </w:rPr>
        <w:lastRenderedPageBreak/>
        <w:t xml:space="preserve">כספיות בנכס </w:t>
      </w:r>
      <w:proofErr w:type="spellStart"/>
      <w:r>
        <w:rPr>
          <w:rFonts w:hint="cs"/>
          <w:rtl/>
        </w:rPr>
        <w:t>מצידו</w:t>
      </w:r>
      <w:proofErr w:type="spellEnd"/>
      <w:r>
        <w:rPr>
          <w:rFonts w:hint="cs"/>
          <w:rtl/>
        </w:rPr>
        <w:t xml:space="preserve"> של בן הזוג הטוען לשיתוף (שם, פסקה 17 לפסק דינו של השופט </w:t>
      </w:r>
      <w:r w:rsidRPr="009B289A">
        <w:rPr>
          <w:rFonts w:ascii="Century" w:hAnsi="Century" w:cs="Miriam" w:hint="cs"/>
          <w:b/>
          <w:spacing w:val="0"/>
          <w:szCs w:val="24"/>
          <w:rtl/>
        </w:rPr>
        <w:t xml:space="preserve">י' </w:t>
      </w:r>
      <w:proofErr w:type="spellStart"/>
      <w:r w:rsidRPr="009B289A">
        <w:rPr>
          <w:rFonts w:ascii="Century" w:hAnsi="Century" w:cs="Miriam" w:hint="cs"/>
          <w:b/>
          <w:spacing w:val="0"/>
          <w:szCs w:val="24"/>
          <w:rtl/>
        </w:rPr>
        <w:t>דנציגר</w:t>
      </w:r>
      <w:proofErr w:type="spellEnd"/>
      <w:r>
        <w:rPr>
          <w:rFonts w:hint="cs"/>
          <w:rtl/>
        </w:rPr>
        <w:t>).</w:t>
      </w:r>
    </w:p>
    <w:p w:rsidR="00FF0D41" w:rsidRDefault="00FF0D41" w:rsidP="00FF0D41">
      <w:pPr>
        <w:pStyle w:val="Ruller41"/>
        <w:rPr>
          <w:rtl/>
        </w:rPr>
      </w:pPr>
    </w:p>
    <w:p w:rsidR="00FF0D41" w:rsidRDefault="00FF0D41" w:rsidP="00FF0D41">
      <w:pPr>
        <w:pStyle w:val="Ruller4"/>
        <w:rPr>
          <w:rtl/>
        </w:rPr>
      </w:pPr>
      <w:r>
        <w:rPr>
          <w:rFonts w:hint="cs"/>
          <w:rtl/>
        </w:rPr>
        <w:t xml:space="preserve">מכל מקום, הנחת היסוד היא כאמור שמדובר בשאלה עובדתית מובהקת, שההכרעה בה נתונה בראש ובראשונה לערכאה הדיונית (ראו למשל: בע"מ 2948/07 </w:t>
      </w:r>
      <w:r w:rsidRPr="006675AC">
        <w:rPr>
          <w:rFonts w:ascii="Century" w:hAnsi="Century" w:cs="Miriam" w:hint="cs"/>
          <w:b/>
          <w:spacing w:val="0"/>
          <w:szCs w:val="24"/>
          <w:rtl/>
        </w:rPr>
        <w:t>פלונית נ' פלוני</w:t>
      </w:r>
      <w:r>
        <w:rPr>
          <w:rFonts w:hint="cs"/>
          <w:rtl/>
        </w:rPr>
        <w:t xml:space="preserve">, פסקה ו (18.4.2007)). שאלת היקפו של השיתוף הספציפי היא הרבה פעמים שאלה עובדתית מורכבת, אשר אין "נוסחת קסם" ברורה וקבועה לפתרונה (בע"מ 9884/16 </w:t>
      </w:r>
      <w:r w:rsidRPr="00B17BED">
        <w:rPr>
          <w:rFonts w:ascii="Century" w:hAnsi="Century" w:cs="Miriam" w:hint="cs"/>
          <w:b/>
          <w:spacing w:val="0"/>
          <w:sz w:val="22"/>
          <w:szCs w:val="24"/>
          <w:rtl/>
        </w:rPr>
        <w:t>פלונית נ' פלוני</w:t>
      </w:r>
      <w:r>
        <w:rPr>
          <w:rFonts w:hint="cs"/>
          <w:rtl/>
        </w:rPr>
        <w:t xml:space="preserve">, פסקה ט (22.2.2017)). במקרים רבים "גבולות הגזרה" אינם חדים ומטבע הדברים קשה לקבוע מראש כללים ברורים בסוגיה. באופן תדיר מתלבטים בתי המשפט אם מתקיים שיתוף ספציפי בנכס בהתייחס לכוונת הצדדים לגביו. וכפי שנאמר בהקשר זה </w:t>
      </w:r>
      <w:proofErr w:type="spellStart"/>
      <w:r>
        <w:rPr>
          <w:rFonts w:hint="cs"/>
          <w:rtl/>
        </w:rPr>
        <w:t>בבע"מ</w:t>
      </w:r>
      <w:proofErr w:type="spellEnd"/>
      <w:r>
        <w:rPr>
          <w:rFonts w:hint="cs"/>
          <w:rtl/>
        </w:rPr>
        <w:t xml:space="preserve"> 10734/06 </w:t>
      </w:r>
      <w:r w:rsidRPr="00A733B4">
        <w:rPr>
          <w:rFonts w:ascii="Century" w:hAnsi="Century" w:cs="Miriam" w:hint="cs"/>
          <w:b/>
          <w:spacing w:val="0"/>
          <w:szCs w:val="24"/>
          <w:rtl/>
        </w:rPr>
        <w:t>פלוני נ' פלונית</w:t>
      </w:r>
      <w:r>
        <w:rPr>
          <w:rFonts w:hint="cs"/>
          <w:rtl/>
        </w:rPr>
        <w:t xml:space="preserve"> (14.3.2007)):</w:t>
      </w:r>
    </w:p>
    <w:p w:rsidR="00FF0D41" w:rsidRDefault="00FF0D41" w:rsidP="00FF0D41">
      <w:pPr>
        <w:pStyle w:val="Ruller4"/>
        <w:numPr>
          <w:ilvl w:val="0"/>
          <w:numId w:val="0"/>
        </w:numPr>
        <w:rPr>
          <w:rFonts w:ascii="FrankRuehl" w:hAnsi="FrankRuehl"/>
          <w:color w:val="000000"/>
          <w:sz w:val="28"/>
          <w:rtl/>
        </w:rPr>
      </w:pPr>
    </w:p>
    <w:p w:rsidR="00FF0D41" w:rsidRDefault="00FF0D41" w:rsidP="00FF0D41">
      <w:pPr>
        <w:pStyle w:val="Ruller5"/>
        <w:rPr>
          <w:rtl/>
        </w:rPr>
      </w:pPr>
      <w:r w:rsidRPr="00A733B4">
        <w:rPr>
          <w:rFonts w:hint="cs"/>
          <w:rtl/>
        </w:rPr>
        <w:t>"</w:t>
      </w:r>
      <w:r w:rsidRPr="00A733B4">
        <w:rPr>
          <w:rtl/>
        </w:rPr>
        <w:t xml:space="preserve">אי אפשר לקבוע מראש כללים ברורים באשר לכל האפשרויות שמזמנת המציאות האנושית. לכן גם מתלבטים בתי המשפט ממקרה למקרה, באשר לנכס הספציפי בו </w:t>
      </w:r>
      <w:r>
        <w:rPr>
          <w:rtl/>
        </w:rPr>
        <w:t>מדובר וכוונת הצדדים לגביו</w:t>
      </w:r>
      <w:r>
        <w:rPr>
          <w:rFonts w:hint="cs"/>
          <w:rtl/>
        </w:rPr>
        <w:t xml:space="preserve"> [...]. </w:t>
      </w:r>
      <w:r w:rsidRPr="00A733B4">
        <w:rPr>
          <w:rtl/>
        </w:rPr>
        <w:t xml:space="preserve">השאלה בנידון </w:t>
      </w:r>
      <w:proofErr w:type="spellStart"/>
      <w:r w:rsidRPr="00A733B4">
        <w:rPr>
          <w:rtl/>
        </w:rPr>
        <w:t>דידן</w:t>
      </w:r>
      <w:proofErr w:type="spellEnd"/>
      <w:r w:rsidRPr="00A733B4">
        <w:rPr>
          <w:rtl/>
        </w:rPr>
        <w:t xml:space="preserve"> היא אפוא שאלה עובדתית, האם הוכיחה המשיבה - והנטל הבסיסי אכן עליה, גם אם עבר בשלב מסוים אל המ</w:t>
      </w:r>
      <w:r>
        <w:rPr>
          <w:rtl/>
        </w:rPr>
        <w:t>בקש - יצירת שיתוף ספציפי בדירה.</w:t>
      </w:r>
      <w:r>
        <w:rPr>
          <w:rFonts w:hint="cs"/>
          <w:rtl/>
        </w:rPr>
        <w:t>" (שם, פסקה ה).</w:t>
      </w:r>
    </w:p>
    <w:p w:rsidR="00FF0D41" w:rsidRDefault="00FF0D41" w:rsidP="00FF0D41">
      <w:pPr>
        <w:pStyle w:val="Ruller4"/>
        <w:numPr>
          <w:ilvl w:val="0"/>
          <w:numId w:val="0"/>
        </w:numPr>
      </w:pPr>
    </w:p>
    <w:p w:rsidR="00FF0D41" w:rsidRDefault="00FF0D41" w:rsidP="00FF0D41">
      <w:pPr>
        <w:pStyle w:val="Ruller4"/>
        <w:rPr>
          <w:rtl/>
        </w:rPr>
      </w:pPr>
      <w:r>
        <w:rPr>
          <w:rFonts w:hint="cs"/>
          <w:rtl/>
        </w:rPr>
        <w:t xml:space="preserve">מצוידים בהנחות יסוד אלה, נפנה לענייננו. שני טעמים עומדים בבסיס חוות דעתה של חברתי הנשיאה לפסילת פסק דינו של בית הדין הרבני. האחד, מתן משקל לסוגיית הבגידה; והשני, האופן שבו בחן בית הדין את האינדיקציות להוכחת "דבר מה נוסף" אשר לשיטתה אינו עולה בקנה אחד עם אמות המידה שנקבעו בהקשר זה בדין האזרחי. שתי שגיאות אלה, במצטבר, לעמדתה, מקימות עילה להתערבותנו. לעמדתי, קשה הדבר. </w:t>
      </w:r>
    </w:p>
    <w:p w:rsidR="00FF0D41" w:rsidRDefault="00FF0D41" w:rsidP="00FF0D41">
      <w:pPr>
        <w:pStyle w:val="Ruller41"/>
        <w:rPr>
          <w:rtl/>
        </w:rPr>
      </w:pPr>
    </w:p>
    <w:p w:rsidR="00FF0D41" w:rsidRPr="00194B3A" w:rsidRDefault="00FF0D41" w:rsidP="00FF0D41">
      <w:pPr>
        <w:pStyle w:val="Ruller4"/>
        <w:numPr>
          <w:ilvl w:val="0"/>
          <w:numId w:val="0"/>
        </w:numPr>
        <w:rPr>
          <w:rFonts w:ascii="Century" w:hAnsi="Century" w:cs="Miriam"/>
          <w:b/>
          <w:spacing w:val="0"/>
          <w:sz w:val="22"/>
          <w:szCs w:val="24"/>
        </w:rPr>
      </w:pPr>
      <w:r w:rsidRPr="00194B3A">
        <w:rPr>
          <w:rFonts w:ascii="Century" w:hAnsi="Century" w:cs="Miriam" w:hint="cs"/>
          <w:b/>
          <w:spacing w:val="0"/>
          <w:sz w:val="22"/>
          <w:szCs w:val="24"/>
          <w:rtl/>
        </w:rPr>
        <w:t xml:space="preserve">ה"בגידה" וטעמיה </w:t>
      </w:r>
    </w:p>
    <w:p w:rsidR="00FF0D41" w:rsidRDefault="00FF0D41" w:rsidP="00FF0D41">
      <w:pPr>
        <w:pStyle w:val="Ruller4"/>
        <w:rPr>
          <w:rtl/>
        </w:rPr>
      </w:pPr>
      <w:r>
        <w:rPr>
          <w:rFonts w:hint="cs"/>
          <w:rtl/>
        </w:rPr>
        <w:t xml:space="preserve">בהתייחס לטעם הראשון שבעקבותיו ראתה חברתי הנשיאה הצדקה להתערב במסקנת בית הדין הרבני, חוסר הנאמנות המינית </w:t>
      </w:r>
      <w:r>
        <w:rPr>
          <w:rtl/>
        </w:rPr>
        <w:t>–</w:t>
      </w:r>
      <w:r>
        <w:rPr>
          <w:rFonts w:hint="cs"/>
          <w:rtl/>
        </w:rPr>
        <w:t xml:space="preserve"> "הבגידה". כבר בתחילת הדברים אומר כי לא כצעקתה. </w:t>
      </w:r>
    </w:p>
    <w:p w:rsidR="00FF0D41" w:rsidRPr="004E5E11" w:rsidRDefault="00FF0D41" w:rsidP="00FF0D41">
      <w:pPr>
        <w:pStyle w:val="Ruller41"/>
      </w:pPr>
    </w:p>
    <w:p w:rsidR="00FF0D41" w:rsidRDefault="00FF0D41" w:rsidP="00FF0D41">
      <w:pPr>
        <w:pStyle w:val="Ruller4"/>
        <w:rPr>
          <w:rtl/>
        </w:rPr>
      </w:pPr>
      <w:r>
        <w:rPr>
          <w:rFonts w:hint="cs"/>
          <w:rtl/>
        </w:rPr>
        <w:t>נקודת המוצא המשותפת לכל חבריי, כאמור לעיל, היא כי קיומה של בגידה איננו רלוונטי לעניין איזון המשאבים וחלוקתם של נכסים אשר הפכו לקניינם של מי מבני הזוג במהלך חיי הנישואים (</w:t>
      </w:r>
      <w:r w:rsidRPr="00BC7599">
        <w:rPr>
          <w:rFonts w:ascii="Century" w:hAnsi="Century" w:cs="Miriam" w:hint="cs"/>
          <w:b/>
          <w:spacing w:val="0"/>
          <w:szCs w:val="24"/>
          <w:rtl/>
        </w:rPr>
        <w:t>בג"ץ 8928/06</w:t>
      </w:r>
      <w:r>
        <w:rPr>
          <w:rFonts w:hint="cs"/>
          <w:rtl/>
        </w:rPr>
        <w:t xml:space="preserve">). זאת מפני שאין נענשים על בגידה </w:t>
      </w:r>
      <w:r>
        <w:rPr>
          <w:rFonts w:hint="cs"/>
          <w:rtl/>
        </w:rPr>
        <w:lastRenderedPageBreak/>
        <w:t xml:space="preserve">למפרע על ידי נטילת זכויות שכבר נרכשו ברכוש המשותף (עניין </w:t>
      </w:r>
      <w:r w:rsidRPr="00BC7599">
        <w:rPr>
          <w:rFonts w:ascii="Century" w:hAnsi="Century" w:cs="Miriam" w:hint="cs"/>
          <w:b/>
          <w:spacing w:val="0"/>
          <w:szCs w:val="24"/>
          <w:rtl/>
        </w:rPr>
        <w:t>דרור</w:t>
      </w:r>
      <w:r>
        <w:rPr>
          <w:rFonts w:hint="cs"/>
          <w:rtl/>
        </w:rPr>
        <w:t xml:space="preserve">) ואין בכוחה של בגידה להשפיע על נכסים שקיבל בן הזוג "הבוגד" במתנה (וראו: חוק המתנה: התשכ"ח-1968 (להלן: </w:t>
      </w:r>
      <w:r w:rsidRPr="007174AE">
        <w:rPr>
          <w:rFonts w:ascii="Century" w:hAnsi="Century" w:cs="Miriam" w:hint="cs"/>
          <w:b/>
          <w:spacing w:val="0"/>
          <w:sz w:val="22"/>
          <w:szCs w:val="24"/>
          <w:rtl/>
        </w:rPr>
        <w:t>חוק המתנה</w:t>
      </w:r>
      <w:r>
        <w:rPr>
          <w:rFonts w:hint="cs"/>
          <w:rtl/>
        </w:rPr>
        <w:t xml:space="preserve">)). כאמור לעיל, דיוננו מתמקד אך ורק בשאלת ההתחשבות בבגידה בבחינת הכוונה לשיתוף ספציפי בנכס "חיצוני", שהביא עמו אחד מבני הזוג לנישואין, כאשר אין לבן זוגו זכות מוקנית לגביו. בהתחשב בכלל הקובע כי "המוציא מחברו עליו הראיה", הנטל הוא על בן הזוג השני להוכיח כי מגיעות לו זכויות בנכס, היינו כי התקיימו נסיבות מהן עולה כי התקיים שיתוף בנכס, ובכלל זה בהתייחס להתנהגות הצדדים, לאומד דעתם ולהסכמתם המפורשת או המשתמעת (ראו למשל: בע"מ 1477/13 </w:t>
      </w:r>
      <w:r w:rsidRPr="00BC7599">
        <w:rPr>
          <w:rFonts w:ascii="Century" w:hAnsi="Century" w:cs="Miriam" w:hint="cs"/>
          <w:b/>
          <w:spacing w:val="0"/>
          <w:szCs w:val="24"/>
          <w:rtl/>
        </w:rPr>
        <w:t>פלונית נ' פלוני</w:t>
      </w:r>
      <w:r>
        <w:rPr>
          <w:rFonts w:hint="cs"/>
          <w:rtl/>
        </w:rPr>
        <w:t xml:space="preserve">, פסקה 4 (6.8.2013); רע"א 3015/21 </w:t>
      </w:r>
      <w:r w:rsidRPr="00BC7599">
        <w:rPr>
          <w:rFonts w:ascii="Century" w:hAnsi="Century" w:cs="Miriam" w:hint="cs"/>
          <w:b/>
          <w:spacing w:val="0"/>
          <w:szCs w:val="24"/>
          <w:rtl/>
        </w:rPr>
        <w:t>עזר נ' הכונס הרשמי</w:t>
      </w:r>
      <w:r>
        <w:rPr>
          <w:rFonts w:hint="cs"/>
          <w:rtl/>
        </w:rPr>
        <w:t>, פסקה 12 (27.5.2021)).</w:t>
      </w:r>
    </w:p>
    <w:p w:rsidR="00FF0D41" w:rsidRDefault="00FF0D41" w:rsidP="00FF0D41">
      <w:pPr>
        <w:pStyle w:val="Ruller41"/>
        <w:rPr>
          <w:rtl/>
        </w:rPr>
      </w:pPr>
    </w:p>
    <w:p w:rsidR="00FF0D41" w:rsidRPr="00576340" w:rsidRDefault="00FF0D41" w:rsidP="00FF0D41">
      <w:pPr>
        <w:pStyle w:val="Ruller4"/>
        <w:rPr>
          <w:rtl/>
        </w:rPr>
      </w:pPr>
      <w:r>
        <w:rPr>
          <w:rFonts w:hint="cs"/>
          <w:rtl/>
        </w:rPr>
        <w:t xml:space="preserve">בעניין זה מצטרף אני לדברי חברי השופט </w:t>
      </w:r>
      <w:r w:rsidRPr="00BC7599">
        <w:rPr>
          <w:rFonts w:ascii="Century" w:hAnsi="Century" w:cs="Miriam" w:hint="cs"/>
          <w:b/>
          <w:spacing w:val="0"/>
          <w:szCs w:val="24"/>
          <w:rtl/>
        </w:rPr>
        <w:t>שטיין</w:t>
      </w:r>
      <w:r>
        <w:rPr>
          <w:rFonts w:hint="cs"/>
          <w:rtl/>
        </w:rPr>
        <w:t xml:space="preserve">, כי אין לקבל את העמדה לפיה רק בגידה ממושכת או בוטה עשויה להביא לשלילת קיומו של שיתוף ספציפי בנכס. הלכה למעשה, גם השופט </w:t>
      </w:r>
      <w:r w:rsidRPr="00BC7599">
        <w:rPr>
          <w:rFonts w:ascii="Century" w:hAnsi="Century" w:cs="Miriam" w:hint="cs"/>
          <w:b/>
          <w:spacing w:val="0"/>
          <w:szCs w:val="24"/>
          <w:rtl/>
        </w:rPr>
        <w:t>עמית</w:t>
      </w:r>
      <w:r w:rsidRPr="00BF7465">
        <w:rPr>
          <w:rFonts w:hint="cs"/>
          <w:rtl/>
        </w:rPr>
        <w:t xml:space="preserve"> </w:t>
      </w:r>
      <w:r>
        <w:rPr>
          <w:rFonts w:hint="cs"/>
          <w:rtl/>
        </w:rPr>
        <w:t xml:space="preserve">בפסק הדין מושא הדיון הנוסף חידד כי "ככלל, מקום בו הוכח כי בן הזוג 'הנבגד' לא התכוון מלכתחילה לחלוק את רכושו עם בן הזוג 'הבוגד' (אם בכלל ואם במקרה של בגידה), יש לכבד כוונה זו". אינני סבור כי יש מקום להבחין בין "בגידה" חמורה או מתמשכת אשר יהיה בה כדי להשפיע על שאלת התגבשות כוונה לשיתוף ספציפי בנכס, לבין "בגידה" קלה יותר אשר לא יהיה בה כדי להשפיע כאמור. הדבר נתון לבחינה בכל מקרה ומקרה, בהתייחס להתנהגותם הקונקרטית של הצדדים ולנסיבותיו הספציפיות של כל עניין ועניין. </w:t>
      </w:r>
    </w:p>
    <w:p w:rsidR="00FF0D41" w:rsidRDefault="00FF0D41" w:rsidP="00FF0D41">
      <w:pPr>
        <w:pStyle w:val="Ruller4"/>
        <w:numPr>
          <w:ilvl w:val="0"/>
          <w:numId w:val="0"/>
        </w:numPr>
      </w:pPr>
    </w:p>
    <w:p w:rsidR="00FF0D41" w:rsidRDefault="00FF0D41" w:rsidP="00FF0D41">
      <w:pPr>
        <w:pStyle w:val="Ruller4"/>
        <w:rPr>
          <w:rtl/>
        </w:rPr>
      </w:pPr>
      <w:r>
        <w:rPr>
          <w:rFonts w:hint="cs"/>
          <w:rtl/>
        </w:rPr>
        <w:t xml:space="preserve">בענייננו, כל </w:t>
      </w:r>
      <w:proofErr w:type="spellStart"/>
      <w:r>
        <w:rPr>
          <w:rFonts w:hint="cs"/>
          <w:rtl/>
        </w:rPr>
        <w:t>שגגתו</w:t>
      </w:r>
      <w:proofErr w:type="spellEnd"/>
      <w:r>
        <w:rPr>
          <w:rFonts w:hint="cs"/>
          <w:rtl/>
        </w:rPr>
        <w:t xml:space="preserve"> של הדיין </w:t>
      </w:r>
      <w:r w:rsidRPr="002E40C4">
        <w:rPr>
          <w:rFonts w:ascii="Century" w:hAnsi="Century" w:cs="Miriam" w:hint="cs"/>
          <w:b/>
          <w:spacing w:val="0"/>
          <w:sz w:val="22"/>
          <w:szCs w:val="24"/>
          <w:rtl/>
        </w:rPr>
        <w:t>עמוס</w:t>
      </w:r>
      <w:r w:rsidRPr="00203F69">
        <w:rPr>
          <w:rFonts w:hint="cs"/>
          <w:rtl/>
        </w:rPr>
        <w:t xml:space="preserve"> </w:t>
      </w:r>
      <w:r>
        <w:rPr>
          <w:rFonts w:hint="cs"/>
          <w:rtl/>
        </w:rPr>
        <w:t xml:space="preserve">אשר הוסיף וביקש לצקת תוכן לפרשנותו על פי הדין העברי אינה שומטת את הקרקע מתחת פסק הדין, מבחינת מכלול נסיבות המקרה מנקודת המבט של הדין האזרחי כפי שנעשתה על ידו, ואין בה כדי "לעקור את </w:t>
      </w:r>
      <w:proofErr w:type="spellStart"/>
      <w:r>
        <w:rPr>
          <w:rFonts w:hint="cs"/>
          <w:rtl/>
        </w:rPr>
        <w:t>הכל</w:t>
      </w:r>
      <w:proofErr w:type="spellEnd"/>
      <w:r>
        <w:rPr>
          <w:rFonts w:hint="cs"/>
          <w:rtl/>
        </w:rPr>
        <w:t xml:space="preserve">". לכל היותר, גם מי שמוצא בפסק דינו של הדיין </w:t>
      </w:r>
      <w:r w:rsidRPr="002E40C4">
        <w:rPr>
          <w:rFonts w:ascii="Century" w:hAnsi="Century" w:cs="Miriam" w:hint="cs"/>
          <w:b/>
          <w:spacing w:val="0"/>
          <w:sz w:val="22"/>
          <w:szCs w:val="24"/>
          <w:rtl/>
        </w:rPr>
        <w:t>עמוס</w:t>
      </w:r>
      <w:r>
        <w:rPr>
          <w:rFonts w:hint="cs"/>
          <w:rtl/>
        </w:rPr>
        <w:t xml:space="preserve"> ליקוי בדמות מתן משקל מכריע לדין העברי, אינו יכול לבטל בהינף יד את האופן שבו יישם הדיין את הדין הישראלי, האזרחי. </w:t>
      </w:r>
    </w:p>
    <w:p w:rsidR="00FF0D41" w:rsidRPr="00437B4C" w:rsidRDefault="00FF0D41" w:rsidP="00FF0D41">
      <w:pPr>
        <w:pStyle w:val="Ruller41"/>
      </w:pPr>
    </w:p>
    <w:p w:rsidR="00FF0D41" w:rsidRDefault="00FF0D41" w:rsidP="00FF0D41">
      <w:pPr>
        <w:pStyle w:val="Ruller4"/>
      </w:pPr>
      <w:r>
        <w:rPr>
          <w:rFonts w:hint="cs"/>
          <w:rtl/>
        </w:rPr>
        <w:t xml:space="preserve">אמת, פסק דינו של הדיין </w:t>
      </w:r>
      <w:r w:rsidRPr="00D53B15">
        <w:rPr>
          <w:rFonts w:ascii="Century" w:hAnsi="Century" w:cs="Miriam" w:hint="cs"/>
          <w:b/>
          <w:spacing w:val="0"/>
          <w:szCs w:val="24"/>
          <w:rtl/>
        </w:rPr>
        <w:t>נהרי</w:t>
      </w:r>
      <w:r>
        <w:rPr>
          <w:rFonts w:hint="cs"/>
          <w:rtl/>
        </w:rPr>
        <w:t xml:space="preserve"> מבוסס במידה רבה על עניין הבגידה. עם זאת, מכאן ועד למסקנה כי די בפסק דינו של דיין זה כדי להצדיק את קבלת העתירה, הדרך רחוקה. הנמקה שגויה של דיין אחד, אינה מצדיקה אף קבלת ערעור על פי אמות המידה להתערבות ערכאת הערעור. הלכה היא כי אין אפשרות לערער על מוצא פיו של בית משפט הנעדר כוח מחייב או על אמרת אגב בפסק דין (השוו: ר"ע 279/82 </w:t>
      </w:r>
      <w:r w:rsidRPr="00D53B15">
        <w:rPr>
          <w:rFonts w:ascii="Century" w:hAnsi="Century" w:cs="Miriam" w:hint="cs"/>
          <w:b/>
          <w:spacing w:val="0"/>
          <w:szCs w:val="24"/>
          <w:rtl/>
        </w:rPr>
        <w:t xml:space="preserve">מנהל המכס נ' </w:t>
      </w:r>
      <w:proofErr w:type="spellStart"/>
      <w:r w:rsidRPr="00D53B15">
        <w:rPr>
          <w:rFonts w:ascii="Century" w:hAnsi="Century" w:cs="Miriam" w:hint="cs"/>
          <w:b/>
          <w:spacing w:val="0"/>
          <w:szCs w:val="24"/>
          <w:rtl/>
        </w:rPr>
        <w:lastRenderedPageBreak/>
        <w:t>ג'ועבה</w:t>
      </w:r>
      <w:proofErr w:type="spellEnd"/>
      <w:r>
        <w:rPr>
          <w:rFonts w:hint="cs"/>
          <w:rtl/>
        </w:rPr>
        <w:t xml:space="preserve">, פ"ד </w:t>
      </w:r>
      <w:proofErr w:type="spellStart"/>
      <w:r>
        <w:rPr>
          <w:rFonts w:hint="cs"/>
          <w:rtl/>
        </w:rPr>
        <w:t>לז</w:t>
      </w:r>
      <w:proofErr w:type="spellEnd"/>
      <w:r>
        <w:rPr>
          <w:rFonts w:hint="cs"/>
          <w:rtl/>
        </w:rPr>
        <w:t xml:space="preserve">(4) 542 (1983); בג"ץ 188/96 </w:t>
      </w:r>
      <w:proofErr w:type="spellStart"/>
      <w:r w:rsidRPr="00D53B15">
        <w:rPr>
          <w:rFonts w:ascii="Century" w:hAnsi="Century" w:cs="Miriam" w:hint="cs"/>
          <w:b/>
          <w:spacing w:val="0"/>
          <w:szCs w:val="24"/>
          <w:rtl/>
        </w:rPr>
        <w:t>צירינסקי</w:t>
      </w:r>
      <w:proofErr w:type="spellEnd"/>
      <w:r w:rsidRPr="00D53B15">
        <w:rPr>
          <w:rFonts w:ascii="Century" w:hAnsi="Century" w:cs="Miriam" w:hint="cs"/>
          <w:b/>
          <w:spacing w:val="0"/>
          <w:szCs w:val="24"/>
          <w:rtl/>
        </w:rPr>
        <w:t xml:space="preserve"> נ' סגן נשיא בית-משפט השלום בחדרה השופט עמירם שרון</w:t>
      </w:r>
      <w:r>
        <w:rPr>
          <w:rFonts w:hint="cs"/>
          <w:rtl/>
        </w:rPr>
        <w:t xml:space="preserve">, פ"ד נב(3) 721, 742 (1998); רע"א 9487/16 </w:t>
      </w:r>
      <w:r w:rsidRPr="00D53B15">
        <w:rPr>
          <w:rFonts w:ascii="Century" w:hAnsi="Century" w:cs="Miriam" w:hint="cs"/>
          <w:b/>
          <w:spacing w:val="0"/>
          <w:szCs w:val="24"/>
          <w:rtl/>
        </w:rPr>
        <w:t>שמעון פחימה יזמות בניה נ' נציגות הבית המשותף "קיט ונופש"</w:t>
      </w:r>
      <w:r>
        <w:rPr>
          <w:rFonts w:hint="cs"/>
          <w:rtl/>
        </w:rPr>
        <w:t xml:space="preserve">, פסקה 12 (29.1.2017); חמי בן-נון וטל חבקין </w:t>
      </w:r>
      <w:r w:rsidRPr="00D53B15">
        <w:rPr>
          <w:rFonts w:ascii="Century" w:hAnsi="Century" w:cs="Miriam" w:hint="cs"/>
          <w:b/>
          <w:spacing w:val="0"/>
          <w:szCs w:val="24"/>
          <w:rtl/>
        </w:rPr>
        <w:t xml:space="preserve">הערעור האזרחי </w:t>
      </w:r>
      <w:r>
        <w:rPr>
          <w:rFonts w:hint="cs"/>
          <w:rtl/>
        </w:rPr>
        <w:t xml:space="preserve">96-95 (מהדורה שלישית, 2012)). קל וחומר שאין במצב דברים זה כדי להצדיק התערבות של בית משפט זה במסגרת עתירה על פסק דין שניתן על ידי הרכב בית הדין הרבני או בדיון נוסף על פסק דין בעתירה כאמור. </w:t>
      </w:r>
    </w:p>
    <w:p w:rsidR="00FF0D41" w:rsidRDefault="00FF0D41" w:rsidP="00FF0D41">
      <w:pPr>
        <w:pStyle w:val="Ruller41"/>
        <w:rPr>
          <w:rtl/>
        </w:rPr>
      </w:pPr>
    </w:p>
    <w:p w:rsidR="00FF0D41" w:rsidRDefault="00FF0D41" w:rsidP="00FF0D41">
      <w:pPr>
        <w:pStyle w:val="Ruller4"/>
        <w:rPr>
          <w:rtl/>
        </w:rPr>
      </w:pPr>
      <w:r>
        <w:rPr>
          <w:rFonts w:hint="cs"/>
          <w:rtl/>
        </w:rPr>
        <w:t xml:space="preserve">מכל מקום, גם במחלוקת שנתגלעה ביני לבין חברי השופט </w:t>
      </w:r>
      <w:r w:rsidRPr="004366FA">
        <w:rPr>
          <w:rFonts w:ascii="Century" w:hAnsi="Century" w:cs="Miriam" w:hint="cs"/>
          <w:b/>
          <w:spacing w:val="0"/>
          <w:sz w:val="22"/>
          <w:szCs w:val="24"/>
          <w:rtl/>
        </w:rPr>
        <w:t>עמית</w:t>
      </w:r>
      <w:r w:rsidRPr="004366FA">
        <w:rPr>
          <w:rFonts w:hint="cs"/>
          <w:rtl/>
        </w:rPr>
        <w:t xml:space="preserve"> </w:t>
      </w:r>
      <w:r>
        <w:rPr>
          <w:rFonts w:hint="cs"/>
          <w:rtl/>
        </w:rPr>
        <w:t xml:space="preserve">בפסק הדין הראשון </w:t>
      </w:r>
      <w:r>
        <w:rPr>
          <w:rtl/>
        </w:rPr>
        <w:t>–</w:t>
      </w:r>
      <w:r>
        <w:rPr>
          <w:rFonts w:hint="cs"/>
          <w:rtl/>
        </w:rPr>
        <w:t xml:space="preserve"> אם התייחסותו של בית הדין הרבני הגדול לבגידה הייתה למעלה מן הצורך אם לאו </w:t>
      </w:r>
      <w:r>
        <w:rPr>
          <w:rtl/>
        </w:rPr>
        <w:t>–</w:t>
      </w:r>
      <w:r>
        <w:rPr>
          <w:rFonts w:hint="cs"/>
          <w:rtl/>
        </w:rPr>
        <w:t xml:space="preserve"> אין מקום להידרש לה בגדרי עתירה לדיון נוסף. דיון נוסף לא נועד לשם בירור העתירה מחדש תוך הכרעה במחלוקת העובדתית שנתגלעה בין חברי ההרכב.</w:t>
      </w:r>
    </w:p>
    <w:p w:rsidR="00FF0D41" w:rsidRDefault="00FF0D41" w:rsidP="00FF0D41">
      <w:pPr>
        <w:pStyle w:val="Ruller41"/>
        <w:rPr>
          <w:rtl/>
        </w:rPr>
      </w:pPr>
    </w:p>
    <w:p w:rsidR="00BE2312" w:rsidRPr="00090A90" w:rsidRDefault="00BE2312" w:rsidP="00FF0D41">
      <w:pPr>
        <w:pStyle w:val="Ruller41"/>
      </w:pPr>
    </w:p>
    <w:p w:rsidR="00FF0D41" w:rsidRPr="00090A90" w:rsidRDefault="00FF0D41" w:rsidP="00FF0D41">
      <w:pPr>
        <w:pStyle w:val="Ruller4"/>
        <w:numPr>
          <w:ilvl w:val="0"/>
          <w:numId w:val="0"/>
        </w:numPr>
        <w:rPr>
          <w:rFonts w:ascii="Century" w:hAnsi="Century" w:cs="Miriam"/>
          <w:b/>
          <w:spacing w:val="0"/>
          <w:sz w:val="22"/>
          <w:szCs w:val="24"/>
        </w:rPr>
      </w:pPr>
      <w:r w:rsidRPr="00090A90">
        <w:rPr>
          <w:rFonts w:ascii="Century" w:hAnsi="Century" w:cs="Miriam" w:hint="cs"/>
          <w:b/>
          <w:spacing w:val="0"/>
          <w:sz w:val="22"/>
          <w:szCs w:val="24"/>
          <w:rtl/>
        </w:rPr>
        <w:t>דבר מה נוסף להוכחת השיתוף</w:t>
      </w:r>
    </w:p>
    <w:p w:rsidR="00FF0D41" w:rsidRDefault="00FF0D41" w:rsidP="00FF0D41">
      <w:pPr>
        <w:pStyle w:val="Ruller4"/>
      </w:pPr>
      <w:r>
        <w:rPr>
          <w:rFonts w:hint="cs"/>
          <w:rtl/>
        </w:rPr>
        <w:t xml:space="preserve">ובאשר לטעם השני שבעקבותיו מצאה חברתי הנשיאה להתערב </w:t>
      </w:r>
      <w:r>
        <w:rPr>
          <w:rtl/>
        </w:rPr>
        <w:t>–</w:t>
      </w:r>
      <w:r>
        <w:rPr>
          <w:rFonts w:hint="cs"/>
          <w:rtl/>
        </w:rPr>
        <w:t xml:space="preserve"> האופן בו בחן בית הדין את האינדיקציות להוכחת "דבר מה נוסף". עיון מעמיק בפסק הדין של בית הדין הרבני מגלה כי הוא מבוסס על מערכת הדינים האזרחית, כאשר הדיין </w:t>
      </w:r>
      <w:r w:rsidRPr="004B25C9">
        <w:rPr>
          <w:rFonts w:ascii="Century" w:hAnsi="Century" w:cs="Miriam" w:hint="cs"/>
          <w:b/>
          <w:spacing w:val="0"/>
          <w:sz w:val="22"/>
          <w:szCs w:val="24"/>
          <w:rtl/>
        </w:rPr>
        <w:t>עמוס</w:t>
      </w:r>
      <w:r>
        <w:rPr>
          <w:rFonts w:hint="cs"/>
          <w:rtl/>
        </w:rPr>
        <w:t xml:space="preserve"> פורש את התשתית הנורמטיבית לסוגיה על פי כללי החוק והפסיקה האזרחיים תוך אזכורי הפסיקה המרכזית שניתנה בהקשר זה בעניין שיתוף נכס ספציפי ובכלל זה דירת מגורים. הדיין </w:t>
      </w:r>
      <w:r>
        <w:rPr>
          <w:rFonts w:ascii="Century" w:hAnsi="Century" w:cs="Miriam" w:hint="cs"/>
          <w:b/>
          <w:spacing w:val="0"/>
          <w:sz w:val="22"/>
          <w:szCs w:val="24"/>
          <w:rtl/>
        </w:rPr>
        <w:t xml:space="preserve">עמוס </w:t>
      </w:r>
      <w:r>
        <w:rPr>
          <w:rFonts w:hint="cs"/>
          <w:rtl/>
        </w:rPr>
        <w:t xml:space="preserve">הבהיר כי בהתאם לפסיקה ניתן להסיק שיתוף ספציפי בנכס בהתאם לנסיבות המקרה אם נמצא "דבר מה נוסף", תוך אזכור הפרמטרים הרלוונטיים שנקבעו בהקשר זה, שאוזכרו, בין היתר </w:t>
      </w:r>
      <w:proofErr w:type="spellStart"/>
      <w:r>
        <w:rPr>
          <w:rFonts w:hint="cs"/>
          <w:rtl/>
        </w:rPr>
        <w:t>בבע"מ</w:t>
      </w:r>
      <w:proofErr w:type="spellEnd"/>
      <w:r>
        <w:rPr>
          <w:rFonts w:hint="cs"/>
          <w:rtl/>
        </w:rPr>
        <w:t xml:space="preserve"> 1398/11 (עמ' 4-2 לפסק הדין). הדיין </w:t>
      </w:r>
      <w:r w:rsidRPr="00DC7717">
        <w:rPr>
          <w:rFonts w:ascii="Century" w:hAnsi="Century" w:cs="Miriam" w:hint="cs"/>
          <w:b/>
          <w:spacing w:val="0"/>
          <w:sz w:val="22"/>
          <w:szCs w:val="24"/>
          <w:rtl/>
        </w:rPr>
        <w:t>עמוס</w:t>
      </w:r>
      <w:r>
        <w:rPr>
          <w:rFonts w:hint="cs"/>
          <w:rtl/>
        </w:rPr>
        <w:t xml:space="preserve"> הלך עקב בצד אגודל על פי הפרמטרים שנקבעו בפסיקה האזרחית בקשר לשיתוף דירת מגורים בהגיעו למסקנה כי הרושם המצטבר הוא שלא הוכח שיתוף: המגרש ניתן בירושה לבעל; הבית שנבנה עליו מומן מכוח עסקה שביצע בקרקע; המגרש והבית רשומים מאז ומעולם על שמו של הבעל בלבד; לא נלקחו הלוואות ולא נרשמה משכנתא לצורך בניה או קניית הבית; השיפוץ אף אם נעשה לא היה "שיפוץ מאסיבי" ובכל מקרה המבקשת כלל לא עבדה בזמן שנעשה השיפוץ, ועוד (עמ' 6-5 לפסק הדין). וכך מסכם הדיין </w:t>
      </w:r>
      <w:r w:rsidRPr="00DC7717">
        <w:rPr>
          <w:rFonts w:ascii="Century" w:hAnsi="Century" w:cs="Miriam" w:hint="cs"/>
          <w:b/>
          <w:spacing w:val="0"/>
          <w:sz w:val="22"/>
          <w:szCs w:val="24"/>
          <w:rtl/>
        </w:rPr>
        <w:t>עמוס</w:t>
      </w:r>
      <w:r>
        <w:rPr>
          <w:rFonts w:hint="cs"/>
          <w:rtl/>
        </w:rPr>
        <w:t xml:space="preserve"> את העניין: "כל הנקודות הללו מעלות ספק וקשה לומר כי הייתה כוונת שיתוף ושלזה התכוונו הפסיקות האזרחיות בערכאות השונות" (עמ' 6 לפסק הדין). כמו כן, הדיין השלישי, </w:t>
      </w:r>
      <w:r w:rsidRPr="00D53B15">
        <w:rPr>
          <w:rFonts w:ascii="Century" w:hAnsi="Century" w:cs="Miriam" w:hint="cs"/>
          <w:b/>
          <w:spacing w:val="0"/>
          <w:sz w:val="22"/>
          <w:szCs w:val="24"/>
          <w:rtl/>
        </w:rPr>
        <w:t>אלמליח</w:t>
      </w:r>
      <w:r>
        <w:rPr>
          <w:rFonts w:hint="cs"/>
          <w:rtl/>
        </w:rPr>
        <w:t xml:space="preserve">, כלל לא התייחס להלכה או לעניין הבגידה במסגרת פסק דינו. </w:t>
      </w:r>
    </w:p>
    <w:p w:rsidR="00FF0D41" w:rsidRDefault="00FF0D41" w:rsidP="00FF0D41">
      <w:pPr>
        <w:pStyle w:val="Ruller4"/>
        <w:numPr>
          <w:ilvl w:val="0"/>
          <w:numId w:val="0"/>
        </w:numPr>
      </w:pPr>
    </w:p>
    <w:p w:rsidR="00FF0D41" w:rsidRDefault="00FF0D41" w:rsidP="00FF0D41">
      <w:pPr>
        <w:pStyle w:val="Ruller4"/>
      </w:pPr>
      <w:r w:rsidRPr="002F7D43">
        <w:rPr>
          <w:rFonts w:hint="cs"/>
          <w:rtl/>
        </w:rPr>
        <w:lastRenderedPageBreak/>
        <w:t xml:space="preserve">למקרא העתירה לדיון נוסף </w:t>
      </w:r>
      <w:r>
        <w:rPr>
          <w:rFonts w:hint="cs"/>
          <w:rtl/>
        </w:rPr>
        <w:t xml:space="preserve">ואף למקרא עמדות חבריי המצדדים בקבלת העתירה, </w:t>
      </w:r>
      <w:r w:rsidRPr="002F7D43">
        <w:rPr>
          <w:rFonts w:hint="cs"/>
          <w:rtl/>
        </w:rPr>
        <w:t>עשוי להיווצר הרושם כי בית הדין הרבני הגדול ח</w:t>
      </w:r>
      <w:r>
        <w:rPr>
          <w:rFonts w:hint="cs"/>
          <w:rtl/>
        </w:rPr>
        <w:t xml:space="preserve">רג מהמסקנה המתבקשת לשיתוף בדירת המגורים, חרף אינדיקציות ברורות, מפורשות וחד-משמעיות לקיומו </w:t>
      </w:r>
      <w:r>
        <w:rPr>
          <w:rtl/>
        </w:rPr>
        <w:t>–</w:t>
      </w:r>
      <w:r>
        <w:rPr>
          <w:rFonts w:hint="cs"/>
          <w:rtl/>
        </w:rPr>
        <w:t xml:space="preserve"> וכל זאת לאור בגידת האישה. אולם לא כך הם פני הדברים. היעדר השיתוף הספציפי הינו ממצא עובדתי אליו הגיע הדיין </w:t>
      </w:r>
      <w:r w:rsidRPr="00437B4C">
        <w:rPr>
          <w:rFonts w:ascii="Century" w:hAnsi="Century" w:cs="Miriam" w:hint="cs"/>
          <w:b/>
          <w:spacing w:val="0"/>
          <w:sz w:val="22"/>
          <w:szCs w:val="24"/>
          <w:rtl/>
        </w:rPr>
        <w:t>עמוס</w:t>
      </w:r>
      <w:r>
        <w:rPr>
          <w:rFonts w:hint="cs"/>
          <w:rtl/>
        </w:rPr>
        <w:t xml:space="preserve"> בהתבסס על אינדיקציות עובדתיות ספציפיות המתייחסות למקרה הקונקרטי ולנסיבות חייהם הפרטניות של בני הזוג, תוך התייחסות לדין האזרחי ולאמות המידה שנקבעו בו בהקשר זה. אינני רואה אפוא עין בעין עם חברתי הנשיאה ועם המצדדים בעמדתה, כי האופן שבו בחן בית הדין הרבני את האינדיקציות להוכחת "דבר מה נוסף" להתגבשות השיתוף הספציפי בנכס, אינו עולה בקנה אחד עם אמות המידה שנקבעו בפסיקה בהקשר זה. בסופו של יום, מדובר בסוגיות הקשורות למשקל שיש ליתן לכל אחת מהעובדות המרכיבות את מכלול נסיבות העניין, אותן פירט בית הדין הרבני בהרחבה כאמור.</w:t>
      </w:r>
    </w:p>
    <w:p w:rsidR="00FF0D41" w:rsidRPr="00B43B0A" w:rsidRDefault="00FF0D41" w:rsidP="00FF0D41">
      <w:pPr>
        <w:pStyle w:val="Ruller4"/>
        <w:numPr>
          <w:ilvl w:val="0"/>
          <w:numId w:val="0"/>
        </w:numPr>
      </w:pPr>
    </w:p>
    <w:p w:rsidR="00FF0D41" w:rsidRDefault="00FF0D41" w:rsidP="00FF0D41">
      <w:pPr>
        <w:pStyle w:val="Ruller4"/>
      </w:pPr>
      <w:r>
        <w:rPr>
          <w:rFonts w:hint="cs"/>
          <w:rtl/>
        </w:rPr>
        <w:t xml:space="preserve">מה לנו אפוא, בגדרי </w:t>
      </w:r>
      <w:r w:rsidRPr="00CF40EF">
        <w:rPr>
          <w:rFonts w:ascii="Century" w:hAnsi="Century" w:hint="cs"/>
          <w:sz w:val="22"/>
          <w:rtl/>
        </w:rPr>
        <w:t>עתירה לבית משפט זה, קל וחומר בגדרי בקשה לדיון נוסף,</w:t>
      </w:r>
      <w:r w:rsidRPr="00CF40EF">
        <w:rPr>
          <w:rFonts w:hint="cs"/>
          <w:rtl/>
        </w:rPr>
        <w:t xml:space="preserve"> </w:t>
      </w:r>
      <w:r>
        <w:rPr>
          <w:rFonts w:hint="cs"/>
          <w:rtl/>
        </w:rPr>
        <w:t xml:space="preserve">לנתח את הממצאים העובדתיים שנקבעו על ידי בית הדין הרבני, ולהפוך את המסקנה הסופית הנגזרת מהן. הדבר אף חותר תחת מושכלות יסוד בדבר היקף התערבותו של בית משפט זה בהכרעותיהם של בתי הדין הרבניים, כפי שגם הצביעו חבריי השופטים </w:t>
      </w:r>
      <w:r w:rsidRPr="00B43B0A">
        <w:rPr>
          <w:rFonts w:ascii="Century" w:hAnsi="Century" w:cs="Miriam" w:hint="cs"/>
          <w:b/>
          <w:spacing w:val="0"/>
          <w:sz w:val="22"/>
          <w:szCs w:val="24"/>
          <w:rtl/>
        </w:rPr>
        <w:t>סולברג</w:t>
      </w:r>
      <w:r w:rsidRPr="00B43B0A">
        <w:rPr>
          <w:rFonts w:hint="cs"/>
          <w:rtl/>
        </w:rPr>
        <w:t xml:space="preserve"> </w:t>
      </w:r>
      <w:r>
        <w:rPr>
          <w:rFonts w:hint="cs"/>
          <w:rtl/>
        </w:rPr>
        <w:t>ו-</w:t>
      </w:r>
      <w:r w:rsidRPr="00B43B0A">
        <w:rPr>
          <w:rFonts w:ascii="Century" w:hAnsi="Century" w:cs="Miriam" w:hint="cs"/>
          <w:b/>
          <w:spacing w:val="0"/>
          <w:sz w:val="22"/>
          <w:szCs w:val="24"/>
          <w:rtl/>
        </w:rPr>
        <w:t>שטיין</w:t>
      </w:r>
      <w:r>
        <w:rPr>
          <w:rFonts w:hint="cs"/>
          <w:rtl/>
        </w:rPr>
        <w:t xml:space="preserve">. אף אם הייתה נופלת </w:t>
      </w:r>
      <w:r w:rsidRPr="00BE04E3">
        <w:rPr>
          <w:rFonts w:ascii="Century" w:hAnsi="Century" w:cs="Miriam" w:hint="cs"/>
          <w:b/>
          <w:spacing w:val="0"/>
          <w:sz w:val="22"/>
          <w:szCs w:val="24"/>
          <w:rtl/>
        </w:rPr>
        <w:t>טעות</w:t>
      </w:r>
      <w:r w:rsidRPr="00130CD0">
        <w:rPr>
          <w:rFonts w:hint="cs"/>
          <w:rtl/>
        </w:rPr>
        <w:t xml:space="preserve"> </w:t>
      </w:r>
      <w:r>
        <w:rPr>
          <w:rFonts w:hint="cs"/>
          <w:rtl/>
        </w:rPr>
        <w:t xml:space="preserve">בידי בית הדין הרבני, באופן שבו ביסס את מסקנתו בהתבסס על נסיבותיו העובדתיות של המקרה, או אף בקביעת אמת מידה מחמירה בהוכחת קיומו של "דבר מה נוסף", הדבר לא היה מהווה עילה להתערבות בית משפט זה בשבתו כבית משפט גבוה לצדק (ראו למשל: בג"ץ 2350/20 </w:t>
      </w:r>
      <w:r w:rsidRPr="00BE04E3">
        <w:rPr>
          <w:rFonts w:ascii="Century" w:hAnsi="Century" w:cs="Miriam" w:hint="cs"/>
          <w:b/>
          <w:spacing w:val="0"/>
          <w:sz w:val="22"/>
          <w:szCs w:val="24"/>
          <w:rtl/>
        </w:rPr>
        <w:t>פלוני נ' בית הדין הרבני הגדול</w:t>
      </w:r>
      <w:r>
        <w:rPr>
          <w:rFonts w:hint="cs"/>
          <w:rtl/>
        </w:rPr>
        <w:t xml:space="preserve">, פסקה 8 (10.9.2020)). בוודאי שנסיבות מסוג זה אינן מבססות עילה לקיום דיון נוסף. </w:t>
      </w:r>
    </w:p>
    <w:p w:rsidR="00FF0D41" w:rsidRDefault="00FF0D41" w:rsidP="00FF0D41">
      <w:pPr>
        <w:pStyle w:val="Ruller4"/>
        <w:numPr>
          <w:ilvl w:val="0"/>
          <w:numId w:val="0"/>
        </w:numPr>
      </w:pPr>
    </w:p>
    <w:p w:rsidR="00FF0D41" w:rsidRDefault="00FF0D41" w:rsidP="00FF0D41">
      <w:pPr>
        <w:pStyle w:val="Ruller4"/>
        <w:rPr>
          <w:rtl/>
        </w:rPr>
      </w:pPr>
      <w:r>
        <w:rPr>
          <w:rFonts w:hint="cs"/>
          <w:rtl/>
        </w:rPr>
        <w:t xml:space="preserve">בהקשר זה נדמה כי יש לחזור בענייננו על מושכלות יסוד: דיון נוסף איננו ערעור נוסף (דנ"א 1075/15 </w:t>
      </w:r>
      <w:r w:rsidRPr="00D95FAC">
        <w:rPr>
          <w:rFonts w:ascii="Century" w:hAnsi="Century" w:cs="Miriam" w:hint="cs"/>
          <w:b/>
          <w:spacing w:val="0"/>
          <w:sz w:val="22"/>
          <w:szCs w:val="24"/>
          <w:rtl/>
        </w:rPr>
        <w:t xml:space="preserve">בלום נ' </w:t>
      </w:r>
      <w:proofErr w:type="spellStart"/>
      <w:r w:rsidRPr="00D95FAC">
        <w:rPr>
          <w:rFonts w:ascii="Century" w:hAnsi="Century" w:cs="Miriam" w:hint="cs"/>
          <w:b/>
          <w:spacing w:val="0"/>
          <w:sz w:val="22"/>
          <w:szCs w:val="24"/>
          <w:rtl/>
        </w:rPr>
        <w:t>אנגלו</w:t>
      </w:r>
      <w:proofErr w:type="spellEnd"/>
      <w:r w:rsidRPr="00D95FAC">
        <w:rPr>
          <w:rFonts w:ascii="Century" w:hAnsi="Century" w:cs="Miriam" w:hint="cs"/>
          <w:b/>
          <w:spacing w:val="0"/>
          <w:sz w:val="22"/>
          <w:szCs w:val="24"/>
          <w:rtl/>
        </w:rPr>
        <w:t xml:space="preserve"> </w:t>
      </w:r>
      <w:proofErr w:type="spellStart"/>
      <w:r w:rsidRPr="00D95FAC">
        <w:rPr>
          <w:rFonts w:ascii="Century" w:hAnsi="Century" w:cs="Miriam" w:hint="cs"/>
          <w:b/>
          <w:spacing w:val="0"/>
          <w:sz w:val="22"/>
          <w:szCs w:val="24"/>
          <w:rtl/>
        </w:rPr>
        <w:t>סכסון</w:t>
      </w:r>
      <w:proofErr w:type="spellEnd"/>
      <w:r w:rsidRPr="00D95FAC">
        <w:rPr>
          <w:rFonts w:ascii="Century" w:hAnsi="Century" w:cs="Miriam" w:hint="cs"/>
          <w:b/>
          <w:spacing w:val="0"/>
          <w:sz w:val="22"/>
          <w:szCs w:val="24"/>
          <w:rtl/>
        </w:rPr>
        <w:t xml:space="preserve"> </w:t>
      </w:r>
      <w:r w:rsidRPr="00D95FAC">
        <w:rPr>
          <w:rFonts w:ascii="Century" w:hAnsi="Century" w:cs="Miriam"/>
          <w:b/>
          <w:spacing w:val="0"/>
          <w:sz w:val="22"/>
          <w:szCs w:val="24"/>
          <w:rtl/>
        </w:rPr>
        <w:t>–</w:t>
      </w:r>
      <w:r w:rsidRPr="00D95FAC">
        <w:rPr>
          <w:rFonts w:ascii="Century" w:hAnsi="Century" w:cs="Miriam" w:hint="cs"/>
          <w:b/>
          <w:spacing w:val="0"/>
          <w:sz w:val="22"/>
          <w:szCs w:val="24"/>
          <w:rtl/>
        </w:rPr>
        <w:t xml:space="preserve"> סוכנות </w:t>
      </w:r>
      <w:r>
        <w:rPr>
          <w:rFonts w:ascii="Century" w:hAnsi="Century" w:cs="Miriam" w:hint="cs"/>
          <w:b/>
          <w:spacing w:val="0"/>
          <w:sz w:val="22"/>
          <w:szCs w:val="24"/>
          <w:rtl/>
        </w:rPr>
        <w:t>ל</w:t>
      </w:r>
      <w:r w:rsidRPr="00D95FAC">
        <w:rPr>
          <w:rFonts w:ascii="Century" w:hAnsi="Century" w:cs="Miriam" w:hint="cs"/>
          <w:b/>
          <w:spacing w:val="0"/>
          <w:sz w:val="22"/>
          <w:szCs w:val="24"/>
          <w:rtl/>
        </w:rPr>
        <w:t xml:space="preserve">נכסים (ישראל </w:t>
      </w:r>
      <w:r w:rsidRPr="00D95FAC">
        <w:rPr>
          <w:rFonts w:ascii="Century" w:hAnsi="Century" w:cs="Miriam"/>
          <w:b/>
          <w:spacing w:val="0"/>
          <w:sz w:val="22"/>
          <w:szCs w:val="24"/>
          <w:rtl/>
        </w:rPr>
        <w:t>–</w:t>
      </w:r>
      <w:r w:rsidRPr="00D95FAC">
        <w:rPr>
          <w:rFonts w:ascii="Century" w:hAnsi="Century" w:cs="Miriam" w:hint="cs"/>
          <w:b/>
          <w:spacing w:val="0"/>
          <w:sz w:val="22"/>
          <w:szCs w:val="24"/>
          <w:rtl/>
        </w:rPr>
        <w:t xml:space="preserve"> 1992) בע"מ</w:t>
      </w:r>
      <w:r>
        <w:rPr>
          <w:rFonts w:hint="cs"/>
          <w:rtl/>
        </w:rPr>
        <w:t xml:space="preserve">, פסקה 18 (8.3.2015)). "השופטים אינם תמיד תמימי-דעים, ולעיתים מתעוררות מחלוקות באשר לעקרונות המנחים או באשר לתוצאה הסופית. כל אלה כשלעצמם אינם מהווים עילה לדיון נוסף, שהרי העיקרון הבסיסי הוא שבית המשפט העליון דן ומכריע, בכל מקרה הבא בפניו, פעם אחת" </w:t>
      </w:r>
      <w:r w:rsidRPr="005366E7">
        <w:rPr>
          <w:rFonts w:hint="cs"/>
          <w:rtl/>
        </w:rPr>
        <w:t>(</w:t>
      </w:r>
      <w:proofErr w:type="spellStart"/>
      <w:r w:rsidRPr="005366E7">
        <w:rPr>
          <w:rFonts w:hint="cs"/>
          <w:rtl/>
        </w:rPr>
        <w:t>דנג"ץ</w:t>
      </w:r>
      <w:proofErr w:type="spellEnd"/>
      <w:r w:rsidRPr="005366E7">
        <w:rPr>
          <w:rFonts w:hint="cs"/>
          <w:rtl/>
        </w:rPr>
        <w:t xml:space="preserve"> 10673/07 </w:t>
      </w:r>
      <w:r w:rsidRPr="00D95FAC">
        <w:rPr>
          <w:rFonts w:ascii="Century" w:hAnsi="Century" w:cs="Miriam" w:hint="cs"/>
          <w:b/>
          <w:spacing w:val="0"/>
          <w:sz w:val="22"/>
          <w:szCs w:val="24"/>
          <w:rtl/>
        </w:rPr>
        <w:t>פורום משפטי למען ארץ ישראל נ' ראש ממשלת ישראל</w:t>
      </w:r>
      <w:r w:rsidRPr="005366E7">
        <w:rPr>
          <w:rFonts w:hint="cs"/>
          <w:rtl/>
        </w:rPr>
        <w:t>, פסקה 14 (9.3.2008)</w:t>
      </w:r>
      <w:r>
        <w:rPr>
          <w:rFonts w:hint="cs"/>
          <w:rtl/>
        </w:rPr>
        <w:t xml:space="preserve"> (להלן: עניין </w:t>
      </w:r>
      <w:r w:rsidRPr="00D95FAC">
        <w:rPr>
          <w:rFonts w:ascii="Century" w:hAnsi="Century" w:cs="Miriam" w:hint="cs"/>
          <w:b/>
          <w:spacing w:val="0"/>
          <w:sz w:val="22"/>
          <w:szCs w:val="24"/>
          <w:rtl/>
        </w:rPr>
        <w:t>פורום משפטי למען ארץ ישראל</w:t>
      </w:r>
      <w:r>
        <w:rPr>
          <w:rFonts w:hint="cs"/>
          <w:rtl/>
        </w:rPr>
        <w:t xml:space="preserve">)). </w:t>
      </w:r>
      <w:r w:rsidRPr="005366E7">
        <w:rPr>
          <w:rFonts w:hint="cs"/>
          <w:rtl/>
        </w:rPr>
        <w:t xml:space="preserve">הליך הדיון </w:t>
      </w:r>
      <w:r>
        <w:rPr>
          <w:rFonts w:hint="cs"/>
          <w:rtl/>
        </w:rPr>
        <w:t>ה</w:t>
      </w:r>
      <w:r w:rsidRPr="005366E7">
        <w:rPr>
          <w:rFonts w:hint="cs"/>
          <w:rtl/>
        </w:rPr>
        <w:t>נוסף שמור למקרים נדירים ויוצאי-דופן שבהם מתקיימים התנאים המנויים בסעיף 30(</w:t>
      </w:r>
      <w:r>
        <w:rPr>
          <w:rFonts w:hint="cs"/>
          <w:rtl/>
        </w:rPr>
        <w:t xml:space="preserve">ב) לחוק בתי המשפט [נוסח משולב], התשמ"ד-1984, היינו כי הלכה שנפסקה </w:t>
      </w:r>
      <w:r>
        <w:rPr>
          <w:rFonts w:hint="cs"/>
          <w:rtl/>
        </w:rPr>
        <w:lastRenderedPageBreak/>
        <w:t>בבית משפט זה עומדת בסתירה להלכה קודמת שנקבעה בו או שמפאת חשיבותה, קשיותה או חידושה של ההלכה יש מקום לקיים בה דיון</w:t>
      </w:r>
      <w:r w:rsidRPr="005366E7">
        <w:rPr>
          <w:rFonts w:hint="cs"/>
          <w:rtl/>
        </w:rPr>
        <w:t xml:space="preserve"> </w:t>
      </w:r>
      <w:r>
        <w:rPr>
          <w:rFonts w:hint="cs"/>
          <w:rtl/>
        </w:rPr>
        <w:t xml:space="preserve">(וראו למשל לאחרונה: </w:t>
      </w:r>
      <w:proofErr w:type="spellStart"/>
      <w:r>
        <w:rPr>
          <w:rFonts w:hint="cs"/>
          <w:rtl/>
        </w:rPr>
        <w:t>דנ"פ</w:t>
      </w:r>
      <w:proofErr w:type="spellEnd"/>
      <w:r>
        <w:rPr>
          <w:rFonts w:hint="cs"/>
          <w:rtl/>
        </w:rPr>
        <w:t xml:space="preserve"> 2784/21 </w:t>
      </w:r>
      <w:r w:rsidRPr="00D95FAC">
        <w:rPr>
          <w:rFonts w:ascii="Century" w:hAnsi="Century" w:cs="Miriam" w:hint="cs"/>
          <w:b/>
          <w:spacing w:val="0"/>
          <w:sz w:val="22"/>
          <w:szCs w:val="24"/>
          <w:rtl/>
        </w:rPr>
        <w:t>פלוני נ' מדינת ישראל</w:t>
      </w:r>
      <w:r>
        <w:rPr>
          <w:rFonts w:hint="cs"/>
          <w:rtl/>
        </w:rPr>
        <w:t xml:space="preserve">, פסקה 5 (20.5.2021); </w:t>
      </w:r>
      <w:proofErr w:type="spellStart"/>
      <w:r>
        <w:rPr>
          <w:rFonts w:hint="cs"/>
          <w:rtl/>
        </w:rPr>
        <w:t>דנ"פ</w:t>
      </w:r>
      <w:proofErr w:type="spellEnd"/>
      <w:r>
        <w:rPr>
          <w:rFonts w:hint="cs"/>
          <w:rtl/>
        </w:rPr>
        <w:t xml:space="preserve"> 269/21 </w:t>
      </w:r>
      <w:r w:rsidRPr="00D95FAC">
        <w:rPr>
          <w:rFonts w:ascii="Century" w:hAnsi="Century" w:cs="Miriam" w:hint="cs"/>
          <w:b/>
          <w:spacing w:val="0"/>
          <w:sz w:val="22"/>
          <w:szCs w:val="24"/>
          <w:rtl/>
        </w:rPr>
        <w:t>טאלב נ' מדינת ישראל</w:t>
      </w:r>
      <w:r>
        <w:rPr>
          <w:rFonts w:hint="cs"/>
          <w:rtl/>
        </w:rPr>
        <w:t xml:space="preserve">, פסקה 6 (25.5.2021); </w:t>
      </w:r>
      <w:proofErr w:type="spellStart"/>
      <w:r>
        <w:rPr>
          <w:rFonts w:hint="cs"/>
          <w:rtl/>
        </w:rPr>
        <w:t>דנג"ץ</w:t>
      </w:r>
      <w:proofErr w:type="spellEnd"/>
      <w:r>
        <w:rPr>
          <w:rFonts w:hint="cs"/>
          <w:rtl/>
        </w:rPr>
        <w:t xml:space="preserve"> 6679/20 </w:t>
      </w:r>
      <w:r w:rsidRPr="00D95FAC">
        <w:rPr>
          <w:rFonts w:ascii="Century" w:hAnsi="Century" w:cs="Miriam" w:hint="cs"/>
          <w:b/>
          <w:spacing w:val="0"/>
          <w:sz w:val="22"/>
          <w:szCs w:val="24"/>
          <w:rtl/>
        </w:rPr>
        <w:t>חה"כ ד"ר יוסף ג'בארין נ' הכנסת</w:t>
      </w:r>
      <w:r>
        <w:rPr>
          <w:rFonts w:hint="cs"/>
          <w:rtl/>
        </w:rPr>
        <w:t xml:space="preserve">, פסקה 10 (26.5.2021)). כל זאת, בצירוף "דבר מה נוסף" המצדיק בירור מחודש של העניין (עניין </w:t>
      </w:r>
      <w:r w:rsidRPr="00D95FAC">
        <w:rPr>
          <w:rFonts w:ascii="Century" w:hAnsi="Century" w:cs="Miriam" w:hint="cs"/>
          <w:b/>
          <w:spacing w:val="0"/>
          <w:sz w:val="22"/>
          <w:szCs w:val="24"/>
          <w:rtl/>
        </w:rPr>
        <w:t>פור</w:t>
      </w:r>
      <w:r>
        <w:rPr>
          <w:rFonts w:ascii="Century" w:hAnsi="Century" w:cs="Miriam" w:hint="cs"/>
          <w:b/>
          <w:spacing w:val="0"/>
          <w:sz w:val="22"/>
          <w:szCs w:val="24"/>
          <w:rtl/>
        </w:rPr>
        <w:t>ו</w:t>
      </w:r>
      <w:r w:rsidRPr="00D95FAC">
        <w:rPr>
          <w:rFonts w:ascii="Century" w:hAnsi="Century" w:cs="Miriam" w:hint="cs"/>
          <w:b/>
          <w:spacing w:val="0"/>
          <w:sz w:val="22"/>
          <w:szCs w:val="24"/>
          <w:rtl/>
        </w:rPr>
        <w:t>ם משפטי למען ארץ ישראל</w:t>
      </w:r>
      <w:r>
        <w:rPr>
          <w:rFonts w:hint="cs"/>
          <w:rtl/>
        </w:rPr>
        <w:t xml:space="preserve">, פסקה 14; </w:t>
      </w:r>
      <w:proofErr w:type="spellStart"/>
      <w:r>
        <w:rPr>
          <w:rFonts w:hint="cs"/>
          <w:rtl/>
        </w:rPr>
        <w:t>דנג"ץ</w:t>
      </w:r>
      <w:proofErr w:type="spellEnd"/>
      <w:r>
        <w:rPr>
          <w:rFonts w:hint="cs"/>
          <w:rtl/>
        </w:rPr>
        <w:t xml:space="preserve"> 5019/13 </w:t>
      </w:r>
      <w:r w:rsidRPr="00D95FAC">
        <w:rPr>
          <w:rFonts w:ascii="Century" w:hAnsi="Century" w:cs="Miriam" w:hint="cs"/>
          <w:b/>
          <w:spacing w:val="0"/>
          <w:sz w:val="22"/>
          <w:szCs w:val="24"/>
          <w:rtl/>
        </w:rPr>
        <w:t xml:space="preserve">בית הדין </w:t>
      </w:r>
      <w:proofErr w:type="spellStart"/>
      <w:r w:rsidRPr="00D95FAC">
        <w:rPr>
          <w:rFonts w:ascii="Century" w:hAnsi="Century" w:cs="Miriam" w:hint="cs"/>
          <w:b/>
          <w:spacing w:val="0"/>
          <w:sz w:val="22"/>
          <w:szCs w:val="24"/>
          <w:rtl/>
        </w:rPr>
        <w:t>השרעי</w:t>
      </w:r>
      <w:proofErr w:type="spellEnd"/>
      <w:r w:rsidRPr="00D95FAC">
        <w:rPr>
          <w:rFonts w:ascii="Century" w:hAnsi="Century" w:cs="Miriam" w:hint="cs"/>
          <w:b/>
          <w:spacing w:val="0"/>
          <w:sz w:val="22"/>
          <w:szCs w:val="24"/>
          <w:rtl/>
        </w:rPr>
        <w:t xml:space="preserve"> לערעורים </w:t>
      </w:r>
      <w:r>
        <w:rPr>
          <w:rFonts w:ascii="Century" w:hAnsi="Century" w:cs="Miriam" w:hint="cs"/>
          <w:b/>
          <w:spacing w:val="0"/>
          <w:sz w:val="22"/>
          <w:szCs w:val="24"/>
          <w:rtl/>
        </w:rPr>
        <w:t xml:space="preserve">בירושלים </w:t>
      </w:r>
      <w:r w:rsidRPr="00D95FAC">
        <w:rPr>
          <w:rFonts w:ascii="Century" w:hAnsi="Century" w:cs="Miriam" w:hint="cs"/>
          <w:b/>
          <w:spacing w:val="0"/>
          <w:sz w:val="22"/>
          <w:szCs w:val="24"/>
          <w:rtl/>
        </w:rPr>
        <w:t>נ' פלונית</w:t>
      </w:r>
      <w:r>
        <w:rPr>
          <w:rFonts w:hint="cs"/>
          <w:rtl/>
        </w:rPr>
        <w:t xml:space="preserve">, פסקה 7 (14.8.2013); </w:t>
      </w:r>
      <w:proofErr w:type="spellStart"/>
      <w:r>
        <w:rPr>
          <w:rFonts w:hint="cs"/>
          <w:rtl/>
        </w:rPr>
        <w:t>דנג"ץ</w:t>
      </w:r>
      <w:proofErr w:type="spellEnd"/>
      <w:r>
        <w:rPr>
          <w:rFonts w:hint="cs"/>
          <w:rtl/>
        </w:rPr>
        <w:t xml:space="preserve"> 5806/15 </w:t>
      </w:r>
      <w:r w:rsidRPr="00D95FAC">
        <w:rPr>
          <w:rFonts w:ascii="Century" w:hAnsi="Century" w:cs="Miriam" w:hint="cs"/>
          <w:b/>
          <w:spacing w:val="0"/>
          <w:sz w:val="22"/>
          <w:szCs w:val="24"/>
          <w:rtl/>
        </w:rPr>
        <w:t>התנועה למען איכות השלטון בישראל נ' ראש ממשלת ישראל</w:t>
      </w:r>
      <w:r>
        <w:rPr>
          <w:rFonts w:hint="cs"/>
          <w:rtl/>
        </w:rPr>
        <w:t xml:space="preserve">, פסקה 5 (28.10.2015)). </w:t>
      </w:r>
    </w:p>
    <w:p w:rsidR="00FF0D41" w:rsidRDefault="00FF0D41" w:rsidP="00FF0D41">
      <w:pPr>
        <w:pStyle w:val="Ruller41"/>
        <w:rPr>
          <w:rtl/>
        </w:rPr>
      </w:pPr>
    </w:p>
    <w:p w:rsidR="00FF0D41" w:rsidRDefault="00FF0D41" w:rsidP="00FF0D41">
      <w:pPr>
        <w:pStyle w:val="Ruller4"/>
        <w:rPr>
          <w:rtl/>
        </w:rPr>
      </w:pPr>
      <w:r>
        <w:rPr>
          <w:rFonts w:hint="cs"/>
          <w:rtl/>
        </w:rPr>
        <w:t xml:space="preserve">הלכה למעשה, כפי שהיטיב חברי השופט </w:t>
      </w:r>
      <w:r w:rsidRPr="00492EAB">
        <w:rPr>
          <w:rFonts w:ascii="Century" w:hAnsi="Century" w:cs="Miriam" w:hint="cs"/>
          <w:b/>
          <w:spacing w:val="0"/>
          <w:szCs w:val="24"/>
          <w:rtl/>
        </w:rPr>
        <w:t>סולברג</w:t>
      </w:r>
      <w:r w:rsidRPr="00492EAB">
        <w:rPr>
          <w:rFonts w:hint="cs"/>
          <w:rtl/>
        </w:rPr>
        <w:t xml:space="preserve"> </w:t>
      </w:r>
      <w:r>
        <w:rPr>
          <w:rFonts w:hint="cs"/>
          <w:rtl/>
        </w:rPr>
        <w:t xml:space="preserve">לציין, בענייננו לא נפסקה כל הלכה חדשה. עניינה של העתירה לדיון נוסף נסוב על נסיבותיו הקונקרטיות של המקרה, וכך גם חוות דעתה של חברתי הנשיאה. הלכה מושרשת היא כי אופן יישומה של הלכה במקרה קונקרטי אינו מצדיק קיום דיון נוסף (ראו למשל: דנ"א 1075/14 </w:t>
      </w:r>
      <w:r w:rsidRPr="00BE04E3">
        <w:rPr>
          <w:rFonts w:ascii="Century" w:hAnsi="Century" w:cs="Miriam" w:hint="cs"/>
          <w:b/>
          <w:spacing w:val="0"/>
          <w:szCs w:val="24"/>
          <w:rtl/>
        </w:rPr>
        <w:t>קרן היסוד המגבית המאוחדת לארץ ישראל נ' קרן קיימת לישראל באמצעות מנהל מקרקעי ישראל</w:t>
      </w:r>
      <w:r>
        <w:rPr>
          <w:rFonts w:hint="cs"/>
          <w:rtl/>
        </w:rPr>
        <w:t xml:space="preserve">, פסקה 14 (15.7.2014); </w:t>
      </w:r>
      <w:proofErr w:type="spellStart"/>
      <w:r>
        <w:rPr>
          <w:rFonts w:hint="cs"/>
          <w:rtl/>
        </w:rPr>
        <w:t>דנג"ץ</w:t>
      </w:r>
      <w:proofErr w:type="spellEnd"/>
      <w:r>
        <w:rPr>
          <w:rFonts w:hint="cs"/>
          <w:rtl/>
        </w:rPr>
        <w:t xml:space="preserve"> 2630/14 </w:t>
      </w:r>
      <w:r w:rsidRPr="00BE04E3">
        <w:rPr>
          <w:rFonts w:ascii="Century" w:hAnsi="Century" w:cs="Miriam" w:hint="cs"/>
          <w:b/>
          <w:spacing w:val="0"/>
          <w:szCs w:val="24"/>
          <w:rtl/>
        </w:rPr>
        <w:t>ריינר נ' בית הדין הרבני האזורי בתל אביב</w:t>
      </w:r>
      <w:r>
        <w:rPr>
          <w:rFonts w:hint="cs"/>
          <w:rtl/>
        </w:rPr>
        <w:t xml:space="preserve">, פסקה 15 (23.10.2014); דנ"א 1812/21 </w:t>
      </w:r>
      <w:r w:rsidRPr="004209E8">
        <w:rPr>
          <w:rFonts w:ascii="Century" w:hAnsi="Century" w:cs="Miriam" w:hint="cs"/>
          <w:b/>
          <w:spacing w:val="0"/>
          <w:sz w:val="22"/>
          <w:szCs w:val="24"/>
          <w:rtl/>
        </w:rPr>
        <w:t xml:space="preserve">פלוני נ' מדינת ישראל </w:t>
      </w:r>
      <w:r w:rsidRPr="004209E8">
        <w:rPr>
          <w:rFonts w:ascii="Century" w:hAnsi="Century" w:cs="Miriam"/>
          <w:b/>
          <w:spacing w:val="0"/>
          <w:sz w:val="22"/>
          <w:szCs w:val="24"/>
          <w:rtl/>
        </w:rPr>
        <w:t>–</w:t>
      </w:r>
      <w:r w:rsidRPr="004209E8">
        <w:rPr>
          <w:rFonts w:ascii="Century" w:hAnsi="Century" w:cs="Miriam" w:hint="cs"/>
          <w:b/>
          <w:spacing w:val="0"/>
          <w:sz w:val="22"/>
          <w:szCs w:val="24"/>
          <w:rtl/>
        </w:rPr>
        <w:t xml:space="preserve"> המרכז לבריאות הנפש "מעלה הכרמל"</w:t>
      </w:r>
      <w:r>
        <w:rPr>
          <w:rFonts w:hint="cs"/>
          <w:rtl/>
        </w:rPr>
        <w:t xml:space="preserve">, פסקאות 10-9 (1.6.2021)). גם הכרעה העומדת בסתירה להלכה קודמת, אינה אלא לכל היותר בגדר טעות, שאינה מהווה כאמור עילה לדיון נוסף (יגאל מרזל "סעיף 18 לחוק יסוד: השפיטה </w:t>
      </w:r>
      <w:r>
        <w:rPr>
          <w:rtl/>
        </w:rPr>
        <w:t>–</w:t>
      </w:r>
      <w:r>
        <w:rPr>
          <w:rFonts w:hint="cs"/>
          <w:rtl/>
        </w:rPr>
        <w:t xml:space="preserve"> 'דיון נוסף' בדיון הנוסף" </w:t>
      </w:r>
      <w:r w:rsidRPr="00BE04E3">
        <w:rPr>
          <w:rFonts w:ascii="Century" w:hAnsi="Century" w:cs="Miriam" w:hint="cs"/>
          <w:b/>
          <w:spacing w:val="0"/>
          <w:szCs w:val="24"/>
          <w:rtl/>
        </w:rPr>
        <w:t>ספר דורית ביניש</w:t>
      </w:r>
      <w:r w:rsidRPr="007577C6">
        <w:rPr>
          <w:rFonts w:hint="cs"/>
          <w:rtl/>
        </w:rPr>
        <w:t xml:space="preserve"> </w:t>
      </w:r>
      <w:r>
        <w:rPr>
          <w:rFonts w:hint="cs"/>
          <w:rtl/>
        </w:rPr>
        <w:t xml:space="preserve">181, 237 (קרן אזולאי, איתי בר סימן טוב, אהרן ברק ושחר ליפשיץ עורכים, 2018) (להלן: </w:t>
      </w:r>
      <w:r w:rsidRPr="00BE04E3">
        <w:rPr>
          <w:rFonts w:ascii="Century" w:hAnsi="Century" w:cs="Miriam" w:hint="cs"/>
          <w:b/>
          <w:spacing w:val="0"/>
          <w:szCs w:val="24"/>
          <w:rtl/>
        </w:rPr>
        <w:t>מרזל</w:t>
      </w:r>
      <w:r>
        <w:rPr>
          <w:rFonts w:hint="cs"/>
          <w:rtl/>
        </w:rPr>
        <w:t xml:space="preserve">)). </w:t>
      </w:r>
    </w:p>
    <w:p w:rsidR="00FF0D41" w:rsidRPr="00BE04E3" w:rsidRDefault="00FF0D41" w:rsidP="00FF0D41">
      <w:pPr>
        <w:pStyle w:val="Ruller41"/>
      </w:pPr>
    </w:p>
    <w:p w:rsidR="00FF0D41" w:rsidRDefault="00FF0D41" w:rsidP="00FF0D41">
      <w:pPr>
        <w:pStyle w:val="Ruller4"/>
      </w:pPr>
      <w:r>
        <w:rPr>
          <w:rFonts w:hint="cs"/>
          <w:rtl/>
        </w:rPr>
        <w:t>אין עוררין בענייננו על ה"הלכה" הבסיסית, הנחת היסוד, לפיה על בית הדין הרבני שדן בענייני רכוש הנכרכים בענייני גירושין, להכריע במחלוקת על פי המשפט האזרחי. אין בנמצא אף "הלכה" חדשה. זאת בעוד שנקודת המוצא לבחינת השאלה אם יש מקום להורות על קיומו של דיון נוסף היא קביעתה של הלכה חדשה, אשר צריכה לגלות את עצמה על פני פסק הדין ולהיות ברורה ומפורשת (</w:t>
      </w:r>
      <w:proofErr w:type="spellStart"/>
      <w:r>
        <w:rPr>
          <w:rFonts w:hint="cs"/>
          <w:rtl/>
        </w:rPr>
        <w:t>דנ"פ</w:t>
      </w:r>
      <w:proofErr w:type="spellEnd"/>
      <w:r>
        <w:rPr>
          <w:rFonts w:hint="cs"/>
          <w:rtl/>
        </w:rPr>
        <w:t xml:space="preserve"> 7229/16 </w:t>
      </w:r>
      <w:r w:rsidRPr="003342DF">
        <w:rPr>
          <w:rFonts w:ascii="Century" w:hAnsi="Century" w:cs="Miriam" w:hint="cs"/>
          <w:b/>
          <w:spacing w:val="0"/>
          <w:sz w:val="22"/>
          <w:szCs w:val="24"/>
          <w:rtl/>
        </w:rPr>
        <w:t>בן יצחק נ' מדינת ישראל</w:t>
      </w:r>
      <w:r>
        <w:rPr>
          <w:rFonts w:hint="cs"/>
          <w:rtl/>
        </w:rPr>
        <w:t xml:space="preserve">, פסקה 28 (3.1.2017); </w:t>
      </w:r>
      <w:proofErr w:type="spellStart"/>
      <w:r>
        <w:rPr>
          <w:rFonts w:hint="cs"/>
          <w:rtl/>
        </w:rPr>
        <w:t>דנג"ץ</w:t>
      </w:r>
      <w:proofErr w:type="spellEnd"/>
      <w:r>
        <w:rPr>
          <w:rFonts w:hint="cs"/>
          <w:rtl/>
        </w:rPr>
        <w:t xml:space="preserve"> 2789/18 </w:t>
      </w:r>
      <w:r w:rsidRPr="003342DF">
        <w:rPr>
          <w:rFonts w:ascii="Century" w:hAnsi="Century" w:cs="Miriam" w:hint="cs"/>
          <w:b/>
          <w:spacing w:val="0"/>
          <w:sz w:val="22"/>
          <w:szCs w:val="24"/>
          <w:rtl/>
        </w:rPr>
        <w:t>פלוני נ' בית הדין הרבני הגדול לערעורים</w:t>
      </w:r>
      <w:r>
        <w:rPr>
          <w:rFonts w:hint="cs"/>
          <w:rtl/>
        </w:rPr>
        <w:t xml:space="preserve">, פסקה 5 (25.6.2018); </w:t>
      </w:r>
      <w:r w:rsidRPr="003342DF">
        <w:rPr>
          <w:rFonts w:ascii="Century" w:hAnsi="Century" w:cs="Miriam" w:hint="cs"/>
          <w:b/>
          <w:spacing w:val="0"/>
          <w:sz w:val="22"/>
          <w:szCs w:val="24"/>
          <w:rtl/>
        </w:rPr>
        <w:t>מרזל</w:t>
      </w:r>
      <w:r>
        <w:rPr>
          <w:rFonts w:hint="cs"/>
          <w:rtl/>
        </w:rPr>
        <w:t xml:space="preserve">, עמ' 236). זאת ועוד, אף אם הייתה נפסקת בענייננו הלכה חדשה, "לא כל חידוש הלכתי די בו כדי להצדיק סטייה מן הכלל הרגיל שלפיו פוסק בית-המשפט העליון בשלושה ופסיקתו היא סוף פסוק. נדרשת הלכה מיוחדת וחריגה שיש בה כדי לשנות באורח מהותי נורמות ששררו עובר להלכות שנדונו והוכרעו בפסק הדין" (דנ"א 3455/05 </w:t>
      </w:r>
      <w:r w:rsidRPr="003342DF">
        <w:rPr>
          <w:rFonts w:ascii="Century" w:hAnsi="Century" w:cs="Miriam" w:hint="cs"/>
          <w:b/>
          <w:spacing w:val="0"/>
          <w:sz w:val="22"/>
          <w:szCs w:val="24"/>
          <w:rtl/>
        </w:rPr>
        <w:t>עטיה נ' שחר</w:t>
      </w:r>
      <w:r>
        <w:rPr>
          <w:rFonts w:hint="cs"/>
          <w:rtl/>
        </w:rPr>
        <w:t>, פסקה 6 (11.10.2005)).</w:t>
      </w:r>
    </w:p>
    <w:p w:rsidR="00FF0D41" w:rsidRDefault="00FF0D41" w:rsidP="00FF0D41">
      <w:pPr>
        <w:pStyle w:val="Ruller4"/>
        <w:numPr>
          <w:ilvl w:val="0"/>
          <w:numId w:val="0"/>
        </w:numPr>
        <w:rPr>
          <w:rtl/>
        </w:rPr>
      </w:pPr>
    </w:p>
    <w:p w:rsidR="00FF0D41" w:rsidRPr="00F96D8E" w:rsidRDefault="00FF0D41" w:rsidP="00FF0D41">
      <w:pPr>
        <w:pStyle w:val="Ruller4"/>
        <w:numPr>
          <w:ilvl w:val="0"/>
          <w:numId w:val="0"/>
        </w:numPr>
        <w:rPr>
          <w:rFonts w:ascii="Century" w:hAnsi="Century" w:cs="Miriam"/>
          <w:b/>
          <w:spacing w:val="0"/>
          <w:sz w:val="22"/>
          <w:szCs w:val="24"/>
        </w:rPr>
      </w:pPr>
      <w:r w:rsidRPr="00F96D8E">
        <w:rPr>
          <w:rFonts w:ascii="Century" w:hAnsi="Century" w:cs="Miriam" w:hint="cs"/>
          <w:b/>
          <w:spacing w:val="0"/>
          <w:sz w:val="22"/>
          <w:szCs w:val="24"/>
          <w:rtl/>
        </w:rPr>
        <w:t>הדין העברי</w:t>
      </w:r>
    </w:p>
    <w:p w:rsidR="00FF0D41" w:rsidRDefault="00FF0D41" w:rsidP="00FF0D41">
      <w:pPr>
        <w:pStyle w:val="Ruller4"/>
        <w:rPr>
          <w:rtl/>
        </w:rPr>
      </w:pPr>
      <w:r>
        <w:rPr>
          <w:rFonts w:hint="cs"/>
          <w:rtl/>
        </w:rPr>
        <w:lastRenderedPageBreak/>
        <w:t xml:space="preserve">במסגרת חוות דעתי בפסק הדין הראשון הבאתי ממבואות ההלכה (היהודית) בעניין "מנהג ידוע" כמנהג המדינה בקשר לחלותה של "חזקת השיתוף" בהלכה הנוהגת. אין ברצוני לחזור על הדברים שנאמרו אז פעם נוספת. אך לעת הזאת אני רואה חשיבות להתייחס לגופה של הסוגיה המונחת לפנינו, שהיא כאמור השלכתה של אי נאמנות מינית של בן זוג על חלוקת הרכוש בין שני בני הזוג, לפי ההלכה. </w:t>
      </w:r>
    </w:p>
    <w:p w:rsidR="00FF0D41" w:rsidRPr="00212366" w:rsidRDefault="00FF0D41" w:rsidP="00FF0D41">
      <w:pPr>
        <w:pStyle w:val="Ruller41"/>
      </w:pPr>
    </w:p>
    <w:p w:rsidR="00FF0D41" w:rsidRDefault="00FF0D41" w:rsidP="00FF0D41">
      <w:pPr>
        <w:pStyle w:val="Ruller4"/>
        <w:rPr>
          <w:rtl/>
        </w:rPr>
      </w:pPr>
      <w:r>
        <w:rPr>
          <w:rFonts w:hint="cs"/>
          <w:rtl/>
        </w:rPr>
        <w:t xml:space="preserve">כאמור, הולדתה של העתירה לדיון נוסף נעוצה בחיבור בין סוגיית החלת הדין העברי כביכול בניגוד להלכת </w:t>
      </w:r>
      <w:r w:rsidRPr="009C5E95">
        <w:rPr>
          <w:rFonts w:ascii="Century" w:hAnsi="Century" w:cs="Miriam" w:hint="cs"/>
          <w:b/>
          <w:spacing w:val="0"/>
          <w:szCs w:val="24"/>
          <w:rtl/>
        </w:rPr>
        <w:t>בבלי</w:t>
      </w:r>
      <w:r>
        <w:rPr>
          <w:rFonts w:hint="cs"/>
          <w:rtl/>
        </w:rPr>
        <w:t xml:space="preserve">, לבין סוגיית ה"הענשה למפרע" בגין בגידתה של העותרת. אני סבור כי מדובר בחיבור שיסודו בטעות. כאמור לעיל, לטעמי לא נפל דבר במסגרת פסק דינו של בית הדין הרבני, ואין בו כדי לפגוע בהלכת </w:t>
      </w:r>
      <w:r w:rsidRPr="00403A2B">
        <w:rPr>
          <w:rFonts w:ascii="Century" w:hAnsi="Century" w:cs="Miriam" w:hint="cs"/>
          <w:b/>
          <w:spacing w:val="0"/>
          <w:sz w:val="22"/>
          <w:szCs w:val="24"/>
          <w:rtl/>
        </w:rPr>
        <w:t>בבלי</w:t>
      </w:r>
      <w:r>
        <w:rPr>
          <w:rFonts w:ascii="Century" w:hAnsi="Century" w:cs="Miriam" w:hint="cs"/>
          <w:b/>
          <w:spacing w:val="0"/>
          <w:sz w:val="22"/>
          <w:szCs w:val="24"/>
          <w:rtl/>
        </w:rPr>
        <w:t xml:space="preserve"> </w:t>
      </w:r>
      <w:r>
        <w:rPr>
          <w:rFonts w:ascii="Century" w:hAnsi="Century" w:hint="cs"/>
          <w:sz w:val="22"/>
          <w:rtl/>
        </w:rPr>
        <w:t>כ</w:t>
      </w:r>
      <w:r w:rsidRPr="00A73F07">
        <w:rPr>
          <w:rFonts w:ascii="Century" w:hAnsi="Century" w:hint="cs"/>
          <w:sz w:val="22"/>
          <w:rtl/>
        </w:rPr>
        <w:t>מלוא הנימה</w:t>
      </w:r>
      <w:r>
        <w:rPr>
          <w:rFonts w:hint="cs"/>
          <w:rtl/>
        </w:rPr>
        <w:t xml:space="preserve">. אינני סבור גם, כי התייחסותו של בית הדין הרבני לדין האזרחי הייתה מן השפה ולחוץ, רק על מנת לצאת ידי חובה. לצד זאת, הגם כי ניתן לראות בכך סוגיה צדדית ומשנית, על מנת </w:t>
      </w:r>
      <w:proofErr w:type="spellStart"/>
      <w:r>
        <w:rPr>
          <w:rFonts w:hint="cs"/>
          <w:rtl/>
        </w:rPr>
        <w:t>להפיס</w:t>
      </w:r>
      <w:proofErr w:type="spellEnd"/>
      <w:r>
        <w:rPr>
          <w:rFonts w:hint="cs"/>
          <w:rtl/>
        </w:rPr>
        <w:t xml:space="preserve"> את דעתם של אלו הסוברים כי פסק דינו של בית הדין הרבני משקף את אימוצה של ההלכה היהודית לתוך דיני הרכוש, אציין כי אף הדין העברי שולל את העמדה כי יש בכוחה של בגידה כדי "להעניש" למפרע אישה שבגדה בבעלה או בעל שבגד ברעייתו.</w:t>
      </w:r>
    </w:p>
    <w:p w:rsidR="00FF0D41" w:rsidRDefault="00FF0D41" w:rsidP="00FF0D41">
      <w:pPr>
        <w:pStyle w:val="Ruller41"/>
        <w:rPr>
          <w:rtl/>
        </w:rPr>
      </w:pPr>
    </w:p>
    <w:p w:rsidR="00FF0D41" w:rsidRDefault="00FF0D41" w:rsidP="00FF0D41">
      <w:pPr>
        <w:pStyle w:val="Ruller4"/>
      </w:pPr>
      <w:r>
        <w:rPr>
          <w:rFonts w:hint="cs"/>
          <w:rtl/>
        </w:rPr>
        <w:t>הנחת היסוד היא כי אישה אינה מפסידה את רכושה שקנתה כדין רק בשל כך שזנתה תחת בעלה. כמאמר התלמוד: "אם היא זינתה כליה מי זנאי" [אם היא זנתה, כליה האם זנו?!] (</w:t>
      </w:r>
      <w:r w:rsidRPr="00C573C6">
        <w:rPr>
          <w:rFonts w:ascii="Century" w:hAnsi="Century" w:cs="Miriam" w:hint="cs"/>
          <w:b/>
          <w:spacing w:val="0"/>
          <w:sz w:val="22"/>
          <w:szCs w:val="24"/>
          <w:rtl/>
        </w:rPr>
        <w:t>בבלי, כתובות</w:t>
      </w:r>
      <w:r>
        <w:rPr>
          <w:rFonts w:hint="cs"/>
          <w:rtl/>
        </w:rPr>
        <w:t xml:space="preserve"> </w:t>
      </w:r>
      <w:proofErr w:type="spellStart"/>
      <w:r>
        <w:rPr>
          <w:rFonts w:hint="cs"/>
          <w:rtl/>
        </w:rPr>
        <w:t>קא</w:t>
      </w:r>
      <w:proofErr w:type="spellEnd"/>
      <w:r>
        <w:rPr>
          <w:rFonts w:hint="cs"/>
          <w:rtl/>
        </w:rPr>
        <w:t>, ע"ב). וכך נקבע להלכה ב</w:t>
      </w:r>
      <w:r w:rsidRPr="00EB7619">
        <w:rPr>
          <w:rFonts w:ascii="Century" w:hAnsi="Century" w:cs="Miriam" w:hint="cs"/>
          <w:b/>
          <w:spacing w:val="0"/>
          <w:sz w:val="22"/>
          <w:szCs w:val="24"/>
          <w:rtl/>
        </w:rPr>
        <w:t xml:space="preserve">שולחן ערוך </w:t>
      </w:r>
      <w:r>
        <w:rPr>
          <w:rFonts w:hint="cs"/>
          <w:rtl/>
        </w:rPr>
        <w:t>(</w:t>
      </w:r>
      <w:r w:rsidRPr="00C573C6">
        <w:rPr>
          <w:rFonts w:ascii="Century" w:hAnsi="Century" w:cs="Miriam" w:hint="cs"/>
          <w:b/>
          <w:spacing w:val="0"/>
          <w:sz w:val="22"/>
          <w:szCs w:val="24"/>
          <w:rtl/>
        </w:rPr>
        <w:t>אבן העזר</w:t>
      </w:r>
      <w:r>
        <w:rPr>
          <w:rFonts w:hint="cs"/>
          <w:rtl/>
        </w:rPr>
        <w:t xml:space="preserve">, סימן </w:t>
      </w:r>
      <w:proofErr w:type="spellStart"/>
      <w:r>
        <w:rPr>
          <w:rFonts w:hint="cs"/>
          <w:rtl/>
        </w:rPr>
        <w:t>קטו</w:t>
      </w:r>
      <w:proofErr w:type="spellEnd"/>
      <w:r>
        <w:rPr>
          <w:rFonts w:hint="cs"/>
          <w:rtl/>
        </w:rPr>
        <w:t xml:space="preserve">, סעיף ה): </w:t>
      </w:r>
    </w:p>
    <w:p w:rsidR="00FF0D41" w:rsidRDefault="00FF0D41" w:rsidP="00FF0D41">
      <w:pPr>
        <w:pStyle w:val="Ruller4"/>
        <w:numPr>
          <w:ilvl w:val="0"/>
          <w:numId w:val="0"/>
        </w:numPr>
        <w:rPr>
          <w:rtl/>
        </w:rPr>
      </w:pPr>
    </w:p>
    <w:p w:rsidR="00FF0D41" w:rsidRDefault="00FF0D41" w:rsidP="00FF0D41">
      <w:pPr>
        <w:pStyle w:val="Ruller5"/>
        <w:rPr>
          <w:rtl/>
        </w:rPr>
      </w:pPr>
      <w:r>
        <w:rPr>
          <w:rFonts w:hint="cs"/>
          <w:rtl/>
        </w:rPr>
        <w:t xml:space="preserve">"כל אלו אין להם לא עיקר כתובה ולא תנאי כתובה ולא תוספת, אבל </w:t>
      </w:r>
      <w:proofErr w:type="spellStart"/>
      <w:r>
        <w:rPr>
          <w:rFonts w:hint="cs"/>
          <w:rtl/>
        </w:rPr>
        <w:t>תטול</w:t>
      </w:r>
      <w:proofErr w:type="spellEnd"/>
      <w:r>
        <w:rPr>
          <w:rFonts w:hint="cs"/>
          <w:rtl/>
        </w:rPr>
        <w:t xml:space="preserve"> מה שהכניסה לו והוא בעין, בין מנכסי צאן ברזל בין מנכסי מלוג. ואם כלה או נגנב או נאבד, אין </w:t>
      </w:r>
      <w:proofErr w:type="spellStart"/>
      <w:r>
        <w:rPr>
          <w:rFonts w:hint="cs"/>
          <w:rtl/>
        </w:rPr>
        <w:t>מוציאין</w:t>
      </w:r>
      <w:proofErr w:type="spellEnd"/>
      <w:r>
        <w:rPr>
          <w:rFonts w:hint="cs"/>
          <w:rtl/>
        </w:rPr>
        <w:t xml:space="preserve"> ממנו. וכן הדין במי שזינתה או שיוצאה משום שם רע, שאיבדה עיקר כתובתה ותוספת, ונוטלת מה שהוא בעין מכל מה שהכניסה וכן הדין בכל אותן ששנינו בהן תצא מזה ומזה".</w:t>
      </w:r>
    </w:p>
    <w:p w:rsidR="00FF0D41" w:rsidRDefault="00FF0D41" w:rsidP="00FF0D41">
      <w:pPr>
        <w:pStyle w:val="Ruller4"/>
        <w:numPr>
          <w:ilvl w:val="0"/>
          <w:numId w:val="0"/>
        </w:numPr>
        <w:rPr>
          <w:rtl/>
        </w:rPr>
      </w:pPr>
    </w:p>
    <w:p w:rsidR="00FF0D41" w:rsidRDefault="00FF0D41" w:rsidP="00FF0D41">
      <w:pPr>
        <w:pStyle w:val="Ruller41"/>
        <w:rPr>
          <w:rtl/>
        </w:rPr>
      </w:pPr>
      <w:r>
        <w:rPr>
          <w:rtl/>
        </w:rPr>
        <w:tab/>
      </w:r>
      <w:r>
        <w:rPr>
          <w:rFonts w:hint="cs"/>
          <w:rtl/>
        </w:rPr>
        <w:t xml:space="preserve">אמנם, עניינה של הלכה זו ברכוש אשר היה שייך לאישה לפני נישואיה. עם זאת, יש להסיק ממנה את העיקרון הבסיסי אשר פורט לעיל, לפיו אין בכוחה של התנהגותה המאוחרת של אישה להשפיע על בעלותה הקניינית בנכסים </w:t>
      </w:r>
      <w:r>
        <w:rPr>
          <w:rtl/>
        </w:rPr>
        <w:t>–</w:t>
      </w:r>
      <w:r>
        <w:rPr>
          <w:rFonts w:hint="cs"/>
          <w:rtl/>
        </w:rPr>
        <w:t xml:space="preserve"> בין אם אלו היו בבעלותה לפני הנישואין ובין אם זכתה בהם במהלך הנישואין (זאת למעט נכסים שקיבלה במתנה מהבעל לגביהם, כפי שנראה להלן, קיימת מחלוקת בין הפוסקים). בכך, הלכה למעשה, ניתן לסכם את הדיון, שכן אישה שזכתה ברכוש בדרך של שיתוף ספציפי אינה מאבדת </w:t>
      </w:r>
      <w:r>
        <w:rPr>
          <w:rFonts w:hint="cs"/>
          <w:rtl/>
        </w:rPr>
        <w:lastRenderedPageBreak/>
        <w:t xml:space="preserve">את הרכוש בשל התנהגותה לאחר מעשה. אף על פי כן, ראיתי לנכון להרחיב במילים ספורות את היריעה ולדון בשאלות אחרות הקרובות לענייננו, ולו בשל כך שבית הדין הרבני מתייחס לעתים גם לשאלות </w:t>
      </w:r>
      <w:proofErr w:type="spellStart"/>
      <w:r>
        <w:rPr>
          <w:rFonts w:hint="cs"/>
          <w:rtl/>
        </w:rPr>
        <w:t>רכושיות</w:t>
      </w:r>
      <w:proofErr w:type="spellEnd"/>
      <w:r>
        <w:rPr>
          <w:rFonts w:hint="cs"/>
          <w:rtl/>
        </w:rPr>
        <w:t xml:space="preserve"> אחרות המתעוררות בשל התנהגותם של בני הזוג במהלך נישואיהם (וראו למשל</w:t>
      </w:r>
      <w:r w:rsidRPr="001B154E">
        <w:rPr>
          <w:rFonts w:hint="cs"/>
          <w:rtl/>
        </w:rPr>
        <w:t xml:space="preserve">: ע' (גדול) 1125089/1 </w:t>
      </w:r>
      <w:r w:rsidRPr="001B154E">
        <w:rPr>
          <w:rFonts w:cs="Miriam" w:hint="cs"/>
          <w:b/>
          <w:spacing w:val="0"/>
          <w:szCs w:val="24"/>
          <w:rtl/>
        </w:rPr>
        <w:t>פלוני נ' פלונית</w:t>
      </w:r>
      <w:r w:rsidRPr="001B154E">
        <w:rPr>
          <w:rFonts w:hint="cs"/>
          <w:rtl/>
        </w:rPr>
        <w:t xml:space="preserve"> (26.3.2018), פסק דין שניתן לאחר פסק דינו של בית הדין הרבני</w:t>
      </w:r>
      <w:r>
        <w:rPr>
          <w:rFonts w:hint="cs"/>
          <w:rtl/>
        </w:rPr>
        <w:t xml:space="preserve"> מושא ענייננו). בעשותי כן, אין בכוונתי להשיג את גבולו של בית הדין הרבני האמון על פירוש הדין העברי ועל פסיקת ההלכה בו. בכוונתי, בהרחבת הסוגיה אך להראות כי בעיקרי הדברים לא קיימת סתירה, וודאי לא סתירה מהותית, בין ההלכה היהודית לפי דעתם של פוסקים רבים לבין פסיקתו של בית משפט זה. </w:t>
      </w:r>
    </w:p>
    <w:p w:rsidR="00FF0D41" w:rsidRDefault="00FF0D41" w:rsidP="00FF0D41">
      <w:pPr>
        <w:ind w:firstLine="720"/>
        <w:jc w:val="both"/>
        <w:rPr>
          <w:rtl/>
        </w:rPr>
      </w:pPr>
    </w:p>
    <w:p w:rsidR="00FF0D41" w:rsidRDefault="00FF0D41" w:rsidP="00FF0D41">
      <w:pPr>
        <w:pStyle w:val="Ruller4"/>
        <w:rPr>
          <w:rtl/>
        </w:rPr>
      </w:pPr>
      <w:r>
        <w:rPr>
          <w:rFonts w:hint="cs"/>
          <w:rtl/>
        </w:rPr>
        <w:t xml:space="preserve">כאמור, רכוש פרטי שהאישה </w:t>
      </w:r>
      <w:r w:rsidRPr="0055792B">
        <w:rPr>
          <w:rFonts w:hint="cs"/>
          <w:rtl/>
        </w:rPr>
        <w:t>הביאה</w:t>
      </w:r>
      <w:r>
        <w:rPr>
          <w:rFonts w:hint="cs"/>
          <w:rtl/>
        </w:rPr>
        <w:t xml:space="preserve"> </w:t>
      </w:r>
      <w:proofErr w:type="spellStart"/>
      <w:r>
        <w:rPr>
          <w:rFonts w:hint="cs"/>
          <w:rtl/>
        </w:rPr>
        <w:t>עימה</w:t>
      </w:r>
      <w:proofErr w:type="spellEnd"/>
      <w:r>
        <w:rPr>
          <w:rFonts w:hint="cs"/>
          <w:rtl/>
        </w:rPr>
        <w:t xml:space="preserve"> מביתה לבית בעלה, נותר בבעלותה גם אם זינתה תחתיו. הלכה זו נכונה לא רק ביחס לרכוש שאין לבעל זכות בו כלל, </w:t>
      </w:r>
      <w:r w:rsidRPr="0055792B">
        <w:rPr>
          <w:rFonts w:hint="cs"/>
          <w:rtl/>
        </w:rPr>
        <w:t>אלא</w:t>
      </w:r>
      <w:r>
        <w:rPr>
          <w:rFonts w:hint="cs"/>
          <w:rtl/>
        </w:rPr>
        <w:t xml:space="preserve"> אפילו ביחס לרכוש שהבעל קיבל בו זכויות שימוש מסוימות, מכוח תקנת חכמים שהסדירה את יחסי הממון בין בני הזוג (ובלשון חכמינו </w:t>
      </w:r>
      <w:r>
        <w:rPr>
          <w:rtl/>
        </w:rPr>
        <w:t>–</w:t>
      </w:r>
      <w:r>
        <w:rPr>
          <w:rFonts w:hint="cs"/>
          <w:rtl/>
        </w:rPr>
        <w:t xml:space="preserve"> נכסי "צאן ברזל" [נכסים שהבעל משתמש בהם וחייב באחריותם] ונכסי "מלוג" [נכסים שהבעל נהנה מפירותיהם ואינו חייב באחריותם]). היא גם נכונה כאשר מדובר ברכוש שהוענק לאישה במתנה, אם כי דיני מתנה בעניין זה מורכבים, הואיל ובכל מקרה נתון יש להתחקות אחר כוונת הצדדים אם המתנה ניתנה כמתנה גמורה או כמתנה על תנאי. מדובר בנושא החורג מד' אמותיו של הדיון שלפנינו, הואיל והשיתוף הספציפי בנכסים אינו מבוסס על הענקת מתנה מבן זוג אחד לשני. עם זאת, מפאת חשיבות הסוגיה ומכיוון שניתן ללמוד ממנה ולו על דרך ההיקש, נדון בה ולו על קצה המזלג.</w:t>
      </w:r>
    </w:p>
    <w:p w:rsidR="00FF0D41" w:rsidRPr="00BF68FB" w:rsidRDefault="00FF0D41" w:rsidP="00FF0D41">
      <w:pPr>
        <w:pStyle w:val="Ruller41"/>
      </w:pPr>
    </w:p>
    <w:p w:rsidR="00FF0D41" w:rsidRDefault="00FF0D41" w:rsidP="00FF0D41">
      <w:pPr>
        <w:pStyle w:val="Ruller4"/>
        <w:rPr>
          <w:rtl/>
        </w:rPr>
      </w:pPr>
      <w:r>
        <w:rPr>
          <w:rFonts w:hint="cs"/>
          <w:rtl/>
        </w:rPr>
        <w:t xml:space="preserve"> דין מתנה שקיבלה במהלך הנישואין אישה שלימים בגדה בבעלה אינו נדון באופן מפורש בתלמוד, והפוסקים למדו עליו מסוגיות אחרות הדנות בדין </w:t>
      </w:r>
      <w:r w:rsidRPr="007C24FA">
        <w:rPr>
          <w:rFonts w:hint="cs"/>
          <w:rtl/>
        </w:rPr>
        <w:t xml:space="preserve">לבוש </w:t>
      </w:r>
      <w:r>
        <w:rPr>
          <w:rFonts w:hint="cs"/>
          <w:rtl/>
        </w:rPr>
        <w:t xml:space="preserve">שנתן הבעל לאשתו במהלך הנישואין ולאחר מכן האישה </w:t>
      </w:r>
      <w:r w:rsidRPr="007C24FA">
        <w:rPr>
          <w:rFonts w:hint="cs"/>
          <w:rtl/>
        </w:rPr>
        <w:t>התאלמנה</w:t>
      </w:r>
      <w:r>
        <w:rPr>
          <w:rFonts w:hint="cs"/>
          <w:rtl/>
        </w:rPr>
        <w:t xml:space="preserve"> ממנו; באישה שהתגרשה מבעלה מבלי ש"מרדה" בו; ובאישה שהתגרשה מבעלה בשל מרידתה בו. </w:t>
      </w:r>
    </w:p>
    <w:p w:rsidR="00FF0D41" w:rsidRDefault="00FF0D41" w:rsidP="00FF0D41">
      <w:pPr>
        <w:pStyle w:val="Ruller41"/>
        <w:rPr>
          <w:rtl/>
        </w:rPr>
      </w:pPr>
    </w:p>
    <w:p w:rsidR="00FF0D41" w:rsidRDefault="00FF0D41" w:rsidP="00FF0D41">
      <w:pPr>
        <w:pStyle w:val="Ruller4"/>
        <w:numPr>
          <w:ilvl w:val="0"/>
          <w:numId w:val="0"/>
        </w:numPr>
        <w:rPr>
          <w:rtl/>
        </w:rPr>
      </w:pPr>
      <w:r>
        <w:rPr>
          <w:rtl/>
        </w:rPr>
        <w:tab/>
      </w:r>
      <w:r>
        <w:rPr>
          <w:rFonts w:hint="cs"/>
          <w:rtl/>
        </w:rPr>
        <w:t>בעניין הדין הראשון, קרי דין בגדים שניתנו לאישה על ידי בעלה ולאחר מכן התאלמנה ממנו, ההלכה היא כי כאשר האישה גובה את כתובתה לאחר מות בעלה,</w:t>
      </w:r>
      <w:r w:rsidRPr="007D0321">
        <w:rPr>
          <w:rFonts w:hint="cs"/>
          <w:rtl/>
        </w:rPr>
        <w:t xml:space="preserve"> ערך הבגדים שקיבלה ממנו במהלך הנישואין </w:t>
      </w:r>
      <w:r>
        <w:rPr>
          <w:rFonts w:hint="cs"/>
          <w:rtl/>
        </w:rPr>
        <w:t xml:space="preserve">ועודם בידה, מנוכה מסכום כתובתה </w:t>
      </w:r>
      <w:r w:rsidRPr="007D0321">
        <w:rPr>
          <w:rFonts w:hint="cs"/>
          <w:rtl/>
        </w:rPr>
        <w:t>(</w:t>
      </w:r>
      <w:r w:rsidRPr="007D0321">
        <w:rPr>
          <w:rFonts w:ascii="Century" w:hAnsi="Century" w:cs="Miriam" w:hint="cs"/>
          <w:b/>
          <w:spacing w:val="0"/>
          <w:sz w:val="22"/>
          <w:szCs w:val="24"/>
          <w:rtl/>
        </w:rPr>
        <w:t>שולחן ערוך</w:t>
      </w:r>
      <w:r w:rsidRPr="00645638">
        <w:rPr>
          <w:rFonts w:ascii="Century" w:hAnsi="Century" w:hint="cs"/>
          <w:sz w:val="22"/>
          <w:rtl/>
        </w:rPr>
        <w:t>,</w:t>
      </w:r>
      <w:r w:rsidRPr="007D0321">
        <w:rPr>
          <w:rFonts w:hint="cs"/>
          <w:rtl/>
        </w:rPr>
        <w:t xml:space="preserve"> </w:t>
      </w:r>
      <w:r w:rsidRPr="007D0321">
        <w:rPr>
          <w:rFonts w:ascii="Century" w:hAnsi="Century" w:cs="Miriam" w:hint="cs"/>
          <w:b/>
          <w:spacing w:val="0"/>
          <w:szCs w:val="24"/>
          <w:rtl/>
        </w:rPr>
        <w:t>אבן העזר</w:t>
      </w:r>
      <w:r w:rsidRPr="007D0321">
        <w:rPr>
          <w:rFonts w:hint="cs"/>
          <w:rtl/>
        </w:rPr>
        <w:t xml:space="preserve">, </w:t>
      </w:r>
      <w:r>
        <w:rPr>
          <w:rFonts w:hint="cs"/>
          <w:rtl/>
        </w:rPr>
        <w:t xml:space="preserve">סימן </w:t>
      </w:r>
      <w:proofErr w:type="spellStart"/>
      <w:r>
        <w:rPr>
          <w:rFonts w:hint="cs"/>
          <w:rtl/>
        </w:rPr>
        <w:t>צ</w:t>
      </w:r>
      <w:r w:rsidRPr="007D0321">
        <w:rPr>
          <w:rFonts w:hint="cs"/>
          <w:rtl/>
        </w:rPr>
        <w:t>ט</w:t>
      </w:r>
      <w:proofErr w:type="spellEnd"/>
      <w:r w:rsidRPr="007D0321">
        <w:rPr>
          <w:rFonts w:hint="cs"/>
          <w:rtl/>
        </w:rPr>
        <w:t xml:space="preserve">, סעיף א). </w:t>
      </w:r>
      <w:r>
        <w:rPr>
          <w:rFonts w:hint="cs"/>
          <w:rtl/>
        </w:rPr>
        <w:t xml:space="preserve">הסיבה לניכוי נעוצה בתפיסה ההלכתית שאין המדובר במתנה מוחלטת בדומה לזו המוגדרת בחוק המתנה שהיא הקניית הנכס למקבל המתנה, אלא בהבנה שבגדי האלמנה שייכים לבעלה המנוח וסיבת נתינתם לאשתו בחייו, הייתה לשם לבישתם בעודו בחיים ולא לאחר מכן (וראו: </w:t>
      </w:r>
      <w:r>
        <w:rPr>
          <w:rFonts w:ascii="Century" w:hAnsi="Century" w:cs="Miriam" w:hint="cs"/>
          <w:b/>
          <w:spacing w:val="0"/>
          <w:szCs w:val="24"/>
          <w:rtl/>
        </w:rPr>
        <w:t xml:space="preserve">שו"ת </w:t>
      </w:r>
      <w:proofErr w:type="spellStart"/>
      <w:r>
        <w:rPr>
          <w:rFonts w:ascii="Century" w:hAnsi="Century" w:cs="Miriam" w:hint="cs"/>
          <w:b/>
          <w:spacing w:val="0"/>
          <w:szCs w:val="24"/>
          <w:rtl/>
        </w:rPr>
        <w:t>הרשב"א</w:t>
      </w:r>
      <w:proofErr w:type="spellEnd"/>
      <w:r>
        <w:rPr>
          <w:rFonts w:hint="cs"/>
          <w:rtl/>
        </w:rPr>
        <w:t xml:space="preserve">, חלק ב סימן </w:t>
      </w:r>
      <w:r>
        <w:rPr>
          <w:rFonts w:hint="cs"/>
          <w:rtl/>
        </w:rPr>
        <w:lastRenderedPageBreak/>
        <w:t xml:space="preserve">רפו; </w:t>
      </w:r>
      <w:r>
        <w:rPr>
          <w:rFonts w:ascii="Century" w:hAnsi="Century" w:cs="Miriam" w:hint="cs"/>
          <w:b/>
          <w:spacing w:val="0"/>
          <w:szCs w:val="24"/>
          <w:rtl/>
        </w:rPr>
        <w:t>חידושי רבי עקיבא איגר</w:t>
      </w:r>
      <w:r>
        <w:rPr>
          <w:rFonts w:hint="cs"/>
          <w:rtl/>
        </w:rPr>
        <w:t xml:space="preserve">, כתובות נד ע"ב שהתלבטו בשאלה האם בגדי האישה בחיי בעלה </w:t>
      </w:r>
      <w:r>
        <w:rPr>
          <w:rFonts w:ascii="Century" w:hAnsi="Century" w:cs="Miriam" w:hint="cs"/>
          <w:b/>
          <w:spacing w:val="0"/>
          <w:szCs w:val="24"/>
          <w:rtl/>
        </w:rPr>
        <w:t>שאולים</w:t>
      </w:r>
      <w:r>
        <w:rPr>
          <w:rFonts w:hint="cs"/>
          <w:rtl/>
        </w:rPr>
        <w:t xml:space="preserve"> לה, או שמא הם קנויים לה ואף על פי כן לאחר יציאת האלמנה מבית המנוח, הבעלות על הבגדים חוזרת ליורשיו. זאת, מפני שהם לא ניתנו לה מלכתחילה על מנת שתיטול אותם לאחר מותו).</w:t>
      </w:r>
    </w:p>
    <w:p w:rsidR="00FF0D41" w:rsidRPr="00620D26" w:rsidRDefault="00FF0D41" w:rsidP="00FF0D41">
      <w:pPr>
        <w:pStyle w:val="Ruller41"/>
      </w:pPr>
    </w:p>
    <w:p w:rsidR="00FF0D41" w:rsidRDefault="00FF0D41" w:rsidP="00FF0D41">
      <w:pPr>
        <w:pStyle w:val="Ruller4"/>
        <w:rPr>
          <w:rtl/>
        </w:rPr>
      </w:pPr>
      <w:r w:rsidRPr="007D0321">
        <w:rPr>
          <w:rFonts w:hint="cs"/>
          <w:rtl/>
        </w:rPr>
        <w:t xml:space="preserve">לעומת זאת, </w:t>
      </w:r>
      <w:r>
        <w:rPr>
          <w:rFonts w:hint="cs"/>
          <w:rtl/>
        </w:rPr>
        <w:t>בדין מתנות הניתנות ל</w:t>
      </w:r>
      <w:r w:rsidRPr="007D0321">
        <w:rPr>
          <w:rFonts w:hint="cs"/>
          <w:rtl/>
        </w:rPr>
        <w:t xml:space="preserve">אישה המתגרשת מבעלה, קיימת מחלוקת ראשונים. </w:t>
      </w:r>
      <w:r w:rsidRPr="000A544F">
        <w:rPr>
          <w:rFonts w:hint="cs"/>
          <w:rtl/>
        </w:rPr>
        <w:t xml:space="preserve">לדעת </w:t>
      </w:r>
      <w:proofErr w:type="spellStart"/>
      <w:r w:rsidRPr="00C1292D">
        <w:rPr>
          <w:rFonts w:ascii="Century" w:hAnsi="Century" w:cs="Miriam" w:hint="cs"/>
          <w:b/>
          <w:spacing w:val="0"/>
          <w:szCs w:val="24"/>
          <w:rtl/>
        </w:rPr>
        <w:t>הרי"ף</w:t>
      </w:r>
      <w:proofErr w:type="spellEnd"/>
      <w:r w:rsidRPr="000A544F">
        <w:rPr>
          <w:rFonts w:hint="cs"/>
          <w:rtl/>
        </w:rPr>
        <w:t xml:space="preserve"> (כתובות, דף </w:t>
      </w:r>
      <w:proofErr w:type="spellStart"/>
      <w:r w:rsidRPr="000A544F">
        <w:rPr>
          <w:rFonts w:hint="cs"/>
          <w:rtl/>
        </w:rPr>
        <w:t>כא</w:t>
      </w:r>
      <w:proofErr w:type="spellEnd"/>
      <w:r w:rsidRPr="000A544F">
        <w:rPr>
          <w:rFonts w:hint="cs"/>
          <w:rtl/>
        </w:rPr>
        <w:t xml:space="preserve"> בדפי </w:t>
      </w:r>
      <w:proofErr w:type="spellStart"/>
      <w:r w:rsidRPr="000A544F">
        <w:rPr>
          <w:rFonts w:hint="cs"/>
          <w:rtl/>
        </w:rPr>
        <w:t>הרי"ף</w:t>
      </w:r>
      <w:proofErr w:type="spellEnd"/>
      <w:r w:rsidRPr="000A544F">
        <w:rPr>
          <w:rFonts w:hint="cs"/>
          <w:rtl/>
        </w:rPr>
        <w:t>), הרמב"ן (</w:t>
      </w:r>
      <w:r w:rsidRPr="00C1292D">
        <w:rPr>
          <w:rFonts w:ascii="Century" w:hAnsi="Century" w:cs="Miriam" w:hint="cs"/>
          <w:b/>
          <w:spacing w:val="0"/>
          <w:szCs w:val="24"/>
          <w:rtl/>
        </w:rPr>
        <w:t>מלחמות ה'</w:t>
      </w:r>
      <w:r w:rsidRPr="000A544F">
        <w:rPr>
          <w:rFonts w:hint="cs"/>
          <w:rtl/>
        </w:rPr>
        <w:t>, שם), והרמב"ם (</w:t>
      </w:r>
      <w:r w:rsidRPr="00C1292D">
        <w:rPr>
          <w:rFonts w:ascii="Century" w:hAnsi="Century" w:cs="Miriam" w:hint="cs"/>
          <w:b/>
          <w:spacing w:val="0"/>
          <w:szCs w:val="24"/>
          <w:rtl/>
        </w:rPr>
        <w:t>משנה תורה</w:t>
      </w:r>
      <w:r w:rsidRPr="00C1292D">
        <w:rPr>
          <w:rFonts w:ascii="Century" w:hAnsi="Century" w:hint="cs"/>
          <w:sz w:val="22"/>
          <w:rtl/>
        </w:rPr>
        <w:t>, הלכות אישות,</w:t>
      </w:r>
      <w:r w:rsidRPr="007D0321">
        <w:rPr>
          <w:rFonts w:hint="cs"/>
          <w:rtl/>
        </w:rPr>
        <w:t xml:space="preserve"> פרק </w:t>
      </w:r>
      <w:proofErr w:type="spellStart"/>
      <w:r w:rsidRPr="007D0321">
        <w:rPr>
          <w:rFonts w:hint="cs"/>
          <w:rtl/>
        </w:rPr>
        <w:t>טז</w:t>
      </w:r>
      <w:proofErr w:type="spellEnd"/>
      <w:r w:rsidRPr="007D0321">
        <w:rPr>
          <w:rFonts w:hint="cs"/>
          <w:rtl/>
        </w:rPr>
        <w:t>, הלכה ד), הבגדים נשארים ב</w:t>
      </w:r>
      <w:r>
        <w:rPr>
          <w:rFonts w:hint="cs"/>
          <w:rtl/>
        </w:rPr>
        <w:t>רשות האישה</w:t>
      </w:r>
      <w:r w:rsidRPr="007D0321">
        <w:rPr>
          <w:rFonts w:hint="cs"/>
          <w:rtl/>
        </w:rPr>
        <w:t xml:space="preserve"> (וראו: דברי </w:t>
      </w:r>
      <w:r w:rsidRPr="00C1292D">
        <w:rPr>
          <w:rFonts w:ascii="Century" w:hAnsi="Century" w:cs="Miriam" w:hint="cs"/>
          <w:b/>
          <w:spacing w:val="0"/>
          <w:szCs w:val="24"/>
          <w:rtl/>
        </w:rPr>
        <w:t>העיטור</w:t>
      </w:r>
      <w:r w:rsidRPr="000A544F">
        <w:rPr>
          <w:rFonts w:hint="cs"/>
          <w:rtl/>
        </w:rPr>
        <w:t xml:space="preserve">, </w:t>
      </w:r>
      <w:r w:rsidRPr="00C1292D">
        <w:rPr>
          <w:rFonts w:ascii="Century" w:hAnsi="Century" w:hint="cs"/>
          <w:rtl/>
        </w:rPr>
        <w:t xml:space="preserve">אות כ, כתובות, דף לד, טור ד המסייג את דברי </w:t>
      </w:r>
      <w:proofErr w:type="spellStart"/>
      <w:r w:rsidRPr="00C1292D">
        <w:rPr>
          <w:rFonts w:ascii="Century" w:hAnsi="Century" w:hint="cs"/>
          <w:rtl/>
        </w:rPr>
        <w:t>הרי"ף</w:t>
      </w:r>
      <w:proofErr w:type="spellEnd"/>
      <w:r w:rsidRPr="00C1292D">
        <w:rPr>
          <w:rFonts w:ascii="Century" w:hAnsi="Century" w:hint="cs"/>
          <w:rtl/>
        </w:rPr>
        <w:t xml:space="preserve"> למקרה שבו הגירושין נעשו מרצונו המלא של הבעל, אך אם הם נגרמו כתוצאה ממעשי האישה, האישה כן תפסיד את כסותה; וראו עוד בעניין זה: </w:t>
      </w:r>
      <w:r>
        <w:rPr>
          <w:rFonts w:ascii="Century" w:hAnsi="Century" w:cs="Miriam" w:hint="cs"/>
          <w:b/>
          <w:spacing w:val="0"/>
          <w:sz w:val="22"/>
          <w:szCs w:val="24"/>
          <w:rtl/>
        </w:rPr>
        <w:t xml:space="preserve">שו"ת </w:t>
      </w:r>
      <w:proofErr w:type="spellStart"/>
      <w:r>
        <w:rPr>
          <w:rFonts w:ascii="Century" w:hAnsi="Century" w:cs="Miriam" w:hint="cs"/>
          <w:b/>
          <w:spacing w:val="0"/>
          <w:sz w:val="22"/>
          <w:szCs w:val="24"/>
          <w:rtl/>
        </w:rPr>
        <w:t>ה</w:t>
      </w:r>
      <w:r w:rsidRPr="00C1292D">
        <w:rPr>
          <w:rFonts w:ascii="Century" w:hAnsi="Century" w:cs="Miriam" w:hint="cs"/>
          <w:b/>
          <w:spacing w:val="0"/>
          <w:sz w:val="22"/>
          <w:szCs w:val="24"/>
          <w:rtl/>
        </w:rPr>
        <w:t>ריב"ש</w:t>
      </w:r>
      <w:proofErr w:type="spellEnd"/>
      <w:r>
        <w:rPr>
          <w:rFonts w:hint="cs"/>
          <w:rtl/>
        </w:rPr>
        <w:t>,</w:t>
      </w:r>
      <w:r w:rsidRPr="000A544F">
        <w:rPr>
          <w:rFonts w:hint="cs"/>
          <w:rtl/>
        </w:rPr>
        <w:t xml:space="preserve"> סימן שא;</w:t>
      </w:r>
      <w:r>
        <w:rPr>
          <w:rFonts w:hint="cs"/>
          <w:rtl/>
        </w:rPr>
        <w:t xml:space="preserve"> </w:t>
      </w:r>
      <w:r w:rsidRPr="00C1292D">
        <w:rPr>
          <w:rFonts w:ascii="Century" w:hAnsi="Century" w:cs="Miriam" w:hint="cs"/>
          <w:b/>
          <w:spacing w:val="0"/>
          <w:sz w:val="22"/>
          <w:szCs w:val="24"/>
          <w:rtl/>
        </w:rPr>
        <w:t>טור</w:t>
      </w:r>
      <w:r w:rsidRPr="00C1292D">
        <w:rPr>
          <w:rFonts w:ascii="Century" w:hAnsi="Century" w:hint="cs"/>
          <w:sz w:val="22"/>
          <w:rtl/>
        </w:rPr>
        <w:t>,</w:t>
      </w:r>
      <w:r w:rsidRPr="00C1292D">
        <w:rPr>
          <w:rFonts w:ascii="Century" w:hAnsi="Century" w:cs="Miriam" w:hint="cs"/>
          <w:b/>
          <w:spacing w:val="0"/>
          <w:sz w:val="22"/>
          <w:szCs w:val="24"/>
          <w:rtl/>
        </w:rPr>
        <w:t xml:space="preserve"> אבן העזר</w:t>
      </w:r>
      <w:r>
        <w:rPr>
          <w:rFonts w:hint="cs"/>
          <w:rtl/>
        </w:rPr>
        <w:t xml:space="preserve">, סימן </w:t>
      </w:r>
      <w:proofErr w:type="spellStart"/>
      <w:r>
        <w:rPr>
          <w:rFonts w:hint="cs"/>
          <w:rtl/>
        </w:rPr>
        <w:t>צט</w:t>
      </w:r>
      <w:proofErr w:type="spellEnd"/>
      <w:r>
        <w:rPr>
          <w:rFonts w:hint="cs"/>
          <w:rtl/>
        </w:rPr>
        <w:t xml:space="preserve">; </w:t>
      </w:r>
      <w:r w:rsidRPr="00C1292D">
        <w:rPr>
          <w:rFonts w:ascii="Century" w:hAnsi="Century" w:cs="Miriam" w:hint="cs"/>
          <w:b/>
          <w:spacing w:val="0"/>
          <w:sz w:val="22"/>
          <w:szCs w:val="24"/>
          <w:rtl/>
        </w:rPr>
        <w:t>המאירי</w:t>
      </w:r>
      <w:r>
        <w:rPr>
          <w:rFonts w:hint="cs"/>
          <w:rtl/>
        </w:rPr>
        <w:t xml:space="preserve">, כתובות נד, ד"ה "גדולי הפוסקים"; </w:t>
      </w:r>
      <w:r w:rsidRPr="00C1292D">
        <w:rPr>
          <w:rFonts w:ascii="Century" w:hAnsi="Century" w:cs="Miriam" w:hint="cs"/>
          <w:b/>
          <w:spacing w:val="0"/>
          <w:sz w:val="22"/>
          <w:szCs w:val="24"/>
          <w:rtl/>
        </w:rPr>
        <w:t>מרדכי</w:t>
      </w:r>
      <w:r>
        <w:rPr>
          <w:rFonts w:hint="cs"/>
          <w:rtl/>
        </w:rPr>
        <w:t xml:space="preserve">, כתובות </w:t>
      </w:r>
      <w:proofErr w:type="spellStart"/>
      <w:r>
        <w:rPr>
          <w:rFonts w:hint="cs"/>
          <w:rtl/>
        </w:rPr>
        <w:t>קעג</w:t>
      </w:r>
      <w:proofErr w:type="spellEnd"/>
      <w:r>
        <w:rPr>
          <w:rFonts w:hint="cs"/>
          <w:rtl/>
        </w:rPr>
        <w:t xml:space="preserve">; </w:t>
      </w:r>
      <w:r w:rsidRPr="00C1292D">
        <w:rPr>
          <w:rFonts w:ascii="Century" w:hAnsi="Century" w:cs="Miriam" w:hint="cs"/>
          <w:b/>
          <w:spacing w:val="0"/>
          <w:szCs w:val="24"/>
          <w:rtl/>
        </w:rPr>
        <w:t>מגיד משנה</w:t>
      </w:r>
      <w:r>
        <w:rPr>
          <w:rFonts w:hint="cs"/>
          <w:rtl/>
        </w:rPr>
        <w:t xml:space="preserve">, הלכות אישות, </w:t>
      </w:r>
      <w:proofErr w:type="spellStart"/>
      <w:r>
        <w:rPr>
          <w:rFonts w:hint="cs"/>
          <w:rtl/>
        </w:rPr>
        <w:t>טז</w:t>
      </w:r>
      <w:proofErr w:type="spellEnd"/>
      <w:r>
        <w:rPr>
          <w:rFonts w:hint="cs"/>
          <w:rtl/>
        </w:rPr>
        <w:t xml:space="preserve">, ד; </w:t>
      </w:r>
      <w:r w:rsidRPr="00C1292D">
        <w:rPr>
          <w:rFonts w:ascii="Century" w:hAnsi="Century" w:cs="Miriam" w:hint="cs"/>
          <w:b/>
          <w:spacing w:val="0"/>
          <w:sz w:val="22"/>
          <w:szCs w:val="24"/>
          <w:rtl/>
        </w:rPr>
        <w:t>שולחן ערוך</w:t>
      </w:r>
      <w:r w:rsidRPr="00C1292D">
        <w:rPr>
          <w:rFonts w:ascii="Century" w:hAnsi="Century" w:hint="cs"/>
          <w:sz w:val="22"/>
          <w:rtl/>
        </w:rPr>
        <w:t>,</w:t>
      </w:r>
      <w:r w:rsidRPr="00C1292D">
        <w:rPr>
          <w:rFonts w:ascii="Century" w:hAnsi="Century" w:cs="Miriam" w:hint="cs"/>
          <w:b/>
          <w:spacing w:val="0"/>
          <w:sz w:val="22"/>
          <w:szCs w:val="24"/>
          <w:rtl/>
        </w:rPr>
        <w:t xml:space="preserve"> אבן העזר</w:t>
      </w:r>
      <w:r>
        <w:rPr>
          <w:rFonts w:hint="cs"/>
          <w:rtl/>
        </w:rPr>
        <w:t xml:space="preserve">, סימן </w:t>
      </w:r>
      <w:proofErr w:type="spellStart"/>
      <w:r>
        <w:rPr>
          <w:rFonts w:hint="cs"/>
          <w:rtl/>
        </w:rPr>
        <w:t>צט</w:t>
      </w:r>
      <w:proofErr w:type="spellEnd"/>
      <w:r>
        <w:rPr>
          <w:rFonts w:hint="cs"/>
          <w:rtl/>
        </w:rPr>
        <w:t>, סעיף א</w:t>
      </w:r>
      <w:r w:rsidRPr="00C1292D">
        <w:rPr>
          <w:rFonts w:ascii="Century" w:hAnsi="Century" w:hint="cs"/>
          <w:rtl/>
        </w:rPr>
        <w:t xml:space="preserve">). לעומת זאת </w:t>
      </w:r>
      <w:r w:rsidRPr="00C1292D">
        <w:rPr>
          <w:rFonts w:ascii="Century" w:hAnsi="Century" w:cs="Miriam" w:hint="cs"/>
          <w:b/>
          <w:spacing w:val="0"/>
          <w:szCs w:val="24"/>
          <w:rtl/>
        </w:rPr>
        <w:t xml:space="preserve">בעל המאור </w:t>
      </w:r>
      <w:r w:rsidRPr="00C1292D">
        <w:rPr>
          <w:rFonts w:ascii="Century" w:hAnsi="Century" w:hint="cs"/>
          <w:rtl/>
        </w:rPr>
        <w:t xml:space="preserve">המשיג על </w:t>
      </w:r>
      <w:proofErr w:type="spellStart"/>
      <w:r w:rsidRPr="00C1292D">
        <w:rPr>
          <w:rFonts w:ascii="Century" w:hAnsi="Century" w:hint="cs"/>
          <w:rtl/>
        </w:rPr>
        <w:t>הרי"ף</w:t>
      </w:r>
      <w:proofErr w:type="spellEnd"/>
      <w:r w:rsidRPr="00C1292D">
        <w:rPr>
          <w:rFonts w:ascii="Century" w:hAnsi="Century" w:hint="cs"/>
          <w:rtl/>
        </w:rPr>
        <w:t xml:space="preserve"> על אתר</w:t>
      </w:r>
      <w:r>
        <w:rPr>
          <w:rFonts w:ascii="Century" w:hAnsi="Century" w:hint="cs"/>
          <w:rtl/>
        </w:rPr>
        <w:t>,</w:t>
      </w:r>
      <w:r w:rsidRPr="00C1292D">
        <w:rPr>
          <w:rFonts w:ascii="Century" w:hAnsi="Century" w:hint="cs"/>
          <w:rtl/>
        </w:rPr>
        <w:t xml:space="preserve"> סובר שדין אלמנה</w:t>
      </w:r>
      <w:r w:rsidRPr="00A57FAB">
        <w:rPr>
          <w:rFonts w:hint="cs"/>
          <w:rtl/>
        </w:rPr>
        <w:t xml:space="preserve"> </w:t>
      </w:r>
      <w:r>
        <w:rPr>
          <w:rFonts w:hint="cs"/>
          <w:rtl/>
        </w:rPr>
        <w:t xml:space="preserve">וגרושה שווים, משום שמבחן התוצאה הוא המשנה, ולא האשמה בפירוק הקשר בין בני הזוג. כך גם דעת </w:t>
      </w:r>
      <w:proofErr w:type="spellStart"/>
      <w:r>
        <w:rPr>
          <w:rFonts w:hint="cs"/>
          <w:rtl/>
        </w:rPr>
        <w:t>הרא"ה</w:t>
      </w:r>
      <w:proofErr w:type="spellEnd"/>
      <w:r>
        <w:rPr>
          <w:rFonts w:hint="cs"/>
          <w:rtl/>
        </w:rPr>
        <w:t xml:space="preserve"> (</w:t>
      </w:r>
      <w:r w:rsidRPr="00C1292D">
        <w:rPr>
          <w:rFonts w:ascii="Century" w:hAnsi="Century" w:cs="Miriam" w:hint="cs"/>
          <w:b/>
          <w:spacing w:val="0"/>
          <w:szCs w:val="24"/>
          <w:rtl/>
        </w:rPr>
        <w:t xml:space="preserve">חידושי </w:t>
      </w:r>
      <w:proofErr w:type="spellStart"/>
      <w:r w:rsidRPr="00C1292D">
        <w:rPr>
          <w:rFonts w:ascii="Century" w:hAnsi="Century" w:cs="Miriam" w:hint="cs"/>
          <w:b/>
          <w:spacing w:val="0"/>
          <w:szCs w:val="24"/>
          <w:rtl/>
        </w:rPr>
        <w:t>הרא"ה</w:t>
      </w:r>
      <w:proofErr w:type="spellEnd"/>
      <w:r>
        <w:rPr>
          <w:rFonts w:hint="cs"/>
          <w:rtl/>
        </w:rPr>
        <w:t>, כתובות נד, ע"א). כל זאת כאשר מדובר בבגדים שניתנו לאישה על ידי הבעל. ברם, כאשר מדובר במתנות אחרות ולא בביגוד, קיימת תמימות דעים בין הפוסקים שהמתנה שניתנה לאישה היא שלה גם אם התאלמנה או התגרשה, כל עוד מדובר בגירושין שאינם נובעים ממרד האישה בבעלה או מכך שזנתה תחתיו (</w:t>
      </w:r>
      <w:r w:rsidRPr="00C1292D">
        <w:rPr>
          <w:rFonts w:ascii="Century" w:hAnsi="Century" w:cs="Miriam" w:hint="cs"/>
          <w:b/>
          <w:spacing w:val="0"/>
          <w:sz w:val="22"/>
          <w:szCs w:val="24"/>
          <w:rtl/>
        </w:rPr>
        <w:t>שולחן ערוך</w:t>
      </w:r>
      <w:r>
        <w:rPr>
          <w:rFonts w:hint="cs"/>
          <w:rtl/>
        </w:rPr>
        <w:t xml:space="preserve">, </w:t>
      </w:r>
      <w:r w:rsidRPr="00C1292D">
        <w:rPr>
          <w:rFonts w:ascii="Century" w:hAnsi="Century" w:cs="Miriam" w:hint="cs"/>
          <w:b/>
          <w:spacing w:val="0"/>
          <w:sz w:val="22"/>
          <w:szCs w:val="24"/>
          <w:rtl/>
        </w:rPr>
        <w:t>אבן העזר</w:t>
      </w:r>
      <w:r>
        <w:rPr>
          <w:rFonts w:hint="cs"/>
          <w:rtl/>
        </w:rPr>
        <w:t xml:space="preserve">, סימן </w:t>
      </w:r>
      <w:proofErr w:type="spellStart"/>
      <w:r>
        <w:rPr>
          <w:rFonts w:hint="cs"/>
          <w:rtl/>
        </w:rPr>
        <w:t>צט</w:t>
      </w:r>
      <w:proofErr w:type="spellEnd"/>
      <w:r>
        <w:rPr>
          <w:rFonts w:hint="cs"/>
          <w:rtl/>
        </w:rPr>
        <w:t xml:space="preserve">, סעיף ב, </w:t>
      </w:r>
      <w:proofErr w:type="spellStart"/>
      <w:r>
        <w:rPr>
          <w:rFonts w:hint="cs"/>
          <w:rtl/>
        </w:rPr>
        <w:t>ו</w:t>
      </w:r>
      <w:r w:rsidRPr="00C1292D">
        <w:rPr>
          <w:rFonts w:ascii="Century" w:hAnsi="Century" w:cs="Miriam" w:hint="cs"/>
          <w:b/>
          <w:spacing w:val="0"/>
          <w:sz w:val="22"/>
          <w:szCs w:val="24"/>
          <w:rtl/>
        </w:rPr>
        <w:t>הרמ"א</w:t>
      </w:r>
      <w:proofErr w:type="spellEnd"/>
      <w:r>
        <w:rPr>
          <w:rFonts w:ascii="Century" w:hAnsi="Century" w:cs="Miriam" w:hint="cs"/>
          <w:b/>
          <w:spacing w:val="0"/>
          <w:sz w:val="22"/>
          <w:szCs w:val="24"/>
          <w:rtl/>
        </w:rPr>
        <w:t xml:space="preserve"> </w:t>
      </w:r>
      <w:r>
        <w:rPr>
          <w:rFonts w:hint="cs"/>
          <w:rtl/>
        </w:rPr>
        <w:t xml:space="preserve">על אתר; וראו לעניין ההבחנה בין הענקת בגדים ותכשיטים לבין מתנות אחרות: </w:t>
      </w:r>
      <w:r>
        <w:rPr>
          <w:rFonts w:ascii="Century" w:hAnsi="Century" w:cs="Miriam" w:hint="cs"/>
          <w:b/>
          <w:spacing w:val="0"/>
          <w:sz w:val="22"/>
          <w:szCs w:val="24"/>
          <w:rtl/>
        </w:rPr>
        <w:t>חידושי הרמב"ן</w:t>
      </w:r>
      <w:r>
        <w:rPr>
          <w:rFonts w:hint="cs"/>
          <w:rtl/>
        </w:rPr>
        <w:t xml:space="preserve">, </w:t>
      </w:r>
      <w:r>
        <w:rPr>
          <w:rFonts w:hint="eastAsia"/>
          <w:rtl/>
        </w:rPr>
        <w:t>כתובות</w:t>
      </w:r>
      <w:r>
        <w:rPr>
          <w:rtl/>
        </w:rPr>
        <w:t xml:space="preserve"> </w:t>
      </w:r>
      <w:proofErr w:type="spellStart"/>
      <w:r>
        <w:rPr>
          <w:rFonts w:hint="eastAsia"/>
          <w:rtl/>
        </w:rPr>
        <w:t>סג</w:t>
      </w:r>
      <w:proofErr w:type="spellEnd"/>
      <w:r>
        <w:rPr>
          <w:rtl/>
        </w:rPr>
        <w:t xml:space="preserve"> </w:t>
      </w:r>
      <w:r>
        <w:rPr>
          <w:rFonts w:hint="eastAsia"/>
          <w:rtl/>
        </w:rPr>
        <w:t>ע</w:t>
      </w:r>
      <w:r>
        <w:rPr>
          <w:rFonts w:hint="cs"/>
          <w:rtl/>
        </w:rPr>
        <w:t xml:space="preserve">"ב ד"ה "וכתב עוד"; </w:t>
      </w:r>
      <w:r>
        <w:rPr>
          <w:rFonts w:ascii="Century" w:hAnsi="Century" w:cs="Miriam" w:hint="cs"/>
          <w:b/>
          <w:spacing w:val="0"/>
          <w:sz w:val="22"/>
          <w:szCs w:val="24"/>
          <w:rtl/>
        </w:rPr>
        <w:t xml:space="preserve">שו"ת </w:t>
      </w:r>
      <w:proofErr w:type="spellStart"/>
      <w:r>
        <w:rPr>
          <w:rFonts w:ascii="Century" w:hAnsi="Century" w:cs="Miriam" w:hint="cs"/>
          <w:b/>
          <w:spacing w:val="0"/>
          <w:sz w:val="22"/>
          <w:szCs w:val="24"/>
          <w:rtl/>
        </w:rPr>
        <w:t>הריב"ש</w:t>
      </w:r>
      <w:proofErr w:type="spellEnd"/>
      <w:r>
        <w:rPr>
          <w:rFonts w:hint="cs"/>
          <w:rtl/>
        </w:rPr>
        <w:t xml:space="preserve">, שם; </w:t>
      </w:r>
      <w:r>
        <w:rPr>
          <w:rFonts w:ascii="Century" w:hAnsi="Century" w:cs="Miriam" w:hint="cs"/>
          <w:b/>
          <w:spacing w:val="0"/>
          <w:sz w:val="22"/>
          <w:szCs w:val="24"/>
          <w:rtl/>
        </w:rPr>
        <w:t>חלקת מחוקק</w:t>
      </w:r>
      <w:r>
        <w:rPr>
          <w:rFonts w:hint="eastAsia"/>
          <w:rtl/>
        </w:rPr>
        <w:t xml:space="preserve"> סימן</w:t>
      </w:r>
      <w:r>
        <w:rPr>
          <w:rtl/>
        </w:rPr>
        <w:t xml:space="preserve"> </w:t>
      </w:r>
      <w:proofErr w:type="spellStart"/>
      <w:r>
        <w:rPr>
          <w:rFonts w:hint="eastAsia"/>
          <w:rtl/>
        </w:rPr>
        <w:t>צט</w:t>
      </w:r>
      <w:proofErr w:type="spellEnd"/>
      <w:r>
        <w:rPr>
          <w:rtl/>
        </w:rPr>
        <w:t xml:space="preserve"> </w:t>
      </w:r>
      <w:proofErr w:type="spellStart"/>
      <w:r>
        <w:rPr>
          <w:rFonts w:hint="eastAsia"/>
          <w:rtl/>
        </w:rPr>
        <w:t>ס</w:t>
      </w:r>
      <w:r>
        <w:rPr>
          <w:rtl/>
        </w:rPr>
        <w:t>"</w:t>
      </w:r>
      <w:r>
        <w:rPr>
          <w:rFonts w:hint="eastAsia"/>
          <w:rtl/>
        </w:rPr>
        <w:t>ק</w:t>
      </w:r>
      <w:proofErr w:type="spellEnd"/>
      <w:r>
        <w:rPr>
          <w:rtl/>
        </w:rPr>
        <w:t xml:space="preserve"> </w:t>
      </w:r>
      <w:r>
        <w:rPr>
          <w:rFonts w:hint="eastAsia"/>
          <w:rtl/>
        </w:rPr>
        <w:t>ז</w:t>
      </w:r>
      <w:r>
        <w:rPr>
          <w:rFonts w:hint="cs"/>
          <w:rtl/>
        </w:rPr>
        <w:t>).</w:t>
      </w:r>
    </w:p>
    <w:p w:rsidR="00FF0D41" w:rsidRPr="00D01732" w:rsidRDefault="00FF0D41" w:rsidP="00FF0D41">
      <w:pPr>
        <w:pStyle w:val="Ruller41"/>
      </w:pPr>
    </w:p>
    <w:p w:rsidR="00FF0D41" w:rsidRDefault="00FF0D41" w:rsidP="00FF0D41">
      <w:pPr>
        <w:pStyle w:val="Ruller4"/>
        <w:rPr>
          <w:rtl/>
        </w:rPr>
      </w:pPr>
      <w:r>
        <w:rPr>
          <w:rFonts w:hint="cs"/>
          <w:rtl/>
        </w:rPr>
        <w:t xml:space="preserve">ההנמקה שעמדה בבסיס הלכה זו היא בחוסר ההיגיון להבחין בין מתנה הניתנת לבת זוג לבין מתנה הניתנת לכל אדם אחר. ובלשונו של בעל העיטור (המובאת </w:t>
      </w:r>
      <w:r w:rsidRPr="00D01732">
        <w:rPr>
          <w:rFonts w:ascii="Century" w:hAnsi="Century" w:cs="Miriam" w:hint="cs"/>
          <w:b/>
          <w:spacing w:val="0"/>
          <w:sz w:val="22"/>
          <w:szCs w:val="24"/>
          <w:rtl/>
        </w:rPr>
        <w:t xml:space="preserve">שו"ת </w:t>
      </w:r>
      <w:proofErr w:type="spellStart"/>
      <w:r w:rsidRPr="00D01732">
        <w:rPr>
          <w:rFonts w:ascii="Century" w:hAnsi="Century" w:cs="Miriam" w:hint="cs"/>
          <w:b/>
          <w:spacing w:val="0"/>
          <w:sz w:val="22"/>
          <w:szCs w:val="24"/>
          <w:rtl/>
        </w:rPr>
        <w:t>הריב"ש</w:t>
      </w:r>
      <w:proofErr w:type="spellEnd"/>
      <w:r>
        <w:rPr>
          <w:rFonts w:hint="cs"/>
          <w:rtl/>
        </w:rPr>
        <w:t xml:space="preserve"> לעיל):</w:t>
      </w:r>
    </w:p>
    <w:p w:rsidR="00FF0D41" w:rsidRDefault="00FF0D41" w:rsidP="00FF0D41">
      <w:pPr>
        <w:ind w:firstLine="720"/>
        <w:jc w:val="both"/>
        <w:rPr>
          <w:rtl/>
        </w:rPr>
      </w:pPr>
    </w:p>
    <w:p w:rsidR="00FF0D41" w:rsidRDefault="00FF0D41" w:rsidP="00FF0D41">
      <w:pPr>
        <w:pStyle w:val="Ruller41"/>
        <w:spacing w:line="240" w:lineRule="auto"/>
        <w:ind w:left="1440" w:right="1276" w:hanging="1440"/>
        <w:rPr>
          <w:rtl/>
        </w:rPr>
      </w:pPr>
      <w:r>
        <w:rPr>
          <w:rtl/>
        </w:rPr>
        <w:tab/>
      </w:r>
      <w:r>
        <w:rPr>
          <w:rtl/>
        </w:rPr>
        <w:tab/>
      </w:r>
      <w:r>
        <w:rPr>
          <w:rFonts w:hint="cs"/>
          <w:rtl/>
        </w:rPr>
        <w:t xml:space="preserve">"[...] </w:t>
      </w:r>
      <w:proofErr w:type="spellStart"/>
      <w:r>
        <w:rPr>
          <w:rFonts w:hint="eastAsia"/>
          <w:rtl/>
        </w:rPr>
        <w:t>דמאן</w:t>
      </w:r>
      <w:proofErr w:type="spellEnd"/>
      <w:r>
        <w:rPr>
          <w:rtl/>
        </w:rPr>
        <w:t xml:space="preserve"> </w:t>
      </w:r>
      <w:proofErr w:type="spellStart"/>
      <w:r>
        <w:rPr>
          <w:rFonts w:hint="eastAsia"/>
          <w:rtl/>
        </w:rPr>
        <w:t>דכתיב</w:t>
      </w:r>
      <w:proofErr w:type="spellEnd"/>
      <w:r>
        <w:rPr>
          <w:rtl/>
        </w:rPr>
        <w:t xml:space="preserve"> </w:t>
      </w:r>
      <w:r>
        <w:rPr>
          <w:rFonts w:hint="eastAsia"/>
          <w:rtl/>
        </w:rPr>
        <w:t>מתנה</w:t>
      </w:r>
      <w:r>
        <w:rPr>
          <w:rtl/>
        </w:rPr>
        <w:t xml:space="preserve"> </w:t>
      </w:r>
      <w:r>
        <w:rPr>
          <w:rFonts w:hint="eastAsia"/>
          <w:rtl/>
        </w:rPr>
        <w:t>לאשתו</w:t>
      </w:r>
      <w:r>
        <w:rPr>
          <w:rtl/>
        </w:rPr>
        <w:t xml:space="preserve"> </w:t>
      </w:r>
      <w:r>
        <w:rPr>
          <w:rFonts w:hint="eastAsia"/>
          <w:rtl/>
        </w:rPr>
        <w:t>בשעת</w:t>
      </w:r>
      <w:r>
        <w:rPr>
          <w:rtl/>
        </w:rPr>
        <w:t xml:space="preserve"> </w:t>
      </w:r>
      <w:proofErr w:type="spellStart"/>
      <w:r>
        <w:rPr>
          <w:rFonts w:hint="eastAsia"/>
          <w:rtl/>
        </w:rPr>
        <w:t>נשואין</w:t>
      </w:r>
      <w:proofErr w:type="spellEnd"/>
      <w:r>
        <w:rPr>
          <w:rtl/>
        </w:rPr>
        <w:t xml:space="preserve"> </w:t>
      </w:r>
      <w:r>
        <w:rPr>
          <w:rFonts w:hint="eastAsia"/>
          <w:rtl/>
        </w:rPr>
        <w:t>ומגרש</w:t>
      </w:r>
      <w:r>
        <w:rPr>
          <w:rtl/>
        </w:rPr>
        <w:t xml:space="preserve"> </w:t>
      </w:r>
      <w:r>
        <w:rPr>
          <w:rFonts w:hint="eastAsia"/>
          <w:rtl/>
        </w:rPr>
        <w:t>לה</w:t>
      </w:r>
      <w:r>
        <w:rPr>
          <w:rtl/>
        </w:rPr>
        <w:t xml:space="preserve"> </w:t>
      </w:r>
      <w:r>
        <w:rPr>
          <w:rFonts w:hint="eastAsia"/>
          <w:rtl/>
        </w:rPr>
        <w:t>לא</w:t>
      </w:r>
      <w:r>
        <w:rPr>
          <w:rtl/>
        </w:rPr>
        <w:t xml:space="preserve"> </w:t>
      </w:r>
      <w:proofErr w:type="spellStart"/>
      <w:r>
        <w:rPr>
          <w:rFonts w:hint="eastAsia"/>
          <w:rtl/>
        </w:rPr>
        <w:t>אמרינן</w:t>
      </w:r>
      <w:proofErr w:type="spellEnd"/>
      <w:r>
        <w:rPr>
          <w:rtl/>
        </w:rPr>
        <w:t xml:space="preserve"> </w:t>
      </w:r>
      <w:r>
        <w:rPr>
          <w:rFonts w:hint="eastAsia"/>
          <w:rtl/>
        </w:rPr>
        <w:t>כי</w:t>
      </w:r>
      <w:r>
        <w:rPr>
          <w:rtl/>
        </w:rPr>
        <w:t xml:space="preserve"> </w:t>
      </w:r>
      <w:proofErr w:type="spellStart"/>
      <w:r>
        <w:rPr>
          <w:rFonts w:hint="eastAsia"/>
          <w:rtl/>
        </w:rPr>
        <w:t>אקני</w:t>
      </w:r>
      <w:proofErr w:type="spellEnd"/>
      <w:r>
        <w:rPr>
          <w:rtl/>
        </w:rPr>
        <w:t xml:space="preserve"> </w:t>
      </w:r>
      <w:r>
        <w:rPr>
          <w:rFonts w:hint="eastAsia"/>
          <w:rtl/>
        </w:rPr>
        <w:t>לה</w:t>
      </w:r>
      <w:r>
        <w:rPr>
          <w:rtl/>
        </w:rPr>
        <w:t xml:space="preserve"> </w:t>
      </w:r>
      <w:proofErr w:type="spellStart"/>
      <w:r>
        <w:rPr>
          <w:rFonts w:hint="eastAsia"/>
          <w:rtl/>
        </w:rPr>
        <w:t>אדעת</w:t>
      </w:r>
      <w:r>
        <w:rPr>
          <w:rFonts w:hint="cs"/>
          <w:rtl/>
        </w:rPr>
        <w:t>א</w:t>
      </w:r>
      <w:proofErr w:type="spellEnd"/>
      <w:r>
        <w:rPr>
          <w:rtl/>
        </w:rPr>
        <w:t xml:space="preserve"> </w:t>
      </w:r>
      <w:proofErr w:type="spellStart"/>
      <w:r>
        <w:rPr>
          <w:rFonts w:hint="eastAsia"/>
          <w:rtl/>
        </w:rPr>
        <w:t>למיקם</w:t>
      </w:r>
      <w:proofErr w:type="spellEnd"/>
      <w:r>
        <w:rPr>
          <w:rtl/>
        </w:rPr>
        <w:t xml:space="preserve"> </w:t>
      </w:r>
      <w:proofErr w:type="spellStart"/>
      <w:r>
        <w:rPr>
          <w:rFonts w:hint="eastAsia"/>
          <w:rtl/>
        </w:rPr>
        <w:t>קמיה</w:t>
      </w:r>
      <w:proofErr w:type="spellEnd"/>
      <w:r>
        <w:rPr>
          <w:rtl/>
        </w:rPr>
        <w:t xml:space="preserve">. </w:t>
      </w:r>
      <w:proofErr w:type="spellStart"/>
      <w:r>
        <w:rPr>
          <w:rFonts w:hint="eastAsia"/>
          <w:rtl/>
        </w:rPr>
        <w:t>דאלא</w:t>
      </w:r>
      <w:proofErr w:type="spellEnd"/>
      <w:r>
        <w:rPr>
          <w:rtl/>
        </w:rPr>
        <w:t xml:space="preserve"> </w:t>
      </w:r>
      <w:r>
        <w:rPr>
          <w:rFonts w:hint="eastAsia"/>
          <w:rtl/>
        </w:rPr>
        <w:t>מעתה</w:t>
      </w:r>
      <w:r>
        <w:rPr>
          <w:rtl/>
        </w:rPr>
        <w:t xml:space="preserve"> </w:t>
      </w:r>
      <w:r>
        <w:rPr>
          <w:rFonts w:hint="eastAsia"/>
          <w:rtl/>
        </w:rPr>
        <w:t>מאן</w:t>
      </w:r>
      <w:r>
        <w:rPr>
          <w:rtl/>
        </w:rPr>
        <w:t xml:space="preserve"> </w:t>
      </w:r>
      <w:proofErr w:type="spellStart"/>
      <w:r>
        <w:rPr>
          <w:rFonts w:hint="eastAsia"/>
          <w:rtl/>
        </w:rPr>
        <w:t>דיהיב</w:t>
      </w:r>
      <w:proofErr w:type="spellEnd"/>
      <w:r>
        <w:rPr>
          <w:rtl/>
        </w:rPr>
        <w:t xml:space="preserve"> </w:t>
      </w:r>
      <w:r>
        <w:rPr>
          <w:rFonts w:hint="eastAsia"/>
          <w:rtl/>
        </w:rPr>
        <w:t>מתנה</w:t>
      </w:r>
      <w:r>
        <w:rPr>
          <w:rtl/>
        </w:rPr>
        <w:t xml:space="preserve"> </w:t>
      </w:r>
      <w:r>
        <w:rPr>
          <w:rFonts w:hint="eastAsia"/>
          <w:rtl/>
        </w:rPr>
        <w:t>למאן</w:t>
      </w:r>
      <w:r>
        <w:rPr>
          <w:rtl/>
        </w:rPr>
        <w:t xml:space="preserve"> </w:t>
      </w:r>
      <w:proofErr w:type="spellStart"/>
      <w:r>
        <w:rPr>
          <w:rFonts w:hint="eastAsia"/>
          <w:rtl/>
        </w:rPr>
        <w:t>דרחים</w:t>
      </w:r>
      <w:proofErr w:type="spellEnd"/>
      <w:r>
        <w:rPr>
          <w:rtl/>
        </w:rPr>
        <w:t xml:space="preserve"> </w:t>
      </w:r>
      <w:r>
        <w:rPr>
          <w:rFonts w:hint="eastAsia"/>
          <w:rtl/>
        </w:rPr>
        <w:t>ליה</w:t>
      </w:r>
      <w:r>
        <w:rPr>
          <w:rtl/>
        </w:rPr>
        <w:t xml:space="preserve"> </w:t>
      </w:r>
      <w:proofErr w:type="spellStart"/>
      <w:r>
        <w:rPr>
          <w:rFonts w:hint="eastAsia"/>
          <w:rtl/>
        </w:rPr>
        <w:t>ערבא</w:t>
      </w:r>
      <w:proofErr w:type="spellEnd"/>
      <w:r>
        <w:rPr>
          <w:rtl/>
        </w:rPr>
        <w:t xml:space="preserve"> </w:t>
      </w:r>
      <w:r>
        <w:rPr>
          <w:rFonts w:hint="eastAsia"/>
          <w:rtl/>
        </w:rPr>
        <w:t>בעי</w:t>
      </w:r>
      <w:r>
        <w:rPr>
          <w:rtl/>
        </w:rPr>
        <w:t xml:space="preserve"> </w:t>
      </w:r>
      <w:r>
        <w:rPr>
          <w:rFonts w:hint="eastAsia"/>
          <w:rtl/>
        </w:rPr>
        <w:t>למשקל</w:t>
      </w:r>
      <w:r>
        <w:rPr>
          <w:rtl/>
        </w:rPr>
        <w:t xml:space="preserve"> </w:t>
      </w:r>
      <w:r>
        <w:rPr>
          <w:rFonts w:hint="eastAsia"/>
          <w:rtl/>
        </w:rPr>
        <w:t>מיניה</w:t>
      </w:r>
      <w:r>
        <w:rPr>
          <w:rtl/>
        </w:rPr>
        <w:t xml:space="preserve"> </w:t>
      </w:r>
      <w:proofErr w:type="spellStart"/>
      <w:r>
        <w:rPr>
          <w:rFonts w:hint="eastAsia"/>
          <w:rtl/>
        </w:rPr>
        <w:t>דרחים</w:t>
      </w:r>
      <w:proofErr w:type="spellEnd"/>
      <w:r>
        <w:rPr>
          <w:rtl/>
        </w:rPr>
        <w:t xml:space="preserve"> </w:t>
      </w:r>
      <w:r>
        <w:rPr>
          <w:rFonts w:hint="eastAsia"/>
          <w:rtl/>
        </w:rPr>
        <w:t>ליה</w:t>
      </w:r>
      <w:r>
        <w:rPr>
          <w:rtl/>
        </w:rPr>
        <w:t xml:space="preserve"> </w:t>
      </w:r>
      <w:r>
        <w:rPr>
          <w:rFonts w:hint="eastAsia"/>
          <w:rtl/>
        </w:rPr>
        <w:t>לעלם</w:t>
      </w:r>
      <w:r>
        <w:rPr>
          <w:rtl/>
        </w:rPr>
        <w:t xml:space="preserve">, </w:t>
      </w:r>
      <w:proofErr w:type="spellStart"/>
      <w:r>
        <w:rPr>
          <w:rFonts w:hint="eastAsia"/>
          <w:rtl/>
        </w:rPr>
        <w:t>וה</w:t>
      </w:r>
      <w:r>
        <w:rPr>
          <w:rtl/>
        </w:rPr>
        <w:t>"</w:t>
      </w:r>
      <w:r>
        <w:rPr>
          <w:rFonts w:hint="eastAsia"/>
          <w:rtl/>
        </w:rPr>
        <w:t>נ</w:t>
      </w:r>
      <w:proofErr w:type="spellEnd"/>
      <w:r>
        <w:rPr>
          <w:rtl/>
        </w:rPr>
        <w:t xml:space="preserve"> </w:t>
      </w:r>
      <w:proofErr w:type="spellStart"/>
      <w:r>
        <w:rPr>
          <w:rFonts w:hint="eastAsia"/>
          <w:rtl/>
        </w:rPr>
        <w:t>דמאן</w:t>
      </w:r>
      <w:proofErr w:type="spellEnd"/>
      <w:r>
        <w:rPr>
          <w:rtl/>
        </w:rPr>
        <w:t xml:space="preserve"> </w:t>
      </w:r>
      <w:proofErr w:type="spellStart"/>
      <w:r>
        <w:rPr>
          <w:rFonts w:hint="eastAsia"/>
          <w:rtl/>
        </w:rPr>
        <w:t>דיהיב</w:t>
      </w:r>
      <w:proofErr w:type="spellEnd"/>
      <w:r>
        <w:rPr>
          <w:rtl/>
        </w:rPr>
        <w:t xml:space="preserve"> </w:t>
      </w:r>
      <w:r>
        <w:rPr>
          <w:rFonts w:hint="eastAsia"/>
          <w:rtl/>
        </w:rPr>
        <w:t>ליה</w:t>
      </w:r>
      <w:r>
        <w:rPr>
          <w:rtl/>
        </w:rPr>
        <w:t xml:space="preserve"> </w:t>
      </w:r>
      <w:r>
        <w:rPr>
          <w:rFonts w:hint="eastAsia"/>
          <w:rtl/>
        </w:rPr>
        <w:t>מתנה</w:t>
      </w:r>
      <w:r>
        <w:rPr>
          <w:rtl/>
        </w:rPr>
        <w:t xml:space="preserve"> </w:t>
      </w:r>
      <w:r>
        <w:rPr>
          <w:rFonts w:hint="eastAsia"/>
          <w:rtl/>
        </w:rPr>
        <w:t>לרחמיה</w:t>
      </w:r>
      <w:r>
        <w:rPr>
          <w:rtl/>
        </w:rPr>
        <w:t xml:space="preserve"> </w:t>
      </w:r>
      <w:r>
        <w:rPr>
          <w:rFonts w:hint="eastAsia"/>
          <w:rtl/>
        </w:rPr>
        <w:t>ונפל</w:t>
      </w:r>
      <w:r>
        <w:rPr>
          <w:rtl/>
        </w:rPr>
        <w:t xml:space="preserve"> </w:t>
      </w:r>
      <w:proofErr w:type="spellStart"/>
      <w:r>
        <w:rPr>
          <w:rFonts w:hint="eastAsia"/>
          <w:rtl/>
        </w:rPr>
        <w:t>ביניהון</w:t>
      </w:r>
      <w:proofErr w:type="spellEnd"/>
      <w:r>
        <w:rPr>
          <w:rtl/>
        </w:rPr>
        <w:t xml:space="preserve"> </w:t>
      </w:r>
      <w:proofErr w:type="spellStart"/>
      <w:r>
        <w:rPr>
          <w:rFonts w:hint="eastAsia"/>
          <w:rtl/>
        </w:rPr>
        <w:t>איכסא</w:t>
      </w:r>
      <w:proofErr w:type="spellEnd"/>
      <w:r>
        <w:rPr>
          <w:rtl/>
        </w:rPr>
        <w:t xml:space="preserve"> </w:t>
      </w:r>
      <w:r>
        <w:rPr>
          <w:rFonts w:hint="eastAsia"/>
          <w:rtl/>
        </w:rPr>
        <w:t>הדרא</w:t>
      </w:r>
      <w:r>
        <w:rPr>
          <w:rtl/>
        </w:rPr>
        <w:t xml:space="preserve"> </w:t>
      </w:r>
      <w:r>
        <w:rPr>
          <w:rFonts w:hint="eastAsia"/>
          <w:rtl/>
        </w:rPr>
        <w:t>מתנה</w:t>
      </w:r>
      <w:r>
        <w:rPr>
          <w:rtl/>
        </w:rPr>
        <w:t xml:space="preserve">, </w:t>
      </w:r>
      <w:r>
        <w:rPr>
          <w:rFonts w:hint="eastAsia"/>
          <w:rtl/>
        </w:rPr>
        <w:t>הא</w:t>
      </w:r>
      <w:r>
        <w:rPr>
          <w:rtl/>
        </w:rPr>
        <w:t xml:space="preserve"> </w:t>
      </w:r>
      <w:r>
        <w:rPr>
          <w:rFonts w:hint="eastAsia"/>
          <w:rtl/>
        </w:rPr>
        <w:t>לאו</w:t>
      </w:r>
      <w:r>
        <w:rPr>
          <w:rtl/>
        </w:rPr>
        <w:t xml:space="preserve"> </w:t>
      </w:r>
      <w:r>
        <w:rPr>
          <w:rFonts w:hint="eastAsia"/>
          <w:rtl/>
        </w:rPr>
        <w:t>טעמא</w:t>
      </w:r>
      <w:r>
        <w:rPr>
          <w:rtl/>
        </w:rPr>
        <w:t xml:space="preserve"> </w:t>
      </w:r>
      <w:r>
        <w:rPr>
          <w:rFonts w:hint="eastAsia"/>
          <w:rtl/>
        </w:rPr>
        <w:t>הוא</w:t>
      </w:r>
      <w:r>
        <w:rPr>
          <w:rFonts w:hint="cs"/>
          <w:rtl/>
        </w:rPr>
        <w:t xml:space="preserve">" [שמי שכתב מתנה לאשתו בשעת נישואיהם וגירשה, אין אנו אומרים שהקנה לה רק על דעת שתישאר </w:t>
      </w:r>
      <w:proofErr w:type="spellStart"/>
      <w:r>
        <w:rPr>
          <w:rFonts w:hint="cs"/>
          <w:rtl/>
        </w:rPr>
        <w:t>איתו</w:t>
      </w:r>
      <w:proofErr w:type="spellEnd"/>
      <w:r>
        <w:rPr>
          <w:rFonts w:hint="cs"/>
          <w:rtl/>
        </w:rPr>
        <w:t xml:space="preserve">, שאם כך הדבר אז גם מי שנותן מתנה לאהובו צריך לקחת ערב שיאהבו לעולם, וכן מי שנותן מתנה לאוהבו והתרחשה </w:t>
      </w:r>
      <w:r>
        <w:rPr>
          <w:rFonts w:hint="cs"/>
          <w:rtl/>
        </w:rPr>
        <w:lastRenderedPageBreak/>
        <w:t xml:space="preserve">ביניהם מריבה המתנה מבוטלת </w:t>
      </w:r>
      <w:r>
        <w:rPr>
          <w:rtl/>
        </w:rPr>
        <w:t>–</w:t>
      </w:r>
      <w:r>
        <w:rPr>
          <w:rFonts w:hint="cs"/>
          <w:rtl/>
        </w:rPr>
        <w:t xml:space="preserve"> ודברים אלו ודאי שאינם דברי טעם].</w:t>
      </w:r>
    </w:p>
    <w:p w:rsidR="00FF0D41" w:rsidRDefault="00FF0D41" w:rsidP="00FF0D41">
      <w:pPr>
        <w:pStyle w:val="Ruller41"/>
        <w:rPr>
          <w:rtl/>
        </w:rPr>
      </w:pPr>
    </w:p>
    <w:p w:rsidR="00FF0D41" w:rsidRDefault="00FF0D41" w:rsidP="00FF0D41">
      <w:pPr>
        <w:pStyle w:val="Ruller4"/>
        <w:numPr>
          <w:ilvl w:val="0"/>
          <w:numId w:val="0"/>
        </w:numPr>
        <w:rPr>
          <w:rtl/>
        </w:rPr>
      </w:pPr>
      <w:r>
        <w:rPr>
          <w:rtl/>
        </w:rPr>
        <w:tab/>
      </w:r>
      <w:r>
        <w:rPr>
          <w:rFonts w:hint="cs"/>
          <w:rtl/>
        </w:rPr>
        <w:t xml:space="preserve">נמצאנו למדים אפוא שבן זוג שהביא לבת זוגו (או להיפך) מתנה בשל האהבה השוררת ביניהם, אינו יכול לטעון שנתן לה את המתנה רק בתנאי שתישאר </w:t>
      </w:r>
      <w:proofErr w:type="spellStart"/>
      <w:r>
        <w:rPr>
          <w:rFonts w:hint="cs"/>
          <w:rtl/>
        </w:rPr>
        <w:t>אישתו</w:t>
      </w:r>
      <w:proofErr w:type="spellEnd"/>
      <w:r>
        <w:rPr>
          <w:rFonts w:hint="cs"/>
          <w:rtl/>
        </w:rPr>
        <w:t xml:space="preserve"> לנצח. רכוש שהאישה זכתה בו אפילו במתנה מרצון על ידי הבעל, אינו נשלל ממנה בעקבות הגירושין.</w:t>
      </w:r>
    </w:p>
    <w:p w:rsidR="00FF0D41" w:rsidRPr="00960911" w:rsidRDefault="00FF0D41" w:rsidP="00FF0D41">
      <w:pPr>
        <w:pStyle w:val="Ruller41"/>
        <w:rPr>
          <w:rtl/>
        </w:rPr>
      </w:pPr>
    </w:p>
    <w:p w:rsidR="00FF0D41" w:rsidRPr="009F24D9" w:rsidRDefault="00FF0D41" w:rsidP="00FF0D41">
      <w:pPr>
        <w:pStyle w:val="Ruller4"/>
      </w:pPr>
      <w:r>
        <w:rPr>
          <w:rFonts w:hint="cs"/>
          <w:rtl/>
        </w:rPr>
        <w:t xml:space="preserve">חרף זאת יש פוסקים שסברו שכאשר האישה מתגרשת מבעלה בשל מרדתו בו, הדין יוצא מהכלל האמור והאישה תפסיד את מתנותיה. יודגש כי גם לפי פוסקים אלו, האישה אינה "נענשת" למפרע, אלא שהמתנות פוקעות בגלל אומד דעת הנותן בעת הנתינה. </w:t>
      </w:r>
      <w:r>
        <w:rPr>
          <w:rFonts w:hint="cs"/>
          <w:sz w:val="22"/>
          <w:rtl/>
        </w:rPr>
        <w:t xml:space="preserve">מצד אחד </w:t>
      </w:r>
      <w:r w:rsidRPr="0078757E">
        <w:rPr>
          <w:rFonts w:hint="cs"/>
          <w:sz w:val="22"/>
          <w:rtl/>
        </w:rPr>
        <w:t>הרמב"ם</w:t>
      </w:r>
      <w:r w:rsidRPr="00711084">
        <w:rPr>
          <w:rFonts w:hint="cs"/>
          <w:rtl/>
        </w:rPr>
        <w:t xml:space="preserve"> </w:t>
      </w:r>
      <w:r>
        <w:rPr>
          <w:rFonts w:hint="cs"/>
          <w:rtl/>
        </w:rPr>
        <w:t>(</w:t>
      </w:r>
      <w:r w:rsidRPr="0078757E">
        <w:rPr>
          <w:rFonts w:cs="Miriam" w:hint="cs"/>
          <w:b/>
          <w:spacing w:val="0"/>
          <w:sz w:val="22"/>
          <w:szCs w:val="24"/>
          <w:rtl/>
        </w:rPr>
        <w:t>משנה תורה</w:t>
      </w:r>
      <w:r>
        <w:rPr>
          <w:rFonts w:hint="cs"/>
          <w:sz w:val="22"/>
          <w:rtl/>
        </w:rPr>
        <w:t xml:space="preserve">, הלכות </w:t>
      </w:r>
      <w:r w:rsidRPr="0078757E">
        <w:rPr>
          <w:rFonts w:hint="cs"/>
          <w:sz w:val="22"/>
          <w:rtl/>
        </w:rPr>
        <w:t>אישות</w:t>
      </w:r>
      <w:r>
        <w:rPr>
          <w:rFonts w:hint="cs"/>
          <w:rtl/>
        </w:rPr>
        <w:t>, פרק</w:t>
      </w:r>
      <w:r w:rsidRPr="00711084">
        <w:rPr>
          <w:rFonts w:hint="cs"/>
          <w:rtl/>
        </w:rPr>
        <w:t xml:space="preserve"> </w:t>
      </w:r>
      <w:r>
        <w:rPr>
          <w:rFonts w:hint="cs"/>
          <w:rtl/>
        </w:rPr>
        <w:t>יד, הלכה ח)</w:t>
      </w:r>
      <w:r w:rsidRPr="00A87AAA">
        <w:rPr>
          <w:rFonts w:hint="cs"/>
          <w:rtl/>
        </w:rPr>
        <w:t xml:space="preserve"> </w:t>
      </w:r>
      <w:r w:rsidRPr="00054625">
        <w:rPr>
          <w:rFonts w:hint="cs"/>
          <w:rtl/>
        </w:rPr>
        <w:t>פסק כי: "</w:t>
      </w:r>
      <w:r w:rsidRPr="00054625">
        <w:rPr>
          <w:rtl/>
        </w:rPr>
        <w:t xml:space="preserve">כל שנתן לה מתנה מחזרת אותו שלא נתן לה על מנת </w:t>
      </w:r>
      <w:proofErr w:type="spellStart"/>
      <w:r w:rsidRPr="00054625">
        <w:rPr>
          <w:rtl/>
        </w:rPr>
        <w:t>שתטול</w:t>
      </w:r>
      <w:proofErr w:type="spellEnd"/>
      <w:r w:rsidRPr="00054625">
        <w:rPr>
          <w:rtl/>
        </w:rPr>
        <w:t xml:space="preserve"> ותצא</w:t>
      </w:r>
      <w:r w:rsidRPr="00054625">
        <w:rPr>
          <w:rFonts w:hint="cs"/>
          <w:rtl/>
        </w:rPr>
        <w:t>"</w:t>
      </w:r>
      <w:r>
        <w:rPr>
          <w:rStyle w:val="aff"/>
          <w:rFonts w:ascii="Century" w:hAnsi="Century" w:hint="cs"/>
          <w:sz w:val="22"/>
          <w:rtl/>
        </w:rPr>
        <w:t xml:space="preserve"> </w:t>
      </w:r>
      <w:r>
        <w:rPr>
          <w:rFonts w:hint="cs"/>
          <w:rtl/>
        </w:rPr>
        <w:t>(וכך נפסק ב</w:t>
      </w:r>
      <w:r w:rsidRPr="00DA52FB">
        <w:rPr>
          <w:rFonts w:cs="Miriam" w:hint="cs"/>
          <w:b/>
          <w:spacing w:val="0"/>
          <w:sz w:val="22"/>
          <w:szCs w:val="24"/>
          <w:rtl/>
        </w:rPr>
        <w:t>שולחן ערוך</w:t>
      </w:r>
      <w:r>
        <w:rPr>
          <w:rFonts w:hint="cs"/>
          <w:rtl/>
        </w:rPr>
        <w:t xml:space="preserve">, </w:t>
      </w:r>
      <w:r>
        <w:rPr>
          <w:rStyle w:val="aff"/>
          <w:rFonts w:ascii="Century" w:hAnsi="Century" w:cs="Miriam" w:hint="cs"/>
          <w:b/>
          <w:spacing w:val="0"/>
          <w:sz w:val="22"/>
          <w:szCs w:val="24"/>
          <w:rtl/>
        </w:rPr>
        <w:t>אבן העזר</w:t>
      </w:r>
      <w:r>
        <w:rPr>
          <w:rFonts w:hint="cs"/>
          <w:rtl/>
        </w:rPr>
        <w:t xml:space="preserve">, סימן עז, סעיפים ב-ג. אם כי יצוין כי גם בעניין זה דינו של הרמב"ם מתייחס באופן מפורש דווקא לאישה הדורשת להתגרש מבעלה נגד רצונו. אך ללא דרישת הגירושין, גם בעת מרדהּ היא לא תפסיד </w:t>
      </w:r>
      <w:r w:rsidRPr="00054625">
        <w:rPr>
          <w:rFonts w:hint="cs"/>
          <w:rtl/>
        </w:rPr>
        <w:t xml:space="preserve">מאומה. זאת לעומת פוסקים אחרים שאינם מבחינים בין שני המקרים; וראו: </w:t>
      </w:r>
      <w:r>
        <w:rPr>
          <w:rStyle w:val="aff"/>
          <w:rFonts w:ascii="Century" w:hAnsi="Century" w:cs="Miriam" w:hint="cs"/>
          <w:b/>
          <w:spacing w:val="0"/>
          <w:sz w:val="22"/>
          <w:szCs w:val="24"/>
          <w:rtl/>
        </w:rPr>
        <w:t xml:space="preserve">חידושי </w:t>
      </w:r>
      <w:proofErr w:type="spellStart"/>
      <w:r>
        <w:rPr>
          <w:rStyle w:val="aff"/>
          <w:rFonts w:ascii="Century" w:hAnsi="Century" w:cs="Miriam" w:hint="cs"/>
          <w:b/>
          <w:spacing w:val="0"/>
          <w:sz w:val="22"/>
          <w:szCs w:val="24"/>
          <w:rtl/>
        </w:rPr>
        <w:t>הרשב"א</w:t>
      </w:r>
      <w:proofErr w:type="spellEnd"/>
      <w:r>
        <w:rPr>
          <w:rStyle w:val="aff"/>
          <w:rFonts w:ascii="Century" w:hAnsi="Century" w:hint="cs"/>
          <w:sz w:val="22"/>
          <w:rtl/>
        </w:rPr>
        <w:t xml:space="preserve"> </w:t>
      </w:r>
      <w:r w:rsidRPr="00054625">
        <w:rPr>
          <w:rFonts w:hint="cs"/>
          <w:rtl/>
        </w:rPr>
        <w:t>כתובות סד ע"א;</w:t>
      </w:r>
      <w:r>
        <w:rPr>
          <w:rStyle w:val="aff"/>
          <w:rFonts w:ascii="Century" w:hAnsi="Century" w:hint="cs"/>
          <w:sz w:val="22"/>
          <w:rtl/>
        </w:rPr>
        <w:t xml:space="preserve"> </w:t>
      </w:r>
      <w:r>
        <w:rPr>
          <w:rStyle w:val="aff"/>
          <w:rFonts w:ascii="Century" w:hAnsi="Century" w:cs="Miriam" w:hint="cs"/>
          <w:b/>
          <w:spacing w:val="0"/>
          <w:sz w:val="22"/>
          <w:szCs w:val="24"/>
          <w:rtl/>
        </w:rPr>
        <w:t>חידושי רמב"ן</w:t>
      </w:r>
      <w:r w:rsidRPr="00054625">
        <w:rPr>
          <w:rFonts w:hint="cs"/>
          <w:rtl/>
        </w:rPr>
        <w:t>, כתובות סד, ע"א)</w:t>
      </w:r>
      <w:r w:rsidRPr="00054625">
        <w:rPr>
          <w:rtl/>
        </w:rPr>
        <w:t>.</w:t>
      </w:r>
      <w:r w:rsidRPr="00054625">
        <w:rPr>
          <w:rFonts w:hint="cs"/>
          <w:rtl/>
        </w:rPr>
        <w:t xml:space="preserve"> לעומת זאת </w:t>
      </w:r>
      <w:proofErr w:type="spellStart"/>
      <w:r w:rsidRPr="00054625">
        <w:rPr>
          <w:rFonts w:hint="cs"/>
          <w:rtl/>
        </w:rPr>
        <w:t>הרא"ה</w:t>
      </w:r>
      <w:proofErr w:type="spellEnd"/>
      <w:r w:rsidRPr="00054625">
        <w:rPr>
          <w:rFonts w:hint="cs"/>
          <w:rtl/>
        </w:rPr>
        <w:t xml:space="preserve"> (</w:t>
      </w:r>
      <w:r>
        <w:rPr>
          <w:rStyle w:val="aff"/>
          <w:rFonts w:ascii="Century" w:hAnsi="Century" w:cs="Miriam" w:hint="cs"/>
          <w:b/>
          <w:spacing w:val="0"/>
          <w:sz w:val="22"/>
          <w:szCs w:val="24"/>
          <w:rtl/>
        </w:rPr>
        <w:t xml:space="preserve">חידושי </w:t>
      </w:r>
      <w:proofErr w:type="spellStart"/>
      <w:r>
        <w:rPr>
          <w:rStyle w:val="aff"/>
          <w:rFonts w:ascii="Century" w:hAnsi="Century" w:cs="Miriam" w:hint="cs"/>
          <w:b/>
          <w:spacing w:val="0"/>
          <w:sz w:val="22"/>
          <w:szCs w:val="24"/>
          <w:rtl/>
        </w:rPr>
        <w:t>הרא"ה</w:t>
      </w:r>
      <w:proofErr w:type="spellEnd"/>
      <w:r w:rsidRPr="00054625">
        <w:rPr>
          <w:rFonts w:hint="cs"/>
          <w:rtl/>
        </w:rPr>
        <w:t>, כתובות סד, ע"א) פסק כי המתנות</w:t>
      </w:r>
      <w:r w:rsidRPr="00C7623B">
        <w:rPr>
          <w:rFonts w:hint="cs"/>
          <w:rtl/>
        </w:rPr>
        <w:t xml:space="preserve"> </w:t>
      </w:r>
      <w:r w:rsidRPr="00A87AAA">
        <w:rPr>
          <w:rFonts w:hint="cs"/>
          <w:rtl/>
        </w:rPr>
        <w:t>שקיבלה האישה נשארות בידיה</w:t>
      </w:r>
      <w:r>
        <w:rPr>
          <w:rFonts w:hint="cs"/>
          <w:rtl/>
        </w:rPr>
        <w:t xml:space="preserve"> בכל מקרה</w:t>
      </w:r>
      <w:r w:rsidRPr="00A87AAA">
        <w:rPr>
          <w:rFonts w:hint="cs"/>
          <w:rtl/>
        </w:rPr>
        <w:t xml:space="preserve"> (</w:t>
      </w:r>
      <w:r>
        <w:rPr>
          <w:rFonts w:hint="cs"/>
          <w:rtl/>
        </w:rPr>
        <w:t xml:space="preserve">וראו גם: </w:t>
      </w:r>
      <w:r w:rsidRPr="00A87AAA">
        <w:rPr>
          <w:rFonts w:cs="Miriam" w:hint="cs"/>
          <w:b/>
          <w:spacing w:val="0"/>
          <w:szCs w:val="24"/>
          <w:rtl/>
        </w:rPr>
        <w:t xml:space="preserve">שו"ת </w:t>
      </w:r>
      <w:proofErr w:type="spellStart"/>
      <w:r w:rsidRPr="00A87AAA">
        <w:rPr>
          <w:rFonts w:cs="Miriam" w:hint="cs"/>
          <w:b/>
          <w:spacing w:val="0"/>
          <w:szCs w:val="24"/>
          <w:rtl/>
        </w:rPr>
        <w:t>הרשב"א</w:t>
      </w:r>
      <w:proofErr w:type="spellEnd"/>
      <w:r>
        <w:rPr>
          <w:rFonts w:hint="cs"/>
          <w:rtl/>
        </w:rPr>
        <w:t xml:space="preserve">, חלק ב, סימן </w:t>
      </w:r>
      <w:proofErr w:type="spellStart"/>
      <w:r>
        <w:rPr>
          <w:rFonts w:hint="cs"/>
          <w:rtl/>
        </w:rPr>
        <w:t>קיב</w:t>
      </w:r>
      <w:proofErr w:type="spellEnd"/>
      <w:r>
        <w:rPr>
          <w:rFonts w:hint="cs"/>
          <w:rtl/>
        </w:rPr>
        <w:t xml:space="preserve">; חלק ד, סימן נב; חלק ו, סימן עב; חלק ז, סימן </w:t>
      </w:r>
      <w:proofErr w:type="spellStart"/>
      <w:r>
        <w:rPr>
          <w:rFonts w:hint="cs"/>
          <w:rtl/>
        </w:rPr>
        <w:t>תיד</w:t>
      </w:r>
      <w:proofErr w:type="spellEnd"/>
      <w:r>
        <w:rPr>
          <w:rFonts w:hint="cs"/>
          <w:rtl/>
        </w:rPr>
        <w:t>; כמו כן, ה</w:t>
      </w:r>
      <w:r w:rsidRPr="00070B48">
        <w:rPr>
          <w:rFonts w:cs="Miriam" w:hint="cs"/>
          <w:b/>
          <w:spacing w:val="0"/>
          <w:sz w:val="22"/>
          <w:szCs w:val="24"/>
          <w:rtl/>
        </w:rPr>
        <w:t>טור</w:t>
      </w:r>
      <w:r>
        <w:rPr>
          <w:rFonts w:hint="cs"/>
          <w:rtl/>
        </w:rPr>
        <w:t xml:space="preserve"> (</w:t>
      </w:r>
      <w:r w:rsidRPr="00CD1CA0">
        <w:rPr>
          <w:rFonts w:cs="Miriam" w:hint="cs"/>
          <w:b/>
          <w:spacing w:val="0"/>
          <w:sz w:val="22"/>
          <w:szCs w:val="24"/>
          <w:rtl/>
        </w:rPr>
        <w:t>אבן העזר</w:t>
      </w:r>
      <w:r w:rsidRPr="0078757E">
        <w:rPr>
          <w:rFonts w:hint="cs"/>
          <w:sz w:val="22"/>
          <w:rtl/>
        </w:rPr>
        <w:t>,</w:t>
      </w:r>
      <w:r>
        <w:rPr>
          <w:rFonts w:hint="cs"/>
          <w:rtl/>
        </w:rPr>
        <w:t xml:space="preserve"> סימן פה), התנה את אובדן המתנות במתן "איגרת מרד" הניתנת לאישה; וראו לעניין זה: הרב </w:t>
      </w:r>
      <w:r w:rsidRPr="00AF5DAA">
        <w:rPr>
          <w:rFonts w:hint="cs"/>
          <w:sz w:val="22"/>
          <w:rtl/>
        </w:rPr>
        <w:t xml:space="preserve">יוסף שלום אלישיב </w:t>
      </w:r>
      <w:r>
        <w:rPr>
          <w:rFonts w:hint="cs"/>
          <w:sz w:val="22"/>
          <w:rtl/>
        </w:rPr>
        <w:t xml:space="preserve">הסובר </w:t>
      </w:r>
      <w:r w:rsidRPr="00AF5DAA">
        <w:rPr>
          <w:rFonts w:hint="cs"/>
          <w:sz w:val="22"/>
          <w:rtl/>
        </w:rPr>
        <w:t>שכתיבת אגרת מרד לא מעלה ולא מורידה לעניין זה</w:t>
      </w:r>
      <w:r>
        <w:rPr>
          <w:rFonts w:hint="cs"/>
          <w:sz w:val="22"/>
          <w:rtl/>
        </w:rPr>
        <w:t xml:space="preserve"> </w:t>
      </w:r>
      <w:r>
        <w:rPr>
          <w:sz w:val="22"/>
          <w:rtl/>
        </w:rPr>
        <w:t>–</w:t>
      </w:r>
      <w:r w:rsidRPr="00AF5DAA">
        <w:rPr>
          <w:rFonts w:hint="cs"/>
          <w:sz w:val="22"/>
          <w:rtl/>
        </w:rPr>
        <w:t xml:space="preserve"> </w:t>
      </w:r>
      <w:r w:rsidRPr="00CD1CA0">
        <w:rPr>
          <w:rFonts w:cs="Miriam"/>
          <w:b/>
          <w:spacing w:val="0"/>
          <w:sz w:val="22"/>
          <w:szCs w:val="24"/>
          <w:rtl/>
        </w:rPr>
        <w:t>קובץ תשובות הרב אלישיב</w:t>
      </w:r>
      <w:r w:rsidRPr="0078757E">
        <w:rPr>
          <w:rFonts w:hint="cs"/>
          <w:sz w:val="22"/>
          <w:rtl/>
        </w:rPr>
        <w:t>,</w:t>
      </w:r>
      <w:r w:rsidRPr="00AF5DAA">
        <w:rPr>
          <w:sz w:val="22"/>
          <w:rtl/>
        </w:rPr>
        <w:t xml:space="preserve"> חלק ג</w:t>
      </w:r>
      <w:r>
        <w:rPr>
          <w:rFonts w:hint="cs"/>
          <w:sz w:val="22"/>
          <w:rtl/>
        </w:rPr>
        <w:t>,</w:t>
      </w:r>
      <w:r w:rsidRPr="00AF5DAA">
        <w:rPr>
          <w:sz w:val="22"/>
          <w:rtl/>
        </w:rPr>
        <w:t xml:space="preserve"> סימן </w:t>
      </w:r>
      <w:proofErr w:type="spellStart"/>
      <w:r w:rsidRPr="00AF5DAA">
        <w:rPr>
          <w:sz w:val="22"/>
          <w:rtl/>
        </w:rPr>
        <w:t>קצט</w:t>
      </w:r>
      <w:proofErr w:type="spellEnd"/>
      <w:r w:rsidRPr="00AF5DAA">
        <w:rPr>
          <w:rFonts w:hint="cs"/>
          <w:sz w:val="22"/>
          <w:rtl/>
        </w:rPr>
        <w:t xml:space="preserve">). </w:t>
      </w:r>
    </w:p>
    <w:p w:rsidR="00FF0D41" w:rsidRDefault="00FF0D41" w:rsidP="00FF0D41">
      <w:pPr>
        <w:pStyle w:val="Ruller4"/>
        <w:numPr>
          <w:ilvl w:val="0"/>
          <w:numId w:val="0"/>
        </w:numPr>
        <w:rPr>
          <w:rFonts w:ascii="Century" w:hAnsi="Century"/>
          <w:sz w:val="22"/>
          <w:rtl/>
        </w:rPr>
      </w:pPr>
    </w:p>
    <w:p w:rsidR="00FF0D41" w:rsidRDefault="00FF0D41" w:rsidP="00FF0D41">
      <w:pPr>
        <w:pStyle w:val="Ruller4"/>
        <w:numPr>
          <w:ilvl w:val="0"/>
          <w:numId w:val="0"/>
        </w:numPr>
        <w:rPr>
          <w:rtl/>
        </w:rPr>
      </w:pPr>
      <w:r>
        <w:rPr>
          <w:rFonts w:ascii="Century" w:hAnsi="Century"/>
          <w:sz w:val="22"/>
          <w:rtl/>
        </w:rPr>
        <w:tab/>
      </w:r>
      <w:r w:rsidRPr="00AF5DAA">
        <w:rPr>
          <w:rFonts w:ascii="Century" w:hAnsi="Century" w:hint="cs"/>
          <w:sz w:val="22"/>
          <w:rtl/>
        </w:rPr>
        <w:t>בעניין זה גם חשוב להדגיש כי אותו דין חל לגבי מתנות</w:t>
      </w:r>
      <w:r w:rsidRPr="00AF5DAA">
        <w:rPr>
          <w:rFonts w:hint="cs"/>
          <w:rtl/>
        </w:rPr>
        <w:t xml:space="preserve"> </w:t>
      </w:r>
      <w:r>
        <w:rPr>
          <w:rFonts w:hint="cs"/>
          <w:rtl/>
        </w:rPr>
        <w:t>שקיבל הבעל מהאישה. היינו הדין הוא דו-סטרי, וכאשר הבעל קיבל מתנות מאשתו ומרד בה, גם הוא יאבד (לאותן שיטות לפיהן המרד גורר אחריו את אובדן הרכוש) את המתנות שקיבל ממנה במהלך הנישואין (</w:t>
      </w:r>
      <w:proofErr w:type="spellStart"/>
      <w:r>
        <w:rPr>
          <w:rFonts w:hint="cs"/>
          <w:rtl/>
        </w:rPr>
        <w:t>מהר"א</w:t>
      </w:r>
      <w:proofErr w:type="spellEnd"/>
      <w:r>
        <w:rPr>
          <w:rFonts w:hint="cs"/>
          <w:rtl/>
        </w:rPr>
        <w:t xml:space="preserve"> ששון, </w:t>
      </w:r>
      <w:r w:rsidRPr="00AF5DAA">
        <w:rPr>
          <w:rFonts w:ascii="Century" w:hAnsi="Century" w:cs="Miriam" w:hint="cs"/>
          <w:b/>
          <w:spacing w:val="0"/>
          <w:sz w:val="22"/>
          <w:szCs w:val="24"/>
          <w:rtl/>
        </w:rPr>
        <w:t>שו"ת תורת אמת</w:t>
      </w:r>
      <w:r>
        <w:rPr>
          <w:rFonts w:hint="cs"/>
          <w:rtl/>
        </w:rPr>
        <w:t xml:space="preserve">, סימן </w:t>
      </w:r>
      <w:proofErr w:type="spellStart"/>
      <w:r>
        <w:rPr>
          <w:rFonts w:hint="cs"/>
          <w:rtl/>
        </w:rPr>
        <w:t>נה</w:t>
      </w:r>
      <w:proofErr w:type="spellEnd"/>
      <w:r>
        <w:rPr>
          <w:rFonts w:hint="cs"/>
          <w:rtl/>
        </w:rPr>
        <w:t xml:space="preserve">; </w:t>
      </w:r>
      <w:r w:rsidRPr="00CC493A">
        <w:rPr>
          <w:rFonts w:ascii="Century" w:hAnsi="Century" w:cs="Miriam" w:hint="cs"/>
          <w:b/>
          <w:spacing w:val="0"/>
          <w:sz w:val="22"/>
          <w:szCs w:val="24"/>
          <w:rtl/>
        </w:rPr>
        <w:t>חתם סופר</w:t>
      </w:r>
      <w:r>
        <w:rPr>
          <w:rFonts w:hint="cs"/>
          <w:rtl/>
        </w:rPr>
        <w:t>, חלק ג, סימן קמא).</w:t>
      </w:r>
    </w:p>
    <w:p w:rsidR="00FF0D41" w:rsidRPr="00C7623B" w:rsidRDefault="00FF0D41" w:rsidP="00FF0D41">
      <w:pPr>
        <w:pStyle w:val="Ruller41"/>
      </w:pPr>
    </w:p>
    <w:p w:rsidR="00FF0D41" w:rsidRPr="008E6057" w:rsidRDefault="00FF0D41" w:rsidP="00FF0D41">
      <w:pPr>
        <w:pStyle w:val="Ruller4"/>
        <w:rPr>
          <w:rFonts w:ascii="Arial TUR" w:hAnsi="Arial TUR"/>
          <w:sz w:val="22"/>
          <w:rtl/>
        </w:rPr>
      </w:pPr>
      <w:r>
        <w:rPr>
          <w:rFonts w:hint="cs"/>
          <w:rtl/>
        </w:rPr>
        <w:t xml:space="preserve">ולבסוף לדין המתנות כאשר אישה זינתה תחת בעלה. ראשית יצוין כי בכל מקום שהפוסקים הראשונים מתייחסים לשלילת מתנות מאישה, דובר בדין אישה מורדת ולא באישה שזינתה תחת בעלה. היינו דין מורדת הוא דין יוצא מהכלל. עם זאת, בדורות מאוחרים יותר ניתן למצוא פוסקים שהתייחסו לעניין שלפנינו באופן מפורש אשר </w:t>
      </w:r>
      <w:r>
        <w:rPr>
          <w:rFonts w:hint="cs"/>
          <w:rtl/>
        </w:rPr>
        <w:lastRenderedPageBreak/>
        <w:t xml:space="preserve">מפסיקתם עולה כי אישה אינה מאבדת במקרים אלו את מתנתה. כך </w:t>
      </w:r>
      <w:r w:rsidRPr="008E6057">
        <w:rPr>
          <w:rFonts w:ascii="Century" w:hAnsi="Century" w:cs="Miriam" w:hint="cs"/>
          <w:b/>
          <w:spacing w:val="0"/>
          <w:sz w:val="22"/>
          <w:szCs w:val="24"/>
          <w:rtl/>
        </w:rPr>
        <w:t>הלבוש</w:t>
      </w:r>
      <w:r w:rsidRPr="008E6057">
        <w:rPr>
          <w:rFonts w:ascii="Arial TUR" w:hAnsi="Arial TUR" w:hint="cs"/>
          <w:sz w:val="22"/>
          <w:rtl/>
        </w:rPr>
        <w:t xml:space="preserve"> (אבן העזר</w:t>
      </w:r>
      <w:r>
        <w:rPr>
          <w:rFonts w:ascii="Arial TUR" w:hAnsi="Arial TUR" w:hint="cs"/>
          <w:sz w:val="22"/>
          <w:rtl/>
        </w:rPr>
        <w:t>,</w:t>
      </w:r>
      <w:r w:rsidRPr="008E6057">
        <w:rPr>
          <w:rFonts w:ascii="Arial TUR" w:hAnsi="Arial TUR" w:hint="cs"/>
          <w:sz w:val="22"/>
          <w:rtl/>
        </w:rPr>
        <w:t xml:space="preserve"> סימן </w:t>
      </w:r>
      <w:proofErr w:type="spellStart"/>
      <w:r w:rsidRPr="008E6057">
        <w:rPr>
          <w:rFonts w:ascii="Arial TUR" w:hAnsi="Arial TUR" w:hint="cs"/>
          <w:sz w:val="22"/>
          <w:rtl/>
        </w:rPr>
        <w:t>צט</w:t>
      </w:r>
      <w:proofErr w:type="spellEnd"/>
      <w:r w:rsidRPr="008E6057">
        <w:rPr>
          <w:rFonts w:ascii="Arial TUR" w:hAnsi="Arial TUR" w:hint="cs"/>
          <w:sz w:val="22"/>
          <w:rtl/>
        </w:rPr>
        <w:t>) כתב "</w:t>
      </w:r>
      <w:r w:rsidRPr="008E6057">
        <w:rPr>
          <w:rFonts w:ascii="Arial TUR" w:hAnsi="Arial TUR" w:hint="eastAsia"/>
          <w:sz w:val="22"/>
          <w:rtl/>
        </w:rPr>
        <w:t>אבל</w:t>
      </w:r>
      <w:r w:rsidRPr="008E6057">
        <w:rPr>
          <w:rFonts w:ascii="Arial TUR" w:hAnsi="Arial TUR"/>
          <w:sz w:val="22"/>
          <w:rtl/>
        </w:rPr>
        <w:t xml:space="preserve"> </w:t>
      </w:r>
      <w:r w:rsidRPr="008E6057">
        <w:rPr>
          <w:rFonts w:ascii="Arial TUR" w:hAnsi="Arial TUR" w:hint="eastAsia"/>
          <w:sz w:val="22"/>
          <w:rtl/>
        </w:rPr>
        <w:t>מתנה</w:t>
      </w:r>
      <w:r w:rsidRPr="008E6057">
        <w:rPr>
          <w:rFonts w:ascii="Arial TUR" w:hAnsi="Arial TUR"/>
          <w:sz w:val="22"/>
          <w:rtl/>
        </w:rPr>
        <w:t xml:space="preserve"> </w:t>
      </w:r>
      <w:r w:rsidRPr="008E6057">
        <w:rPr>
          <w:rFonts w:ascii="Arial TUR" w:hAnsi="Arial TUR" w:hint="eastAsia"/>
          <w:sz w:val="22"/>
          <w:rtl/>
        </w:rPr>
        <w:t>שנתן</w:t>
      </w:r>
      <w:r w:rsidRPr="008E6057">
        <w:rPr>
          <w:rFonts w:ascii="Arial TUR" w:hAnsi="Arial TUR"/>
          <w:sz w:val="22"/>
          <w:rtl/>
        </w:rPr>
        <w:t xml:space="preserve"> </w:t>
      </w:r>
      <w:r w:rsidRPr="008E6057">
        <w:rPr>
          <w:rFonts w:ascii="Arial TUR" w:hAnsi="Arial TUR" w:hint="eastAsia"/>
          <w:sz w:val="22"/>
          <w:rtl/>
        </w:rPr>
        <w:t>לה</w:t>
      </w:r>
      <w:r w:rsidRPr="008E6057">
        <w:rPr>
          <w:rFonts w:ascii="Arial TUR" w:hAnsi="Arial TUR"/>
          <w:sz w:val="22"/>
          <w:rtl/>
        </w:rPr>
        <w:t xml:space="preserve"> </w:t>
      </w:r>
      <w:r w:rsidRPr="008E6057">
        <w:rPr>
          <w:rFonts w:ascii="Arial TUR" w:hAnsi="Arial TUR" w:hint="eastAsia"/>
          <w:sz w:val="22"/>
          <w:rtl/>
        </w:rPr>
        <w:t>אף</w:t>
      </w:r>
      <w:r w:rsidRPr="008E6057">
        <w:rPr>
          <w:rFonts w:ascii="Arial TUR" w:hAnsi="Arial TUR"/>
          <w:sz w:val="22"/>
          <w:rtl/>
        </w:rPr>
        <w:t xml:space="preserve"> </w:t>
      </w:r>
      <w:r w:rsidRPr="008E6057">
        <w:rPr>
          <w:rFonts w:ascii="Arial TUR" w:hAnsi="Arial TUR" w:hint="eastAsia"/>
          <w:sz w:val="22"/>
          <w:rtl/>
        </w:rPr>
        <w:t>על</w:t>
      </w:r>
      <w:r w:rsidRPr="008E6057">
        <w:rPr>
          <w:rFonts w:ascii="Arial TUR" w:hAnsi="Arial TUR"/>
          <w:sz w:val="22"/>
          <w:rtl/>
        </w:rPr>
        <w:t xml:space="preserve"> </w:t>
      </w:r>
      <w:r w:rsidRPr="008E6057">
        <w:rPr>
          <w:rFonts w:ascii="Arial TUR" w:hAnsi="Arial TUR" w:hint="eastAsia"/>
          <w:sz w:val="22"/>
          <w:rtl/>
        </w:rPr>
        <w:t>פי</w:t>
      </w:r>
      <w:r w:rsidRPr="008E6057">
        <w:rPr>
          <w:rFonts w:ascii="Arial TUR" w:hAnsi="Arial TUR"/>
          <w:sz w:val="22"/>
          <w:rtl/>
        </w:rPr>
        <w:t xml:space="preserve"> </w:t>
      </w:r>
      <w:r w:rsidRPr="008E6057">
        <w:rPr>
          <w:rFonts w:ascii="Arial TUR" w:hAnsi="Arial TUR" w:hint="eastAsia"/>
          <w:sz w:val="22"/>
          <w:rtl/>
        </w:rPr>
        <w:t>שהוא</w:t>
      </w:r>
      <w:r w:rsidRPr="008E6057">
        <w:rPr>
          <w:rFonts w:ascii="Arial TUR" w:hAnsi="Arial TUR"/>
          <w:sz w:val="22"/>
          <w:rtl/>
        </w:rPr>
        <w:t xml:space="preserve"> </w:t>
      </w:r>
      <w:r w:rsidRPr="008E6057">
        <w:rPr>
          <w:rFonts w:ascii="Arial TUR" w:hAnsi="Arial TUR" w:hint="eastAsia"/>
          <w:sz w:val="22"/>
          <w:rtl/>
        </w:rPr>
        <w:t>מגרשה</w:t>
      </w:r>
      <w:r w:rsidRPr="008E6057">
        <w:rPr>
          <w:rFonts w:ascii="Arial TUR" w:hAnsi="Arial TUR"/>
          <w:sz w:val="22"/>
          <w:rtl/>
        </w:rPr>
        <w:t xml:space="preserve"> </w:t>
      </w:r>
      <w:r w:rsidRPr="008E6057">
        <w:rPr>
          <w:rFonts w:ascii="Arial TUR" w:hAnsi="Arial TUR" w:hint="eastAsia"/>
          <w:sz w:val="22"/>
          <w:rtl/>
        </w:rPr>
        <w:t>מחמת</w:t>
      </w:r>
      <w:r w:rsidRPr="008E6057">
        <w:rPr>
          <w:rFonts w:ascii="Arial TUR" w:hAnsi="Arial TUR"/>
          <w:sz w:val="22"/>
          <w:rtl/>
        </w:rPr>
        <w:t xml:space="preserve"> </w:t>
      </w:r>
      <w:r w:rsidRPr="008E6057">
        <w:rPr>
          <w:rFonts w:ascii="Arial TUR" w:hAnsi="Arial TUR" w:hint="eastAsia"/>
          <w:sz w:val="22"/>
          <w:rtl/>
        </w:rPr>
        <w:t>ערות</w:t>
      </w:r>
      <w:r w:rsidRPr="008E6057">
        <w:rPr>
          <w:rFonts w:ascii="Arial TUR" w:hAnsi="Arial TUR"/>
          <w:sz w:val="22"/>
          <w:rtl/>
        </w:rPr>
        <w:t xml:space="preserve"> </w:t>
      </w:r>
      <w:r w:rsidRPr="008E6057">
        <w:rPr>
          <w:rFonts w:ascii="Arial TUR" w:hAnsi="Arial TUR" w:hint="eastAsia"/>
          <w:sz w:val="22"/>
          <w:rtl/>
        </w:rPr>
        <w:t>דבר</w:t>
      </w:r>
      <w:r w:rsidRPr="008E6057">
        <w:rPr>
          <w:rFonts w:ascii="Arial TUR" w:hAnsi="Arial TUR"/>
          <w:sz w:val="22"/>
          <w:rtl/>
        </w:rPr>
        <w:t xml:space="preserve"> </w:t>
      </w:r>
      <w:r w:rsidRPr="008E6057">
        <w:rPr>
          <w:rFonts w:ascii="Arial TUR" w:hAnsi="Arial TUR" w:hint="eastAsia"/>
          <w:sz w:val="22"/>
          <w:rtl/>
        </w:rPr>
        <w:t>מתנתה</w:t>
      </w:r>
      <w:r w:rsidRPr="008E6057">
        <w:rPr>
          <w:rFonts w:ascii="Arial TUR" w:hAnsi="Arial TUR"/>
          <w:sz w:val="22"/>
          <w:rtl/>
        </w:rPr>
        <w:t xml:space="preserve"> </w:t>
      </w:r>
      <w:r w:rsidRPr="008E6057">
        <w:rPr>
          <w:rFonts w:ascii="Arial TUR" w:hAnsi="Arial TUR" w:hint="eastAsia"/>
          <w:sz w:val="22"/>
          <w:rtl/>
        </w:rPr>
        <w:t>שלה</w:t>
      </w:r>
      <w:r w:rsidRPr="008E6057">
        <w:rPr>
          <w:rFonts w:ascii="Arial TUR" w:hAnsi="Arial TUR"/>
          <w:sz w:val="22"/>
          <w:rtl/>
        </w:rPr>
        <w:t xml:space="preserve"> </w:t>
      </w:r>
      <w:r w:rsidRPr="008E6057">
        <w:rPr>
          <w:rFonts w:ascii="Arial TUR" w:hAnsi="Arial TUR" w:hint="eastAsia"/>
          <w:sz w:val="22"/>
          <w:rtl/>
        </w:rPr>
        <w:t>שכבר</w:t>
      </w:r>
      <w:r w:rsidRPr="008E6057">
        <w:rPr>
          <w:rFonts w:ascii="Arial TUR" w:hAnsi="Arial TUR"/>
          <w:sz w:val="22"/>
          <w:rtl/>
        </w:rPr>
        <w:t xml:space="preserve"> </w:t>
      </w:r>
      <w:r w:rsidRPr="008E6057">
        <w:rPr>
          <w:rFonts w:ascii="Arial TUR" w:hAnsi="Arial TUR" w:hint="eastAsia"/>
          <w:sz w:val="22"/>
          <w:rtl/>
        </w:rPr>
        <w:t>זכתה</w:t>
      </w:r>
      <w:r w:rsidRPr="008E6057">
        <w:rPr>
          <w:rFonts w:ascii="Arial TUR" w:hAnsi="Arial TUR"/>
          <w:sz w:val="22"/>
          <w:rtl/>
        </w:rPr>
        <w:t xml:space="preserve"> </w:t>
      </w:r>
      <w:r w:rsidRPr="008E6057">
        <w:rPr>
          <w:rFonts w:ascii="Arial TUR" w:hAnsi="Arial TUR" w:hint="eastAsia"/>
          <w:sz w:val="22"/>
          <w:rtl/>
        </w:rPr>
        <w:t>בה</w:t>
      </w:r>
      <w:r w:rsidRPr="008E6057">
        <w:rPr>
          <w:rFonts w:ascii="Arial TUR" w:hAnsi="Arial TUR" w:hint="cs"/>
          <w:sz w:val="22"/>
          <w:rtl/>
        </w:rPr>
        <w:t xml:space="preserve">", כאשר </w:t>
      </w:r>
      <w:r>
        <w:rPr>
          <w:rFonts w:hint="cs"/>
          <w:rtl/>
        </w:rPr>
        <w:t xml:space="preserve">הביטוי "ערות דבר" במקורו כולל בתוכו גם זנות. כך </w:t>
      </w:r>
      <w:r w:rsidRPr="00D41C2E">
        <w:rPr>
          <w:rFonts w:ascii="Century" w:hAnsi="Century" w:cs="Miriam" w:hint="cs"/>
          <w:b/>
          <w:spacing w:val="0"/>
          <w:sz w:val="22"/>
          <w:szCs w:val="24"/>
          <w:rtl/>
        </w:rPr>
        <w:t xml:space="preserve">החתם סופר </w:t>
      </w:r>
      <w:r>
        <w:rPr>
          <w:rFonts w:hint="cs"/>
          <w:rtl/>
        </w:rPr>
        <w:t>(לעיל) כתב במפורש שגם אישה שזינתה ונאסרה על בעלה לא הפסידה את מתנותיה, ודבריו הובאו בפתחי תשובה (</w:t>
      </w:r>
      <w:r w:rsidRPr="00CC493A">
        <w:rPr>
          <w:rFonts w:ascii="Century" w:hAnsi="Century" w:cs="Miriam" w:hint="cs"/>
          <w:b/>
          <w:spacing w:val="0"/>
          <w:sz w:val="22"/>
          <w:szCs w:val="24"/>
          <w:rtl/>
        </w:rPr>
        <w:t>פתחי תשובה</w:t>
      </w:r>
      <w:r>
        <w:rPr>
          <w:rFonts w:hint="cs"/>
          <w:rtl/>
        </w:rPr>
        <w:t xml:space="preserve">, אבן העזר, סימן </w:t>
      </w:r>
      <w:proofErr w:type="spellStart"/>
      <w:r>
        <w:rPr>
          <w:rFonts w:hint="cs"/>
          <w:rtl/>
        </w:rPr>
        <w:t>צט</w:t>
      </w:r>
      <w:proofErr w:type="spellEnd"/>
      <w:r>
        <w:rPr>
          <w:rFonts w:hint="cs"/>
          <w:rtl/>
        </w:rPr>
        <w:t xml:space="preserve">, </w:t>
      </w:r>
      <w:proofErr w:type="spellStart"/>
      <w:r>
        <w:rPr>
          <w:rFonts w:hint="cs"/>
          <w:rtl/>
        </w:rPr>
        <w:t>סק"ז</w:t>
      </w:r>
      <w:proofErr w:type="spellEnd"/>
      <w:r>
        <w:rPr>
          <w:rFonts w:hint="cs"/>
          <w:rtl/>
        </w:rPr>
        <w:t xml:space="preserve"> (השני)). נדמה אפוא שזו הייתה גם דעת הפוסקים הקדומים יותר. פסיקה זו עולה אף בפסקי דין רבניים משנים עברו (ראו: תיק (אזורי ב"ש) תשכ"ד/332, </w:t>
      </w:r>
      <w:proofErr w:type="spellStart"/>
      <w:r>
        <w:rPr>
          <w:rFonts w:hint="cs"/>
          <w:rtl/>
        </w:rPr>
        <w:t>פד"ר</w:t>
      </w:r>
      <w:proofErr w:type="spellEnd"/>
      <w:r>
        <w:rPr>
          <w:rFonts w:hint="cs"/>
          <w:rtl/>
        </w:rPr>
        <w:t xml:space="preserve"> ו 27, 31 (</w:t>
      </w:r>
      <w:proofErr w:type="spellStart"/>
      <w:r>
        <w:rPr>
          <w:rFonts w:hint="cs"/>
          <w:rtl/>
        </w:rPr>
        <w:t>התשכ"ה</w:t>
      </w:r>
      <w:proofErr w:type="spellEnd"/>
      <w:r>
        <w:rPr>
          <w:rFonts w:hint="cs"/>
          <w:rtl/>
        </w:rPr>
        <w:t xml:space="preserve">); ע' (גדול) תשכ"ג/29, </w:t>
      </w:r>
      <w:proofErr w:type="spellStart"/>
      <w:r>
        <w:rPr>
          <w:rFonts w:hint="cs"/>
          <w:rtl/>
        </w:rPr>
        <w:t>פד"ר</w:t>
      </w:r>
      <w:proofErr w:type="spellEnd"/>
      <w:r>
        <w:rPr>
          <w:rFonts w:hint="cs"/>
          <w:rtl/>
        </w:rPr>
        <w:t xml:space="preserve"> ה 9, 13 (</w:t>
      </w:r>
      <w:proofErr w:type="spellStart"/>
      <w:r>
        <w:rPr>
          <w:rFonts w:hint="cs"/>
          <w:rtl/>
        </w:rPr>
        <w:t>התשכ"ג</w:t>
      </w:r>
      <w:proofErr w:type="spellEnd"/>
      <w:r>
        <w:rPr>
          <w:rFonts w:hint="cs"/>
          <w:rtl/>
        </w:rPr>
        <w:t xml:space="preserve">); </w:t>
      </w:r>
      <w:r w:rsidRPr="0083403D">
        <w:rPr>
          <w:rFonts w:ascii="Century" w:hAnsi="Century" w:cs="Miriam" w:hint="cs"/>
          <w:b/>
          <w:spacing w:val="0"/>
          <w:sz w:val="22"/>
          <w:szCs w:val="24"/>
          <w:rtl/>
        </w:rPr>
        <w:t>משפטי שאול</w:t>
      </w:r>
      <w:r>
        <w:rPr>
          <w:rFonts w:hint="cs"/>
          <w:rtl/>
        </w:rPr>
        <w:t xml:space="preserve"> סימן יח (ע' (גדול) תשל"א/192 (</w:t>
      </w:r>
      <w:proofErr w:type="spellStart"/>
      <w:r>
        <w:rPr>
          <w:rFonts w:hint="cs"/>
          <w:rtl/>
        </w:rPr>
        <w:t>התשל"ז</w:t>
      </w:r>
      <w:proofErr w:type="spellEnd"/>
      <w:r>
        <w:rPr>
          <w:rFonts w:hint="cs"/>
          <w:rtl/>
        </w:rPr>
        <w:t xml:space="preserve">)), שם הסכימו הדיינים לכך שאישה שזינתה לא הפסידה מתנותיה, אך הגבילו זאת למתנות שנועדו לשימושה הבלעדי, ועל כן פסקו שדירה שנרשמה על שמה חוזרת לבעלה). יחד עם זאת יש לציין כי יש דיינים שבאופן מפורש לא קיבלו את שיטת הלבוש והחתם סופר. לדעתם אם באישה מורדת קיימת נקודת מוצא שהיה תנאי מכללא שאישה לא תמרוד בבעלה, אזי על דרך קל וחומר שאישה שזינתה תפסיד את מתנותיה (ראו </w:t>
      </w:r>
      <w:r w:rsidRPr="003320D4">
        <w:rPr>
          <w:rFonts w:ascii="Century" w:hAnsi="Century" w:cs="Miriam" w:hint="cs"/>
          <w:b/>
          <w:spacing w:val="0"/>
          <w:sz w:val="22"/>
          <w:szCs w:val="24"/>
          <w:rtl/>
        </w:rPr>
        <w:t>שמע שלמה</w:t>
      </w:r>
      <w:r>
        <w:rPr>
          <w:rFonts w:hint="cs"/>
          <w:rtl/>
        </w:rPr>
        <w:t xml:space="preserve"> חלק ג</w:t>
      </w:r>
      <w:r>
        <w:rPr>
          <w:rFonts w:hint="cs"/>
        </w:rPr>
        <w:t xml:space="preserve"> </w:t>
      </w:r>
      <w:r>
        <w:rPr>
          <w:rFonts w:hint="cs"/>
          <w:rtl/>
        </w:rPr>
        <w:t xml:space="preserve">אבן העזר סימן </w:t>
      </w:r>
      <w:proofErr w:type="spellStart"/>
      <w:r>
        <w:rPr>
          <w:rFonts w:hint="cs"/>
          <w:rtl/>
        </w:rPr>
        <w:t>יג</w:t>
      </w:r>
      <w:proofErr w:type="spellEnd"/>
      <w:r>
        <w:rPr>
          <w:rFonts w:hint="cs"/>
          <w:rtl/>
        </w:rPr>
        <w:t xml:space="preserve"> (ז' בטבת </w:t>
      </w:r>
      <w:proofErr w:type="spellStart"/>
      <w:r>
        <w:rPr>
          <w:rFonts w:hint="cs"/>
          <w:rtl/>
        </w:rPr>
        <w:t>התשנ"ז</w:t>
      </w:r>
      <w:proofErr w:type="spellEnd"/>
      <w:r>
        <w:rPr>
          <w:rFonts w:hint="cs"/>
          <w:rtl/>
        </w:rPr>
        <w:t>) שם נחלקו הדיינים בסוגיה).</w:t>
      </w:r>
    </w:p>
    <w:p w:rsidR="00FF0D41" w:rsidRPr="00C7623B" w:rsidRDefault="00FF0D41" w:rsidP="00FF0D41">
      <w:pPr>
        <w:pStyle w:val="Ruller41"/>
      </w:pPr>
    </w:p>
    <w:p w:rsidR="00FF0D41" w:rsidRPr="00C7623B" w:rsidRDefault="00FF0D41" w:rsidP="00FF0D41">
      <w:pPr>
        <w:pStyle w:val="Ruller4"/>
      </w:pPr>
      <w:r>
        <w:rPr>
          <w:rFonts w:hint="cs"/>
          <w:rtl/>
        </w:rPr>
        <w:t xml:space="preserve">לסיכום אפוא, אין מקום לאמירה הכוללת כי לפי הדין העברי בן זוג מאבד את זכויותיו בנכסיו בשל אי נאמנותו המינית כלפי בן זוגו. למעלה מכך. גם לו דובר בנכס אשר ניתן במתנה על ידי אחד מבני הזוג לשותפו, אין מקום לטענה שהדין מורה על הענשה למפרע, ואף מצד קיומו של תנאי מכללא קיימות רגליים מוצקות לסברה כי עצם אי הנאמנות המינית של השותף לא מוביל לשלילת הזכות הממונית שנרכשה בידיו כדין עובר למעשה. לאור האמור, המסקנה שבית הדין הרבני בענייננו הלך שבי אחר תפיסתו ה"הלכתית-מוסרית" הסותרת כביכול את ההלכה הקיימת בבית משפט זה, מוקשית בעיני. </w:t>
      </w:r>
      <w:r w:rsidRPr="00C7623B">
        <w:rPr>
          <w:rFonts w:ascii="Century" w:hAnsi="Century" w:hint="cs"/>
          <w:sz w:val="22"/>
          <w:rtl/>
        </w:rPr>
        <w:t xml:space="preserve"> </w:t>
      </w:r>
    </w:p>
    <w:p w:rsidR="00FF0D41" w:rsidRDefault="00FF0D41" w:rsidP="00FF0D41">
      <w:pPr>
        <w:pStyle w:val="Ruller4"/>
        <w:numPr>
          <w:ilvl w:val="0"/>
          <w:numId w:val="0"/>
        </w:numPr>
        <w:rPr>
          <w:rFonts w:ascii="Century" w:hAnsi="Century" w:cs="Miriam"/>
          <w:b/>
          <w:spacing w:val="0"/>
          <w:szCs w:val="24"/>
          <w:rtl/>
        </w:rPr>
      </w:pPr>
    </w:p>
    <w:p w:rsidR="00FF0D41" w:rsidRPr="00F96D8E" w:rsidRDefault="00FF0D41" w:rsidP="00FF0D41">
      <w:pPr>
        <w:pStyle w:val="Ruller4"/>
        <w:numPr>
          <w:ilvl w:val="0"/>
          <w:numId w:val="0"/>
        </w:numPr>
        <w:rPr>
          <w:rFonts w:ascii="Century" w:hAnsi="Century" w:cs="Miriam"/>
          <w:b/>
          <w:spacing w:val="0"/>
          <w:szCs w:val="24"/>
          <w:rtl/>
        </w:rPr>
      </w:pPr>
      <w:r w:rsidRPr="00F96D8E">
        <w:rPr>
          <w:rFonts w:ascii="Century" w:hAnsi="Century" w:cs="Miriam" w:hint="cs"/>
          <w:b/>
          <w:spacing w:val="0"/>
          <w:szCs w:val="24"/>
          <w:rtl/>
        </w:rPr>
        <w:t>"תנאי מכללא"</w:t>
      </w:r>
    </w:p>
    <w:p w:rsidR="00FF0D41" w:rsidRDefault="00FF0D41" w:rsidP="00FF0D41">
      <w:pPr>
        <w:pStyle w:val="Ruller4"/>
        <w:rPr>
          <w:rtl/>
        </w:rPr>
      </w:pPr>
      <w:r>
        <w:rPr>
          <w:rFonts w:hint="cs"/>
          <w:rtl/>
        </w:rPr>
        <w:t xml:space="preserve">ועוד מספר מילים שהן בעיניי לא פחות חשובות מכל הנאמר לעיל. </w:t>
      </w:r>
      <w:r w:rsidRPr="00C87236">
        <w:rPr>
          <w:rFonts w:hint="cs"/>
          <w:rtl/>
        </w:rPr>
        <w:t>חברתי הנשיאה (בפסקה 54 לחוות דעתה) מציינת כי יש לצמצם את אפשרות ההכרה בתניה מכללא בין בני הזוג לפיה השיתוף הזוגי יהיה כפוף לתנאי מסוים</w:t>
      </w:r>
      <w:r>
        <w:rPr>
          <w:rFonts w:hint="cs"/>
          <w:rtl/>
        </w:rPr>
        <w:t>, כזה או אחר, וכך בלשונה:</w:t>
      </w:r>
    </w:p>
    <w:p w:rsidR="00FF0D41" w:rsidRPr="00F96D8E" w:rsidRDefault="00FF0D41" w:rsidP="00FF0D41">
      <w:pPr>
        <w:pStyle w:val="Ruller41"/>
      </w:pPr>
    </w:p>
    <w:p w:rsidR="00FF0D41" w:rsidRDefault="00FF0D41" w:rsidP="00FF0D41">
      <w:pPr>
        <w:pStyle w:val="Ruller5"/>
      </w:pPr>
      <w:r>
        <w:rPr>
          <w:rFonts w:hint="cs"/>
          <w:rtl/>
        </w:rPr>
        <w:t xml:space="preserve">"לעמדתי קיימים טעמים כבדי-משקל נגד ההכרה באפשרות קיומה של תניה מכללא כזו או אחרת בין בני זוג, אשר בהתקיימה היא שוללת את זכויותיו של כל אחד מהם ברכוש הזוגי. כידוע, דוקטרינת התניות מכללא </w:t>
      </w:r>
      <w:r>
        <w:rPr>
          <w:rFonts w:hint="cs"/>
          <w:rtl/>
        </w:rPr>
        <w:lastRenderedPageBreak/>
        <w:t xml:space="preserve">בחוזה איבדה זה מכבר אחיזה במשפטנו והוחלפה בעיקרון תום הלב המשמש כעיקרון-על החולש על מערכות יחסים חוזיות וכן, בשינויים המחויבים, על פעולות משפטיות שאינן בבחינת חוזה ועל חיובים שאינם נובעים מחוזה [...]. לעמדתי, בשים לב לתחולתו של עיקרון תום הלב ולנסיבות הייחודיות שאופפות את המערכת הזוגית, יש לצמצם ככל הניתן את יכולתו של בן זוג אחד "למשטר" את פעולותיו של משנהו ולהכתיב את התנהגותו. הכרה באפשרות קיומה של תניה מכללא בין בני הזוג שלפיה השיתוף הזוגי כפוף לתנאי כזה או אחר, חרף העובדה שאיש מבני הזוג לא ניאות במפורש לתניה שכזו, מקנה כוח עודף לאחד מבני הזוג על משנהו, אך בשל עובדת היותו בעליו של נכס שלגביו מתגבש השיתוף הזוגי. הכרה בקיומן של </w:t>
      </w:r>
      <w:proofErr w:type="spellStart"/>
      <w:r>
        <w:rPr>
          <w:rFonts w:hint="cs"/>
          <w:rtl/>
        </w:rPr>
        <w:t>תניות</w:t>
      </w:r>
      <w:proofErr w:type="spellEnd"/>
      <w:r>
        <w:rPr>
          <w:rFonts w:hint="cs"/>
          <w:rtl/>
        </w:rPr>
        <w:t xml:space="preserve"> מכללא כאלה במערכת היחסים הזוגית, עשויה אפוא להפוך לחרב המתהפכת מעל ראשיהם של בני הזוג לאורך נישואיהם [...]." </w:t>
      </w:r>
    </w:p>
    <w:p w:rsidR="00FF0D41" w:rsidRDefault="00FF0D41" w:rsidP="00FF0D41">
      <w:pPr>
        <w:pStyle w:val="Ruller4"/>
        <w:numPr>
          <w:ilvl w:val="0"/>
          <w:numId w:val="0"/>
        </w:numPr>
      </w:pPr>
    </w:p>
    <w:p w:rsidR="00FF0D41" w:rsidRDefault="00FF0D41" w:rsidP="00FF0D41">
      <w:pPr>
        <w:pStyle w:val="Ruller4"/>
      </w:pPr>
      <w:r w:rsidRPr="00C87236">
        <w:rPr>
          <w:rFonts w:hint="cs"/>
          <w:rtl/>
        </w:rPr>
        <w:t>כשלעצמי, לא סברתי כי מתעורר הצורך להכריע בסוגיה</w:t>
      </w:r>
      <w:r>
        <w:rPr>
          <w:rFonts w:hint="cs"/>
          <w:rtl/>
        </w:rPr>
        <w:t xml:space="preserve"> זו </w:t>
      </w:r>
      <w:r w:rsidRPr="00C87236">
        <w:rPr>
          <w:rtl/>
        </w:rPr>
        <w:t>–</w:t>
      </w:r>
      <w:r w:rsidRPr="00C87236">
        <w:rPr>
          <w:rFonts w:hint="cs"/>
          <w:rtl/>
        </w:rPr>
        <w:t xml:space="preserve"> אם יש מקום להכיר באפשרות קיומו של </w:t>
      </w:r>
      <w:r>
        <w:rPr>
          <w:rFonts w:hint="cs"/>
          <w:rtl/>
        </w:rPr>
        <w:t xml:space="preserve">תנאי מכללא בין בני זוג בקשר לנאמנותם זה לזו </w:t>
      </w:r>
      <w:r w:rsidRPr="00C87236">
        <w:rPr>
          <w:rtl/>
        </w:rPr>
        <w:t>–</w:t>
      </w:r>
      <w:r w:rsidRPr="00C87236">
        <w:rPr>
          <w:rFonts w:hint="cs"/>
          <w:rtl/>
        </w:rPr>
        <w:t xml:space="preserve"> משלא סברתי כי </w:t>
      </w:r>
      <w:r>
        <w:rPr>
          <w:rFonts w:hint="cs"/>
          <w:rtl/>
        </w:rPr>
        <w:t xml:space="preserve">קיימת בה מחלוקת </w:t>
      </w:r>
      <w:r w:rsidRPr="00C87236">
        <w:rPr>
          <w:rFonts w:hint="cs"/>
          <w:rtl/>
        </w:rPr>
        <w:t>ה</w:t>
      </w:r>
      <w:r>
        <w:rPr>
          <w:rFonts w:hint="cs"/>
          <w:rtl/>
        </w:rPr>
        <w:t xml:space="preserve">טעונה הכרעה. מה גם, הכרעתה של חברתי הנשיאה כפי שהצביע חברי השופט </w:t>
      </w:r>
      <w:r>
        <w:rPr>
          <w:rFonts w:ascii="Century" w:hAnsi="Century" w:cs="Miriam" w:hint="cs"/>
          <w:b/>
          <w:spacing w:val="0"/>
          <w:sz w:val="22"/>
          <w:szCs w:val="24"/>
          <w:rtl/>
        </w:rPr>
        <w:t xml:space="preserve">שטיין </w:t>
      </w:r>
      <w:r>
        <w:rPr>
          <w:rFonts w:ascii="Century" w:hAnsi="Century" w:hint="cs"/>
          <w:sz w:val="22"/>
          <w:rtl/>
        </w:rPr>
        <w:t xml:space="preserve">(פיסקה 46 לחוות דעתו) </w:t>
      </w:r>
      <w:r w:rsidRPr="009F7FAC">
        <w:rPr>
          <w:rFonts w:ascii="Century" w:hAnsi="Century" w:hint="cs"/>
          <w:sz w:val="22"/>
          <w:rtl/>
        </w:rPr>
        <w:t>מעוררת</w:t>
      </w:r>
      <w:r w:rsidRPr="00212366">
        <w:rPr>
          <w:rFonts w:hint="cs"/>
          <w:rtl/>
        </w:rPr>
        <w:t xml:space="preserve"> </w:t>
      </w:r>
      <w:r>
        <w:rPr>
          <w:rFonts w:hint="cs"/>
          <w:rtl/>
        </w:rPr>
        <w:t xml:space="preserve">היבטים מוסריים ושאלות ערכיות שאינן משפטיות-גרידא ואינן נתונות להכרעת בית המשפט. אולם, שעה שהביעה חברתי את דעתה כי אין מקום להכיר בתנאי מכללא </w:t>
      </w:r>
      <w:r w:rsidRPr="00387FA1">
        <w:rPr>
          <w:rFonts w:ascii="Century" w:hAnsi="Century" w:hint="cs"/>
          <w:sz w:val="22"/>
          <w:rtl/>
        </w:rPr>
        <w:t>כלשהו,</w:t>
      </w:r>
      <w:r>
        <w:rPr>
          <w:rFonts w:hint="cs"/>
          <w:rtl/>
        </w:rPr>
        <w:t xml:space="preserve"> ומאחר שהעמדה לפיה אין להתחשב כלל בשיקולים שעניינם חוסר נאמנות מינית לצורך הכרעות הנוגעות לרכוש המשפחתי אומצה בחוות דעתה של חברתי השופטת </w:t>
      </w:r>
      <w:r w:rsidRPr="006A6C1C">
        <w:rPr>
          <w:rFonts w:ascii="Century" w:hAnsi="Century" w:cs="Miriam" w:hint="cs"/>
          <w:b/>
          <w:spacing w:val="0"/>
          <w:sz w:val="22"/>
          <w:szCs w:val="24"/>
          <w:rtl/>
        </w:rPr>
        <w:t>ד' ברק</w:t>
      </w:r>
      <w:r>
        <w:rPr>
          <w:rFonts w:ascii="Century" w:hAnsi="Century" w:cs="Miriam" w:hint="cs"/>
          <w:b/>
          <w:spacing w:val="0"/>
          <w:sz w:val="22"/>
          <w:szCs w:val="24"/>
          <w:rtl/>
        </w:rPr>
        <w:t>-</w:t>
      </w:r>
      <w:r w:rsidRPr="006A6C1C">
        <w:rPr>
          <w:rFonts w:ascii="Century" w:hAnsi="Century" w:cs="Miriam" w:hint="cs"/>
          <w:b/>
          <w:spacing w:val="0"/>
          <w:sz w:val="22"/>
          <w:szCs w:val="24"/>
          <w:rtl/>
        </w:rPr>
        <w:t>ארז</w:t>
      </w:r>
      <w:r>
        <w:rPr>
          <w:rFonts w:hint="cs"/>
          <w:rtl/>
        </w:rPr>
        <w:t xml:space="preserve">, אין מנוס מכך שאביע את עמדתי גם בעניין זה. </w:t>
      </w:r>
    </w:p>
    <w:p w:rsidR="00FF0D41" w:rsidRDefault="00FF0D41" w:rsidP="00FF0D41">
      <w:pPr>
        <w:pStyle w:val="Ruller4"/>
        <w:numPr>
          <w:ilvl w:val="0"/>
          <w:numId w:val="0"/>
        </w:numPr>
      </w:pPr>
    </w:p>
    <w:p w:rsidR="00FF0D41" w:rsidRPr="005A1D9E" w:rsidRDefault="00FF0D41" w:rsidP="00FF0D41">
      <w:pPr>
        <w:pStyle w:val="Ruller4"/>
        <w:rPr>
          <w:rFonts w:ascii="FrankRuehl" w:hAnsi="FrankRuehl"/>
          <w:color w:val="000000"/>
          <w:sz w:val="28"/>
        </w:rPr>
      </w:pPr>
      <w:r>
        <w:rPr>
          <w:rFonts w:hint="cs"/>
          <w:rtl/>
        </w:rPr>
        <w:t xml:space="preserve">ראשית, לא ברור לי עד תום כיצד יש בטענה שעיקרון תום הלב החליף את דוקטרינת התניות מכללא בחוזה, כדי לסייע לעמדתה של חברתי. עקרון תום הלב הוא כלל משפטי פתוח רקמה, אשר בידי בית המשפט לצקת בו תוכן ומשמעות ולקבוע האם נקיטת פעולה מסוימת מהווה חריגה ממנו. מדובר בעיקרון דינמי המקבל צורה לאור הצרכים המשתנים וההקשר המשפטי הנדון (ע"א 467/04 </w:t>
      </w:r>
      <w:proofErr w:type="spellStart"/>
      <w:r w:rsidRPr="00D10357">
        <w:rPr>
          <w:rFonts w:ascii="Century" w:hAnsi="Century" w:cs="Miriam" w:hint="cs"/>
          <w:b/>
          <w:spacing w:val="0"/>
          <w:sz w:val="22"/>
          <w:szCs w:val="24"/>
          <w:rtl/>
        </w:rPr>
        <w:t>יתח</w:t>
      </w:r>
      <w:proofErr w:type="spellEnd"/>
      <w:r w:rsidRPr="00D10357">
        <w:rPr>
          <w:rFonts w:ascii="Century" w:hAnsi="Century" w:cs="Miriam" w:hint="cs"/>
          <w:b/>
          <w:spacing w:val="0"/>
          <w:sz w:val="22"/>
          <w:szCs w:val="24"/>
          <w:rtl/>
        </w:rPr>
        <w:t xml:space="preserve"> נ' מפעל הפיס</w:t>
      </w:r>
      <w:r w:rsidRPr="00D10357">
        <w:rPr>
          <w:rFonts w:hint="cs"/>
          <w:rtl/>
        </w:rPr>
        <w:t xml:space="preserve"> </w:t>
      </w:r>
      <w:r>
        <w:rPr>
          <w:rFonts w:hint="cs"/>
          <w:rtl/>
        </w:rPr>
        <w:t xml:space="preserve">(1.9.2005); רע"א 8467/06 </w:t>
      </w:r>
      <w:r w:rsidRPr="00F56FE9">
        <w:rPr>
          <w:rFonts w:ascii="Century" w:hAnsi="Century" w:cs="Miriam" w:hint="cs"/>
          <w:b/>
          <w:spacing w:val="0"/>
          <w:sz w:val="22"/>
          <w:szCs w:val="24"/>
          <w:rtl/>
        </w:rPr>
        <w:t xml:space="preserve">אבו </w:t>
      </w:r>
      <w:proofErr w:type="spellStart"/>
      <w:r w:rsidRPr="00F56FE9">
        <w:rPr>
          <w:rFonts w:ascii="Century" w:hAnsi="Century" w:cs="Miriam" w:hint="cs"/>
          <w:b/>
          <w:spacing w:val="0"/>
          <w:sz w:val="22"/>
          <w:szCs w:val="24"/>
          <w:rtl/>
        </w:rPr>
        <w:t>עוקסה</w:t>
      </w:r>
      <w:proofErr w:type="spellEnd"/>
      <w:r w:rsidRPr="00F56FE9">
        <w:rPr>
          <w:rFonts w:ascii="Century" w:hAnsi="Century" w:cs="Miriam" w:hint="cs"/>
          <w:b/>
          <w:spacing w:val="0"/>
          <w:sz w:val="22"/>
          <w:szCs w:val="24"/>
          <w:rtl/>
        </w:rPr>
        <w:t xml:space="preserve"> נ' בית הברזל </w:t>
      </w:r>
      <w:proofErr w:type="spellStart"/>
      <w:r w:rsidRPr="00F56FE9">
        <w:rPr>
          <w:rFonts w:ascii="Century" w:hAnsi="Century" w:cs="Miriam" w:hint="cs"/>
          <w:b/>
          <w:spacing w:val="0"/>
          <w:sz w:val="22"/>
          <w:szCs w:val="24"/>
          <w:rtl/>
        </w:rPr>
        <w:t>טנוס</w:t>
      </w:r>
      <w:proofErr w:type="spellEnd"/>
      <w:r w:rsidRPr="00F56FE9">
        <w:rPr>
          <w:rFonts w:ascii="Century" w:hAnsi="Century" w:cs="Miriam" w:hint="cs"/>
          <w:b/>
          <w:spacing w:val="0"/>
          <w:sz w:val="22"/>
          <w:szCs w:val="24"/>
          <w:rtl/>
        </w:rPr>
        <w:t xml:space="preserve"> בע"מ</w:t>
      </w:r>
      <w:r>
        <w:rPr>
          <w:rFonts w:hint="cs"/>
          <w:rtl/>
        </w:rPr>
        <w:t xml:space="preserve">, פסקה 20 (8.7.2010) (להלן: עניין </w:t>
      </w:r>
      <w:r w:rsidRPr="000175B7">
        <w:rPr>
          <w:rFonts w:ascii="Century" w:hAnsi="Century" w:cs="Miriam" w:hint="cs"/>
          <w:b/>
          <w:spacing w:val="0"/>
          <w:sz w:val="22"/>
          <w:szCs w:val="24"/>
          <w:rtl/>
        </w:rPr>
        <w:t xml:space="preserve">אבו </w:t>
      </w:r>
      <w:proofErr w:type="spellStart"/>
      <w:r w:rsidRPr="000175B7">
        <w:rPr>
          <w:rFonts w:ascii="Century" w:hAnsi="Century" w:cs="Miriam" w:hint="cs"/>
          <w:b/>
          <w:spacing w:val="0"/>
          <w:sz w:val="22"/>
          <w:szCs w:val="24"/>
          <w:rtl/>
        </w:rPr>
        <w:t>עוקסה</w:t>
      </w:r>
      <w:proofErr w:type="spellEnd"/>
      <w:r>
        <w:rPr>
          <w:rFonts w:hint="cs"/>
          <w:rtl/>
        </w:rPr>
        <w:t xml:space="preserve">)). בבסיסו, תום הלב מהווה ביטוי משפטי לעקרונות </w:t>
      </w:r>
      <w:r w:rsidRPr="007F48E1">
        <w:rPr>
          <w:rFonts w:hint="cs"/>
          <w:rtl/>
        </w:rPr>
        <w:t>מוסריים</w:t>
      </w:r>
      <w:r w:rsidRPr="00343BF5">
        <w:rPr>
          <w:rFonts w:hint="cs"/>
          <w:rtl/>
        </w:rPr>
        <w:t xml:space="preserve"> </w:t>
      </w:r>
      <w:r>
        <w:rPr>
          <w:rFonts w:hint="cs"/>
          <w:rtl/>
        </w:rPr>
        <w:t xml:space="preserve">שונים ותמציתו מתבטאת בדרישה לנהוג כלפי הצד האחר באנושיות, ביושר ובהגינות (ע"א 10582/02 </w:t>
      </w:r>
      <w:r w:rsidRPr="0034208E">
        <w:rPr>
          <w:rFonts w:ascii="Century" w:hAnsi="Century" w:cs="Miriam" w:hint="cs"/>
          <w:b/>
          <w:spacing w:val="0"/>
          <w:sz w:val="22"/>
          <w:szCs w:val="24"/>
          <w:rtl/>
        </w:rPr>
        <w:t xml:space="preserve">בן אבו נ' דלתות </w:t>
      </w:r>
      <w:proofErr w:type="spellStart"/>
      <w:r w:rsidRPr="0034208E">
        <w:rPr>
          <w:rFonts w:ascii="Century" w:hAnsi="Century" w:cs="Miriam" w:hint="cs"/>
          <w:b/>
          <w:spacing w:val="0"/>
          <w:sz w:val="22"/>
          <w:szCs w:val="24"/>
          <w:rtl/>
        </w:rPr>
        <w:t>חמדיה</w:t>
      </w:r>
      <w:proofErr w:type="spellEnd"/>
      <w:r w:rsidRPr="0034208E">
        <w:rPr>
          <w:rFonts w:ascii="Century" w:hAnsi="Century" w:cs="Miriam" w:hint="cs"/>
          <w:b/>
          <w:spacing w:val="0"/>
          <w:sz w:val="22"/>
          <w:szCs w:val="24"/>
          <w:rtl/>
        </w:rPr>
        <w:t xml:space="preserve"> בע"מ</w:t>
      </w:r>
      <w:r>
        <w:rPr>
          <w:rFonts w:hint="cs"/>
          <w:rtl/>
        </w:rPr>
        <w:t xml:space="preserve">, פסקה ט"ז (16.10.2005); ע"א 1966/07 </w:t>
      </w:r>
      <w:r w:rsidRPr="0034208E">
        <w:rPr>
          <w:rFonts w:ascii="Century" w:hAnsi="Century" w:cs="Miriam" w:hint="cs"/>
          <w:b/>
          <w:spacing w:val="0"/>
          <w:sz w:val="22"/>
          <w:szCs w:val="24"/>
          <w:rtl/>
        </w:rPr>
        <w:t>אריאל נ' קרן הגמלאות של חברי אגד בע"מ</w:t>
      </w:r>
      <w:r>
        <w:rPr>
          <w:rFonts w:hint="cs"/>
          <w:rtl/>
        </w:rPr>
        <w:t xml:space="preserve">, פסקה 35 (9.8.2010); </w:t>
      </w:r>
      <w:r>
        <w:rPr>
          <w:rFonts w:ascii="FrankRuehl" w:hAnsi="FrankRuehl" w:hint="cs"/>
          <w:color w:val="000000"/>
          <w:sz w:val="28"/>
          <w:rtl/>
        </w:rPr>
        <w:t xml:space="preserve">גבריאלה שלו ואפי צמח </w:t>
      </w:r>
      <w:r w:rsidRPr="003C602A">
        <w:rPr>
          <w:rFonts w:ascii="Century" w:hAnsi="Century" w:cs="Miriam" w:hint="cs"/>
          <w:b/>
          <w:spacing w:val="0"/>
          <w:sz w:val="22"/>
          <w:szCs w:val="24"/>
          <w:rtl/>
        </w:rPr>
        <w:t>דיני חוזים</w:t>
      </w:r>
      <w:r w:rsidRPr="003C602A">
        <w:rPr>
          <w:rFonts w:ascii="FrankRuehl" w:hAnsi="FrankRuehl" w:hint="cs"/>
          <w:color w:val="000000"/>
          <w:sz w:val="28"/>
          <w:rtl/>
        </w:rPr>
        <w:t xml:space="preserve"> </w:t>
      </w:r>
      <w:r>
        <w:rPr>
          <w:rFonts w:ascii="FrankRuehl" w:hAnsi="FrankRuehl" w:hint="cs"/>
          <w:color w:val="000000"/>
          <w:sz w:val="28"/>
          <w:rtl/>
        </w:rPr>
        <w:t>70 (מהדורה רביעית, 2019)</w:t>
      </w:r>
      <w:r>
        <w:rPr>
          <w:rFonts w:hint="cs"/>
          <w:rtl/>
        </w:rPr>
        <w:t xml:space="preserve">). וכדברי הנשיא </w:t>
      </w:r>
      <w:r w:rsidRPr="0034208E">
        <w:rPr>
          <w:rFonts w:ascii="Century" w:hAnsi="Century" w:cs="Miriam" w:hint="cs"/>
          <w:b/>
          <w:spacing w:val="0"/>
          <w:sz w:val="22"/>
          <w:szCs w:val="24"/>
          <w:rtl/>
        </w:rPr>
        <w:t>ברק</w:t>
      </w:r>
      <w:r w:rsidRPr="00E13472">
        <w:rPr>
          <w:rFonts w:hint="cs"/>
          <w:rtl/>
        </w:rPr>
        <w:t xml:space="preserve"> </w:t>
      </w:r>
      <w:proofErr w:type="spellStart"/>
      <w:r>
        <w:rPr>
          <w:rFonts w:hint="cs"/>
          <w:rtl/>
        </w:rPr>
        <w:t>ברע"א</w:t>
      </w:r>
      <w:proofErr w:type="spellEnd"/>
      <w:r>
        <w:rPr>
          <w:rFonts w:hint="cs"/>
          <w:rtl/>
        </w:rPr>
        <w:t xml:space="preserve"> 6339/97 </w:t>
      </w:r>
      <w:r w:rsidRPr="0034208E">
        <w:rPr>
          <w:rFonts w:ascii="Century" w:hAnsi="Century" w:cs="Miriam" w:hint="cs"/>
          <w:b/>
          <w:spacing w:val="0"/>
          <w:sz w:val="22"/>
          <w:szCs w:val="24"/>
          <w:rtl/>
        </w:rPr>
        <w:t>רוקר נ' סלומון</w:t>
      </w:r>
      <w:r>
        <w:rPr>
          <w:rFonts w:hint="cs"/>
          <w:rtl/>
        </w:rPr>
        <w:t xml:space="preserve">, פ"ד </w:t>
      </w:r>
      <w:proofErr w:type="spellStart"/>
      <w:r>
        <w:rPr>
          <w:rFonts w:hint="cs"/>
          <w:rtl/>
        </w:rPr>
        <w:t>נה</w:t>
      </w:r>
      <w:proofErr w:type="spellEnd"/>
      <w:r>
        <w:rPr>
          <w:rFonts w:hint="cs"/>
          <w:rtl/>
        </w:rPr>
        <w:t xml:space="preserve">(1) 199 (1999): </w:t>
      </w:r>
    </w:p>
    <w:p w:rsidR="00FF0D41" w:rsidRDefault="00FF0D41" w:rsidP="00FF0D41">
      <w:pPr>
        <w:pStyle w:val="Ruller4"/>
        <w:numPr>
          <w:ilvl w:val="0"/>
          <w:numId w:val="0"/>
        </w:numPr>
        <w:rPr>
          <w:rtl/>
        </w:rPr>
      </w:pPr>
    </w:p>
    <w:p w:rsidR="00FF0D41" w:rsidRDefault="00FF0D41" w:rsidP="00FF0D41">
      <w:pPr>
        <w:pStyle w:val="Ruller5"/>
        <w:rPr>
          <w:rtl/>
        </w:rPr>
      </w:pPr>
      <w:r>
        <w:rPr>
          <w:rFonts w:hint="cs"/>
          <w:rtl/>
        </w:rPr>
        <w:t xml:space="preserve">"...עקרון תום-הלב קובע כי השמירה על האינטרס העצמי צריכה להיות הוגנת ותוך התחשבות בציפיות מוצדקות ובהסתמכות ראויה של הצד האחר. אדם לאדם </w:t>
      </w:r>
      <w:r>
        <w:rPr>
          <w:rtl/>
        </w:rPr>
        <w:t>–</w:t>
      </w:r>
      <w:r>
        <w:rPr>
          <w:rFonts w:hint="cs"/>
          <w:rtl/>
        </w:rPr>
        <w:t xml:space="preserve"> לא זאב ולא מלאך; אדם לאדם </w:t>
      </w:r>
      <w:r>
        <w:rPr>
          <w:rtl/>
        </w:rPr>
        <w:t>–</w:t>
      </w:r>
      <w:r>
        <w:rPr>
          <w:rFonts w:hint="cs"/>
          <w:rtl/>
        </w:rPr>
        <w:t xml:space="preserve"> אדם..." (שם, עמ' 279).</w:t>
      </w:r>
    </w:p>
    <w:p w:rsidR="00FF0D41" w:rsidRDefault="00FF0D41" w:rsidP="00FF0D41">
      <w:pPr>
        <w:pStyle w:val="Ruller41"/>
        <w:rPr>
          <w:rFonts w:ascii="FrankRuehl" w:hAnsi="FrankRuehl"/>
          <w:color w:val="000000"/>
          <w:sz w:val="28"/>
          <w:rtl/>
        </w:rPr>
      </w:pPr>
    </w:p>
    <w:p w:rsidR="00FF0D41" w:rsidRDefault="00FF0D41" w:rsidP="00FF0D41">
      <w:pPr>
        <w:pStyle w:val="Ruller4"/>
      </w:pPr>
      <w:r>
        <w:rPr>
          <w:rFonts w:hint="cs"/>
          <w:rtl/>
        </w:rPr>
        <w:t xml:space="preserve">בקשר לדיני המשפחה, בעבר הוכרה באופן מפורש חובתו של בעל דין לנהוג </w:t>
      </w:r>
      <w:r w:rsidRPr="00476C55">
        <w:rPr>
          <w:rFonts w:hint="cs"/>
          <w:rtl/>
        </w:rPr>
        <w:t xml:space="preserve">בהליכים </w:t>
      </w:r>
      <w:r>
        <w:rPr>
          <w:rFonts w:hint="cs"/>
          <w:rtl/>
        </w:rPr>
        <w:t xml:space="preserve">שבינו לבין בן זוגו בדרך מקובלת ובתום לב (בג"ץ 772/00 </w:t>
      </w:r>
      <w:r w:rsidRPr="00476C55">
        <w:rPr>
          <w:rFonts w:ascii="Century" w:hAnsi="Century" w:cs="Miriam" w:hint="cs"/>
          <w:b/>
          <w:spacing w:val="0"/>
          <w:szCs w:val="24"/>
          <w:rtl/>
        </w:rPr>
        <w:t>זקס נ' בית הדין הרבני האזורי בפתח-תקווה</w:t>
      </w:r>
      <w:r>
        <w:rPr>
          <w:rFonts w:hint="cs"/>
          <w:rtl/>
        </w:rPr>
        <w:t xml:space="preserve">, פ"ד </w:t>
      </w:r>
      <w:proofErr w:type="spellStart"/>
      <w:r>
        <w:rPr>
          <w:rFonts w:hint="cs"/>
          <w:rtl/>
        </w:rPr>
        <w:t>נה</w:t>
      </w:r>
      <w:proofErr w:type="spellEnd"/>
      <w:r>
        <w:rPr>
          <w:rFonts w:hint="cs"/>
          <w:rtl/>
        </w:rPr>
        <w:t xml:space="preserve">(2) 49, 54 (2000). כך למשל עקרון תום הלב הונח בבסיס הדרישה לכנות תביעת הגירושין וכנות הכריכה בה. כלשונו של השופט </w:t>
      </w:r>
      <w:proofErr w:type="spellStart"/>
      <w:r w:rsidRPr="00476C55">
        <w:rPr>
          <w:rFonts w:ascii="Century" w:hAnsi="Century" w:cs="Miriam" w:hint="cs"/>
          <w:b/>
          <w:spacing w:val="0"/>
          <w:szCs w:val="24"/>
          <w:rtl/>
        </w:rPr>
        <w:t>אנגלרד</w:t>
      </w:r>
      <w:proofErr w:type="spellEnd"/>
      <w:r>
        <w:rPr>
          <w:rFonts w:hint="cs"/>
          <w:rtl/>
        </w:rPr>
        <w:t xml:space="preserve">: "...בעיניי מבחן ה'כנות' אינו אלא החלת העיקרון הרחב והמקיף של תום-לב" (בג"ץ 8754/00 </w:t>
      </w:r>
      <w:r w:rsidRPr="00476C55">
        <w:rPr>
          <w:rFonts w:ascii="Century" w:hAnsi="Century" w:cs="Miriam" w:hint="cs"/>
          <w:b/>
          <w:spacing w:val="0"/>
          <w:szCs w:val="24"/>
          <w:rtl/>
        </w:rPr>
        <w:t>רון נ' בית</w:t>
      </w:r>
      <w:r>
        <w:rPr>
          <w:rFonts w:ascii="Century" w:hAnsi="Century" w:cs="Miriam" w:hint="cs"/>
          <w:b/>
          <w:spacing w:val="0"/>
          <w:szCs w:val="24"/>
          <w:rtl/>
        </w:rPr>
        <w:t>-</w:t>
      </w:r>
      <w:r w:rsidRPr="00476C55">
        <w:rPr>
          <w:rFonts w:ascii="Century" w:hAnsi="Century" w:cs="Miriam" w:hint="cs"/>
          <w:b/>
          <w:spacing w:val="0"/>
          <w:szCs w:val="24"/>
          <w:rtl/>
        </w:rPr>
        <w:t>הדין הרבני הגדול</w:t>
      </w:r>
      <w:r>
        <w:rPr>
          <w:rFonts w:hint="cs"/>
          <w:rtl/>
        </w:rPr>
        <w:t xml:space="preserve">, פ"ד נו(2) 625, 670 (2002)). סטנדרט ההתנהגות שהוחל, לגבי עיקרון תום הלב, בקשר לשאלת הכריכה, הוא סטנדרט התנהגות מחמיר למדיי </w:t>
      </w:r>
      <w:r>
        <w:rPr>
          <w:rtl/>
        </w:rPr>
        <w:t>–</w:t>
      </w:r>
      <w:r>
        <w:rPr>
          <w:rFonts w:hint="cs"/>
          <w:rtl/>
        </w:rPr>
        <w:t xml:space="preserve"> למשל, בדמות הדרישה מבעל דין לציין בכתבי טענותיו את האינטרסים של הצד שכנגד (בג"ץ 5747/03 </w:t>
      </w:r>
      <w:r w:rsidRPr="00476C55">
        <w:rPr>
          <w:rFonts w:ascii="Century" w:hAnsi="Century" w:cs="Miriam" w:hint="cs"/>
          <w:b/>
          <w:spacing w:val="0"/>
          <w:szCs w:val="24"/>
          <w:rtl/>
        </w:rPr>
        <w:t>פלוני נ' פלונית</w:t>
      </w:r>
      <w:r>
        <w:rPr>
          <w:rFonts w:hint="cs"/>
          <w:rtl/>
        </w:rPr>
        <w:t xml:space="preserve">, פ"ד נח(5) 776, 789-788 (2004); וראו גם: יצחק </w:t>
      </w:r>
      <w:r w:rsidRPr="001A3898">
        <w:rPr>
          <w:rFonts w:hint="cs"/>
          <w:rtl/>
        </w:rPr>
        <w:t xml:space="preserve">כהן </w:t>
      </w:r>
      <w:r>
        <w:rPr>
          <w:rFonts w:hint="cs"/>
          <w:rtl/>
        </w:rPr>
        <w:t>"</w:t>
      </w:r>
      <w:r w:rsidRPr="001A3898">
        <w:rPr>
          <w:rFonts w:hint="cs"/>
          <w:rtl/>
        </w:rPr>
        <w:t>עקרון תום הלב בסדרי הדין בדיני משפחה</w:t>
      </w:r>
      <w:r>
        <w:rPr>
          <w:rFonts w:hint="cs"/>
          <w:rtl/>
        </w:rPr>
        <w:t>"</w:t>
      </w:r>
      <w:r w:rsidRPr="001A3898">
        <w:rPr>
          <w:rFonts w:hint="cs"/>
          <w:rtl/>
        </w:rPr>
        <w:t xml:space="preserve"> </w:t>
      </w:r>
      <w:r w:rsidRPr="001A3898">
        <w:rPr>
          <w:rFonts w:ascii="Century" w:hAnsi="Century" w:cs="Miriam" w:hint="cs"/>
          <w:b/>
          <w:spacing w:val="0"/>
          <w:szCs w:val="24"/>
          <w:rtl/>
        </w:rPr>
        <w:t xml:space="preserve">משפטים </w:t>
      </w:r>
      <w:r>
        <w:rPr>
          <w:rFonts w:hint="cs"/>
          <w:rtl/>
        </w:rPr>
        <w:t>מג</w:t>
      </w:r>
      <w:r w:rsidRPr="001A3898">
        <w:rPr>
          <w:rFonts w:hint="cs"/>
          <w:rtl/>
        </w:rPr>
        <w:t xml:space="preserve"> 293, 310-309 (</w:t>
      </w:r>
      <w:proofErr w:type="spellStart"/>
      <w:r w:rsidRPr="001A3898">
        <w:rPr>
          <w:rFonts w:hint="cs"/>
          <w:rtl/>
        </w:rPr>
        <w:t>התשע"ג</w:t>
      </w:r>
      <w:proofErr w:type="spellEnd"/>
      <w:r w:rsidRPr="001A3898">
        <w:rPr>
          <w:rFonts w:hint="cs"/>
          <w:rtl/>
        </w:rPr>
        <w:t xml:space="preserve">)). עיקרון תום הלב הוחל גם בקשר להליך של אישור הסכם ממון בין בני זוג. כך למשל נקבע מכוח עיקרון תום הלב, </w:t>
      </w:r>
      <w:r>
        <w:rPr>
          <w:rFonts w:hint="cs"/>
          <w:rtl/>
        </w:rPr>
        <w:t xml:space="preserve">כי </w:t>
      </w:r>
      <w:r w:rsidRPr="001A3898">
        <w:rPr>
          <w:rFonts w:hint="cs"/>
          <w:rtl/>
        </w:rPr>
        <w:t xml:space="preserve">בן זוג אשר פעל בהתאם להסכם ממון שנחתם אך לא הוגש לאישור בית משפט כנדרש בחוק, יהיה מנוע מלהעלות טענות בדיעבד שההסכם חסר תוקף (ע"א 151/85 </w:t>
      </w:r>
      <w:r w:rsidRPr="001A3898">
        <w:rPr>
          <w:rFonts w:ascii="Century" w:hAnsi="Century" w:cs="Miriam" w:hint="cs"/>
          <w:spacing w:val="0"/>
          <w:szCs w:val="24"/>
          <w:rtl/>
        </w:rPr>
        <w:t>רודן נ' רודן</w:t>
      </w:r>
      <w:r w:rsidRPr="001A3898">
        <w:rPr>
          <w:rFonts w:hint="cs"/>
          <w:rtl/>
        </w:rPr>
        <w:t xml:space="preserve">, פ"ד לט(3) 186, 193 (1985); בע"מ 9126/05 </w:t>
      </w:r>
      <w:r w:rsidRPr="001A3898">
        <w:rPr>
          <w:rFonts w:ascii="Century" w:hAnsi="Century" w:cs="Miriam" w:hint="cs"/>
          <w:spacing w:val="0"/>
          <w:szCs w:val="24"/>
          <w:rtl/>
        </w:rPr>
        <w:t>פלונית נ' פלוני</w:t>
      </w:r>
      <w:r w:rsidRPr="001A3898">
        <w:rPr>
          <w:rFonts w:hint="cs"/>
          <w:rtl/>
        </w:rPr>
        <w:t xml:space="preserve">, פסקה ו (26.1.2006); בע"מ 7734/08 </w:t>
      </w:r>
      <w:r w:rsidRPr="001A3898">
        <w:rPr>
          <w:rFonts w:ascii="Century" w:hAnsi="Century" w:cs="Miriam" w:hint="cs"/>
          <w:spacing w:val="0"/>
          <w:szCs w:val="24"/>
          <w:rtl/>
        </w:rPr>
        <w:t>פלוני נ' פלונית</w:t>
      </w:r>
      <w:r w:rsidRPr="001A3898">
        <w:rPr>
          <w:rFonts w:hint="cs"/>
          <w:rtl/>
        </w:rPr>
        <w:t xml:space="preserve">, פסקה י"ז (27.4.2010); בע"מ 8063/14 </w:t>
      </w:r>
      <w:r w:rsidRPr="001A3898">
        <w:rPr>
          <w:rFonts w:ascii="Century" w:hAnsi="Century" w:cs="Miriam" w:hint="cs"/>
          <w:spacing w:val="0"/>
          <w:szCs w:val="24"/>
          <w:rtl/>
        </w:rPr>
        <w:t>פלמונית נ' פלמוני</w:t>
      </w:r>
      <w:r w:rsidRPr="001A3898">
        <w:rPr>
          <w:rFonts w:hint="cs"/>
          <w:rtl/>
        </w:rPr>
        <w:t xml:space="preserve">, פסקה 18 (13.7.2015)). </w:t>
      </w:r>
      <w:r>
        <w:rPr>
          <w:rFonts w:hint="cs"/>
          <w:rtl/>
        </w:rPr>
        <w:t xml:space="preserve">עיקרון תום הלב בא לידי ביטוי גם בסוגיות של סמכות ועל בסיסו הכיר בית המשפט בעבר בסמכותו העניינית של בית משפט השלום לדון בתביעה אזרחית שעל פי הדין הסמכות העניינית לדון בה נתונה הייתה לבית משפט לענייני משפחה (רע"א 9343/08 </w:t>
      </w:r>
      <w:r w:rsidRPr="001A3898">
        <w:rPr>
          <w:rFonts w:ascii="Century" w:hAnsi="Century" w:cs="Miriam" w:hint="cs"/>
          <w:b/>
          <w:spacing w:val="0"/>
          <w:szCs w:val="24"/>
          <w:rtl/>
        </w:rPr>
        <w:t xml:space="preserve">פלוני נ' פלונית </w:t>
      </w:r>
      <w:r>
        <w:rPr>
          <w:rFonts w:hint="cs"/>
          <w:rtl/>
        </w:rPr>
        <w:t xml:space="preserve">(24.3.2009)). </w:t>
      </w:r>
    </w:p>
    <w:p w:rsidR="00FF0D41" w:rsidRPr="00920BDA" w:rsidRDefault="00FF0D41" w:rsidP="00FF0D41">
      <w:pPr>
        <w:pStyle w:val="Ruller41"/>
        <w:rPr>
          <w:rtl/>
        </w:rPr>
      </w:pPr>
    </w:p>
    <w:p w:rsidR="00FF0D41" w:rsidRDefault="00FF0D41" w:rsidP="00FF0D41">
      <w:pPr>
        <w:pStyle w:val="Ruller4"/>
        <w:rPr>
          <w:rtl/>
        </w:rPr>
      </w:pPr>
      <w:r>
        <w:rPr>
          <w:rFonts w:hint="cs"/>
          <w:rtl/>
        </w:rPr>
        <w:t xml:space="preserve">יישומו של עיקרון תום הלב על ענפי המשפט השונים אינו אחיד. כך גם נפסק בעבר, למשל, כי האופן שבו יחול העיקרון במסגרת דיני החוזים אינו זהה לאופן תחולתו על סדרי הדין האזרחיים. הבחנה זו נעוצה בכך שיחסים חוזיים הם פרי מפגש רצונותיהם של צדדים לחוזה, בעוד שהליך משפטי מטבעו אינו תוצר של שיתוף פעולה או מפגש רצונות. מכאן גם נקבע כי קיים ספק אם ניתן לדרוש שיתוף פעולה בין בעלי דין מכוח חובת תום הלב על פי אמת המידה המוחלת על צדדים לחוזה (עניין </w:t>
      </w:r>
      <w:r w:rsidRPr="00195DC9">
        <w:rPr>
          <w:rFonts w:ascii="Century" w:hAnsi="Century" w:cs="Miriam" w:hint="cs"/>
          <w:b/>
          <w:spacing w:val="0"/>
          <w:sz w:val="22"/>
          <w:szCs w:val="24"/>
          <w:rtl/>
        </w:rPr>
        <w:t xml:space="preserve">אבו </w:t>
      </w:r>
      <w:proofErr w:type="spellStart"/>
      <w:r w:rsidRPr="00195DC9">
        <w:rPr>
          <w:rFonts w:ascii="Century" w:hAnsi="Century" w:cs="Miriam" w:hint="cs"/>
          <w:b/>
          <w:spacing w:val="0"/>
          <w:szCs w:val="24"/>
          <w:rtl/>
        </w:rPr>
        <w:t>עוקסה</w:t>
      </w:r>
      <w:proofErr w:type="spellEnd"/>
      <w:r>
        <w:rPr>
          <w:rFonts w:hint="cs"/>
          <w:rtl/>
        </w:rPr>
        <w:t xml:space="preserve">, פסקה 21). במילים אחרות, קיים מתאם מסוים בין אופי ההתקשרות שבין הצדדים ומהות היחסים ביניהם </w:t>
      </w:r>
      <w:r>
        <w:rPr>
          <w:rtl/>
        </w:rPr>
        <w:t>–</w:t>
      </w:r>
      <w:r>
        <w:rPr>
          <w:rFonts w:hint="cs"/>
          <w:rtl/>
        </w:rPr>
        <w:t xml:space="preserve"> אם נקלעו לזירה על כורחם או שנוצרה ביניהם מערכת יחסים מתוך </w:t>
      </w:r>
      <w:r>
        <w:rPr>
          <w:rFonts w:hint="cs"/>
          <w:rtl/>
        </w:rPr>
        <w:lastRenderedPageBreak/>
        <w:t xml:space="preserve">רצון משותף ובחירה </w:t>
      </w:r>
      <w:r>
        <w:rPr>
          <w:rtl/>
        </w:rPr>
        <w:t>–</w:t>
      </w:r>
      <w:r>
        <w:rPr>
          <w:rFonts w:hint="cs"/>
          <w:rtl/>
        </w:rPr>
        <w:t xml:space="preserve"> לבין סטנדרט ההתנהגות המצופה מהצדדים במסגרת עיקרון תום הלב. היינו, ככל שמדובר במערכת יחסים שהיא בבסיסה תוצר של שיתוף פעולה, בחירה הדדית ומפגש רצונות, כך ניתן לצפות כי כל אחד מהצדדים יפנים יותר את האינטרסים של הצד השני והציפייה ממנו תהא לסטנדרט התנהגות מחמיר יותר של תום לב. </w:t>
      </w:r>
    </w:p>
    <w:p w:rsidR="00FF0D41" w:rsidRDefault="00FF0D41" w:rsidP="00FF0D41">
      <w:pPr>
        <w:pStyle w:val="Ruller4"/>
        <w:numPr>
          <w:ilvl w:val="0"/>
          <w:numId w:val="0"/>
        </w:numPr>
      </w:pPr>
    </w:p>
    <w:p w:rsidR="00FF0D41" w:rsidRDefault="00FF0D41" w:rsidP="00FF0D41">
      <w:pPr>
        <w:pStyle w:val="Ruller4"/>
      </w:pPr>
      <w:r>
        <w:rPr>
          <w:rFonts w:hint="cs"/>
          <w:rtl/>
        </w:rPr>
        <w:t>אם ניישם אפוא את עיקרון תום הלב על מה שכינתה הנשיאה הנסיבות הייחודיות שאופפות את המערכת הזוגית, לי נראה כי נאמץ סטנדרט התנהגות די גבוה. סטנדרט שהשלכותיו עולות בהרבה על ההשלכות הנובעות מהחלת דוקטרינת התניות מכללא במערכת ההסכמית בין בני זוג. במובן זה, אלו התומכים בהחלת דוקטרינת תום הלב חלף התניות מכללא, באו לברך ונמצאו מקללים. זאת, שכן מבלי לקבוע מסמרות, לא מן הנמנע כי התנהלות החורגת במידה רבה מטווח הציפיות המקובל בין בני זוג, ובכלל זה, אף חוסר נאמנות מינית, תעלה לכדי הפרת תום הלב שתהיינה לה השלכות לא פשוטות. מכל מקום, וודאי שאין בהחלת עיקרון תום הלב משום תמיכה בעמדה בה מצדדת חברתי הנשיאה.</w:t>
      </w:r>
    </w:p>
    <w:p w:rsidR="00FF0D41" w:rsidRDefault="00FF0D41" w:rsidP="00FF0D41">
      <w:pPr>
        <w:pStyle w:val="Ruller4"/>
        <w:numPr>
          <w:ilvl w:val="0"/>
          <w:numId w:val="0"/>
        </w:numPr>
      </w:pPr>
    </w:p>
    <w:p w:rsidR="00FF0D41" w:rsidRDefault="00FF0D41" w:rsidP="00FF0D41">
      <w:pPr>
        <w:pStyle w:val="Ruller4"/>
      </w:pPr>
      <w:r>
        <w:rPr>
          <w:rFonts w:hint="cs"/>
          <w:rtl/>
        </w:rPr>
        <w:t xml:space="preserve">כמו כן, אינני סבור כי הכרה בקיומן של </w:t>
      </w:r>
      <w:proofErr w:type="spellStart"/>
      <w:r>
        <w:rPr>
          <w:rFonts w:hint="cs"/>
          <w:rtl/>
        </w:rPr>
        <w:t>תניות</w:t>
      </w:r>
      <w:proofErr w:type="spellEnd"/>
      <w:r>
        <w:rPr>
          <w:rFonts w:hint="cs"/>
          <w:rtl/>
        </w:rPr>
        <w:t xml:space="preserve"> מכללא במערכת היחסים הזוגית מהווה חידוש דרמטי. יש לחדד כי בענייננו מדובר בנכס מלפני </w:t>
      </w:r>
      <w:r w:rsidRPr="00090893">
        <w:rPr>
          <w:rFonts w:ascii="Century" w:hAnsi="Century" w:hint="cs"/>
          <w:sz w:val="22"/>
          <w:rtl/>
        </w:rPr>
        <w:t>הנישואין, שאינו בר-איזון על פי ההסדר הקבוע בחוק יחסי ממון. כפי שגם ציין ח</w:t>
      </w:r>
      <w:r>
        <w:rPr>
          <w:rFonts w:hint="cs"/>
          <w:rtl/>
        </w:rPr>
        <w:t xml:space="preserve">ברי השופט </w:t>
      </w:r>
      <w:r w:rsidRPr="009723BC">
        <w:rPr>
          <w:rFonts w:ascii="Century" w:hAnsi="Century" w:cs="Miriam" w:hint="cs"/>
          <w:b/>
          <w:spacing w:val="0"/>
          <w:sz w:val="22"/>
          <w:szCs w:val="24"/>
          <w:rtl/>
        </w:rPr>
        <w:t xml:space="preserve">עמית </w:t>
      </w:r>
      <w:r>
        <w:rPr>
          <w:rFonts w:hint="cs"/>
          <w:rtl/>
        </w:rPr>
        <w:t xml:space="preserve">בפסק הדין הראשון, קיים מגוון רחב של דעות וגישות בסוגיה של שיתוף ספציפי בנכס שאינו בר איזון, שהוא דירת מגורים. יש הסבורים כי היה ראוי שהמחוקק היה קובע כי על נכסים משפחתיים מובהקים, כדוגמת דירת המגורים, יחול שיתוף </w:t>
      </w:r>
      <w:proofErr w:type="spellStart"/>
      <w:r>
        <w:rPr>
          <w:rFonts w:hint="cs"/>
          <w:rtl/>
        </w:rPr>
        <w:t>מיידי</w:t>
      </w:r>
      <w:proofErr w:type="spellEnd"/>
      <w:r>
        <w:rPr>
          <w:rFonts w:hint="cs"/>
          <w:rtl/>
        </w:rPr>
        <w:t xml:space="preserve"> וזאת כבר במהלך חיי הנישואין (ראו למשל: שחר ליפשיץ </w:t>
      </w:r>
      <w:r w:rsidRPr="009723BC">
        <w:rPr>
          <w:rFonts w:ascii="Century" w:hAnsi="Century" w:cs="Miriam" w:hint="cs"/>
          <w:b/>
          <w:spacing w:val="0"/>
          <w:szCs w:val="24"/>
          <w:rtl/>
        </w:rPr>
        <w:t xml:space="preserve">השיתוף הזוגי </w:t>
      </w:r>
      <w:r>
        <w:rPr>
          <w:rFonts w:hint="cs"/>
          <w:rtl/>
        </w:rPr>
        <w:t xml:space="preserve">217 (2016)). ויש הטוענים כי ראוי היה לקבוע כי הלכת השיתוף הספציפי "מהווה כלל רכישה של דיני קניין" שאינו נדרש כלל לכוונת הצדדים (ראו: חנוך דגן ודפנה הקר "הלכת השיתוף הספציפי </w:t>
      </w:r>
      <w:r>
        <w:rPr>
          <w:rtl/>
        </w:rPr>
        <w:t>–</w:t>
      </w:r>
      <w:r>
        <w:rPr>
          <w:rFonts w:hint="cs"/>
          <w:rtl/>
        </w:rPr>
        <w:t xml:space="preserve"> לקראת המערכה הרביעית בבג"ץ 4602/13" </w:t>
      </w:r>
      <w:r w:rsidRPr="009723BC">
        <w:rPr>
          <w:rFonts w:ascii="Century" w:hAnsi="Century" w:cs="Miriam" w:hint="cs"/>
          <w:b/>
          <w:spacing w:val="0"/>
          <w:sz w:val="22"/>
          <w:szCs w:val="24"/>
          <w:rtl/>
        </w:rPr>
        <w:t xml:space="preserve">מחקרי משפט </w:t>
      </w:r>
      <w:r>
        <w:rPr>
          <w:rFonts w:hint="cs"/>
          <w:rtl/>
        </w:rPr>
        <w:t xml:space="preserve">לב 542 (2019)). אך אלו אינן העמדות שנפסקה להלכה. בחינת האפשרות להחיל שיתוף ספציפי על נכסים כגון אלו צריכה להיעשות תוך בחינה זהירה ודקדקנית של </w:t>
      </w:r>
      <w:r w:rsidRPr="00BC3EB0">
        <w:rPr>
          <w:rFonts w:ascii="Century" w:hAnsi="Century" w:cs="Miriam" w:hint="cs"/>
          <w:b/>
          <w:spacing w:val="0"/>
          <w:sz w:val="22"/>
          <w:szCs w:val="24"/>
          <w:rtl/>
        </w:rPr>
        <w:t>כוונת הצדדים</w:t>
      </w:r>
      <w:r>
        <w:rPr>
          <w:rFonts w:hint="cs"/>
          <w:rtl/>
        </w:rPr>
        <w:t xml:space="preserve"> (וראו: שחר ליפשיץ "שיפוט מוסרי של התנהגות מינית בנישואים: אוטונומיה ו'משילות' בעקבות בג"ץ 4602/13" </w:t>
      </w:r>
      <w:r w:rsidRPr="00BC3EB0">
        <w:rPr>
          <w:rFonts w:ascii="Century" w:hAnsi="Century" w:cs="Miriam" w:hint="cs"/>
          <w:b/>
          <w:spacing w:val="0"/>
          <w:sz w:val="22"/>
          <w:szCs w:val="24"/>
          <w:rtl/>
        </w:rPr>
        <w:t>עיוני משפט</w:t>
      </w:r>
      <w:r w:rsidRPr="005366E7">
        <w:rPr>
          <w:rFonts w:hint="cs"/>
          <w:rtl/>
        </w:rPr>
        <w:t xml:space="preserve"> </w:t>
      </w:r>
      <w:r>
        <w:rPr>
          <w:rFonts w:hint="cs"/>
          <w:rtl/>
        </w:rPr>
        <w:t xml:space="preserve">מג 5, 15 (2020)); ובכלל זה </w:t>
      </w:r>
      <w:r w:rsidRPr="00BC3EB0">
        <w:rPr>
          <w:rFonts w:ascii="Century" w:hAnsi="Century" w:cs="Miriam" w:hint="cs"/>
          <w:b/>
          <w:spacing w:val="0"/>
          <w:sz w:val="22"/>
          <w:szCs w:val="24"/>
          <w:rtl/>
        </w:rPr>
        <w:t>התנאים המוסכמים מכללא</w:t>
      </w:r>
      <w:r w:rsidRPr="00805986">
        <w:rPr>
          <w:rFonts w:hint="cs"/>
          <w:rtl/>
        </w:rPr>
        <w:t xml:space="preserve"> </w:t>
      </w:r>
      <w:r>
        <w:rPr>
          <w:rFonts w:hint="cs"/>
          <w:rtl/>
        </w:rPr>
        <w:t xml:space="preserve">בתוך מערכת היחסים הספציפית שבין בני הזוג. </w:t>
      </w:r>
    </w:p>
    <w:p w:rsidR="00FF0D41" w:rsidRDefault="00FF0D41" w:rsidP="00FF0D41">
      <w:pPr>
        <w:pStyle w:val="Ruller4"/>
        <w:numPr>
          <w:ilvl w:val="0"/>
          <w:numId w:val="0"/>
        </w:numPr>
      </w:pPr>
    </w:p>
    <w:p w:rsidR="00FF0D41" w:rsidRDefault="00FF0D41" w:rsidP="00FF0D41">
      <w:pPr>
        <w:pStyle w:val="Ruller4"/>
        <w:rPr>
          <w:rtl/>
        </w:rPr>
      </w:pPr>
      <w:r>
        <w:rPr>
          <w:rFonts w:hint="cs"/>
          <w:rtl/>
        </w:rPr>
        <w:t xml:space="preserve">על כן פשיטא בעיניי, כי בהתאם למצב החוקי הקיים, יש לקחת בחשבון את אומד דעת הצדדים, אשר יכול לכלול </w:t>
      </w:r>
      <w:proofErr w:type="spellStart"/>
      <w:r>
        <w:rPr>
          <w:rFonts w:hint="cs"/>
          <w:rtl/>
        </w:rPr>
        <w:t>תניות</w:t>
      </w:r>
      <w:proofErr w:type="spellEnd"/>
      <w:r>
        <w:rPr>
          <w:rFonts w:hint="cs"/>
          <w:rtl/>
        </w:rPr>
        <w:t xml:space="preserve"> מסוגים שונים שייקבעו בין בני הזוג, בהתאם </w:t>
      </w:r>
      <w:r>
        <w:rPr>
          <w:rFonts w:hint="cs"/>
          <w:rtl/>
        </w:rPr>
        <w:lastRenderedPageBreak/>
        <w:t xml:space="preserve">למערכת ערכים התואמת את השקפת עולמם, את ציפיותיהם הספציפיות מחיי הנישואין ומחלוקת הרכוש ביניהם ואת שאיפותיהם הכלכליות והזוגיות. ברי כי אם צד יוכיח כי במערכת היחסים המסוימת והספציפית </w:t>
      </w:r>
      <w:r w:rsidRPr="00BC3EB0">
        <w:rPr>
          <w:rFonts w:ascii="Century" w:hAnsi="Century" w:cs="Miriam" w:hint="cs"/>
          <w:b/>
          <w:spacing w:val="0"/>
          <w:sz w:val="22"/>
          <w:szCs w:val="24"/>
          <w:rtl/>
        </w:rPr>
        <w:t>שלו</w:t>
      </w:r>
      <w:r w:rsidRPr="004B212C">
        <w:rPr>
          <w:rFonts w:hint="cs"/>
          <w:rtl/>
        </w:rPr>
        <w:t xml:space="preserve"> </w:t>
      </w:r>
      <w:r>
        <w:rPr>
          <w:rFonts w:hint="cs"/>
          <w:rtl/>
        </w:rPr>
        <w:t>קיימים תנאים מסוימים שיש בהם כדי להשפיע על המערך הקנייני של הרכוש המשותף, יש ליתן משקל לתנאים אלה. איני סבור כי במסגרת זו קיימת מגבלה להכיר, בין היתר, בתנאים הנוגעים לנאמנותם המינית של בני הזוג. אדרבה, על אף קיומם של מודלים שונים של חיי נישואין, רכיב של נאמנות מינית בין בני זוג מהווה מאפיין אוניברסלי מרכזי בחיי נישואין (וראו למשל נדרי הנישואין הנהוגים במהלך טקס חתונה נוצרי:</w:t>
      </w:r>
    </w:p>
    <w:p w:rsidR="00FF0D41" w:rsidRPr="00387FA1" w:rsidRDefault="00FF0D41" w:rsidP="00FF0D41">
      <w:pPr>
        <w:pStyle w:val="Ruller41"/>
      </w:pPr>
    </w:p>
    <w:p w:rsidR="00FF0D41" w:rsidRPr="00387FA1" w:rsidRDefault="00FF0D41" w:rsidP="00FF0D41">
      <w:pPr>
        <w:pStyle w:val="Ruller5"/>
        <w:bidi w:val="0"/>
        <w:rPr>
          <w:rFonts w:ascii="Garamond" w:hAnsi="Garamond"/>
          <w:sz w:val="24"/>
          <w:szCs w:val="24"/>
        </w:rPr>
      </w:pPr>
      <w:r w:rsidRPr="00387FA1">
        <w:rPr>
          <w:rFonts w:ascii="Garamond" w:hAnsi="Garamond"/>
          <w:sz w:val="24"/>
          <w:szCs w:val="24"/>
        </w:rPr>
        <w:t>"I take you to be my wedded husband/wife, to have and to hold from this day forward, for better, for worse, for richer, for poor, in sickness and in health, to love and to cherish, till death do us part."</w:t>
      </w:r>
    </w:p>
    <w:p w:rsidR="00FF0D41" w:rsidRDefault="00FF0D41" w:rsidP="00FF0D41">
      <w:pPr>
        <w:pStyle w:val="Ruller4"/>
        <w:numPr>
          <w:ilvl w:val="0"/>
          <w:numId w:val="0"/>
        </w:numPr>
        <w:rPr>
          <w:rtl/>
        </w:rPr>
      </w:pPr>
    </w:p>
    <w:p w:rsidR="00FF0D41" w:rsidRDefault="00FF0D41" w:rsidP="00FF0D41">
      <w:pPr>
        <w:pStyle w:val="Ruller4"/>
        <w:numPr>
          <w:ilvl w:val="0"/>
          <w:numId w:val="0"/>
        </w:numPr>
      </w:pPr>
      <w:r>
        <w:rPr>
          <w:rtl/>
        </w:rPr>
        <w:tab/>
      </w:r>
      <w:r>
        <w:rPr>
          <w:rFonts w:hint="cs"/>
          <w:rtl/>
        </w:rPr>
        <w:t>וכן ראו</w:t>
      </w:r>
      <w:r>
        <w:rPr>
          <w:rFonts w:ascii="David" w:hAnsi="David" w:cs="David" w:hint="cs"/>
          <w:szCs w:val="24"/>
          <w:rtl/>
        </w:rPr>
        <w:t>:</w:t>
      </w:r>
      <w:r>
        <w:t>Moss v. Moss, 187 A.D.2d 775, 589 N.Y.S.2d 683 (App. Div. 3rd Dept. 1992)</w:t>
      </w:r>
      <w:r>
        <w:rPr>
          <w:rFonts w:hint="cs"/>
          <w:rtl/>
        </w:rPr>
        <w:t xml:space="preserve"> בקשר לשאלת תוקפן המשפטי של נדרי הנישואים). ניתן אפוא לזהות במקרים המתאימים קיומם של תנאים מכללא המתייחסים גם לרכיב דומיננטי זה. </w:t>
      </w:r>
    </w:p>
    <w:p w:rsidR="00FF0D41" w:rsidRPr="00BC3EB0" w:rsidRDefault="00FF0D41" w:rsidP="00FF0D41">
      <w:pPr>
        <w:pStyle w:val="Ruller4"/>
        <w:numPr>
          <w:ilvl w:val="0"/>
          <w:numId w:val="0"/>
        </w:numPr>
      </w:pPr>
    </w:p>
    <w:p w:rsidR="00FF0D41" w:rsidRDefault="00FF0D41" w:rsidP="00FF0D41">
      <w:pPr>
        <w:pStyle w:val="Ruller4"/>
        <w:rPr>
          <w:rtl/>
        </w:rPr>
      </w:pPr>
      <w:r>
        <w:rPr>
          <w:rFonts w:hint="cs"/>
          <w:rtl/>
        </w:rPr>
        <w:t xml:space="preserve">יתר על כן, אף לעמדת השופט </w:t>
      </w:r>
      <w:r w:rsidRPr="00BC3EB0">
        <w:rPr>
          <w:rFonts w:ascii="Century" w:hAnsi="Century" w:cs="Miriam" w:hint="cs"/>
          <w:b/>
          <w:spacing w:val="0"/>
          <w:sz w:val="22"/>
          <w:szCs w:val="24"/>
          <w:rtl/>
        </w:rPr>
        <w:t xml:space="preserve">עמית </w:t>
      </w:r>
      <w:r>
        <w:rPr>
          <w:rFonts w:hint="cs"/>
          <w:rtl/>
        </w:rPr>
        <w:t xml:space="preserve">בעניין </w:t>
      </w:r>
      <w:r w:rsidRPr="00AE2AC5">
        <w:rPr>
          <w:rFonts w:ascii="Century" w:hAnsi="Century" w:cs="Miriam" w:hint="cs"/>
          <w:b/>
          <w:spacing w:val="0"/>
          <w:sz w:val="22"/>
          <w:szCs w:val="24"/>
          <w:rtl/>
        </w:rPr>
        <w:t xml:space="preserve">בן </w:t>
      </w:r>
      <w:proofErr w:type="spellStart"/>
      <w:r w:rsidRPr="00AE2AC5">
        <w:rPr>
          <w:rFonts w:ascii="Century" w:hAnsi="Century" w:cs="Miriam" w:hint="cs"/>
          <w:b/>
          <w:spacing w:val="0"/>
          <w:sz w:val="22"/>
          <w:szCs w:val="24"/>
          <w:rtl/>
        </w:rPr>
        <w:t>גיאת</w:t>
      </w:r>
      <w:proofErr w:type="spellEnd"/>
      <w:r w:rsidRPr="00BC3EB0">
        <w:rPr>
          <w:rFonts w:hint="cs"/>
          <w:rtl/>
        </w:rPr>
        <w:t xml:space="preserve">, אשר </w:t>
      </w:r>
      <w:r>
        <w:rPr>
          <w:rFonts w:hint="cs"/>
          <w:rtl/>
        </w:rPr>
        <w:t xml:space="preserve">ביסס את השיתוף בנכס ספציפי על "חזקת השיתוף", יש מקום ליתן את הדעת ויתר משקל להתנהגות הצדדים, תום ליבם וגיבוש ההסכמה ביניהם. שכן חזקת השיתוף מבוססת על תפיסה חברתית של "מוסד הנישואין כקשר חופשי בין יחידים, המושתת על שוויון, שיתוף פעולה ותמיכה הדדית" (רע"א 8791/00 </w:t>
      </w:r>
      <w:r w:rsidRPr="003F0C4F">
        <w:rPr>
          <w:rFonts w:ascii="Century" w:hAnsi="Century" w:cs="Miriam" w:hint="cs"/>
          <w:b/>
          <w:spacing w:val="0"/>
          <w:sz w:val="22"/>
          <w:szCs w:val="24"/>
          <w:rtl/>
        </w:rPr>
        <w:t xml:space="preserve">שלם נ' </w:t>
      </w:r>
      <w:proofErr w:type="spellStart"/>
      <w:r w:rsidRPr="003F0C4F">
        <w:rPr>
          <w:rFonts w:ascii="Century" w:hAnsi="Century" w:cs="Miriam" w:hint="cs"/>
          <w:b/>
          <w:spacing w:val="0"/>
          <w:sz w:val="22"/>
          <w:szCs w:val="24"/>
          <w:rtl/>
        </w:rPr>
        <w:t>טווינקו</w:t>
      </w:r>
      <w:proofErr w:type="spellEnd"/>
      <w:r w:rsidRPr="003F0C4F">
        <w:rPr>
          <w:rFonts w:ascii="Century" w:hAnsi="Century" w:cs="Miriam" w:hint="cs"/>
          <w:b/>
          <w:spacing w:val="0"/>
          <w:sz w:val="22"/>
          <w:szCs w:val="24"/>
          <w:rtl/>
        </w:rPr>
        <w:t xml:space="preserve"> בע"מ</w:t>
      </w:r>
      <w:r>
        <w:rPr>
          <w:rFonts w:hint="cs"/>
          <w:rtl/>
        </w:rPr>
        <w:t xml:space="preserve">, פסקה 8 (13.12.2006)). גם אם השופט </w:t>
      </w:r>
      <w:r w:rsidRPr="0020116B">
        <w:rPr>
          <w:rFonts w:ascii="Century" w:hAnsi="Century" w:cs="Miriam" w:hint="cs"/>
          <w:b/>
          <w:spacing w:val="0"/>
          <w:sz w:val="22"/>
          <w:szCs w:val="24"/>
          <w:rtl/>
        </w:rPr>
        <w:t>עמית</w:t>
      </w:r>
      <w:r w:rsidRPr="0020116B">
        <w:rPr>
          <w:rFonts w:hint="cs"/>
          <w:rtl/>
        </w:rPr>
        <w:t xml:space="preserve"> </w:t>
      </w:r>
      <w:r>
        <w:rPr>
          <w:rFonts w:hint="cs"/>
          <w:rtl/>
        </w:rPr>
        <w:t xml:space="preserve">באותו עניין כיוון לחזקת השיתוף "הנתפסת בימינו כחזקה </w:t>
      </w:r>
      <w:r w:rsidRPr="0020116B">
        <w:rPr>
          <w:rFonts w:ascii="Century" w:hAnsi="Century" w:cs="Miriam" w:hint="cs"/>
          <w:b/>
          <w:spacing w:val="0"/>
          <w:sz w:val="22"/>
          <w:szCs w:val="24"/>
          <w:rtl/>
        </w:rPr>
        <w:t>נורמטיבית</w:t>
      </w:r>
      <w:r w:rsidRPr="0020116B">
        <w:rPr>
          <w:rFonts w:hint="cs"/>
          <w:rtl/>
        </w:rPr>
        <w:t xml:space="preserve"> </w:t>
      </w:r>
      <w:r>
        <w:rPr>
          <w:rFonts w:hint="cs"/>
          <w:rtl/>
        </w:rPr>
        <w:t xml:space="preserve">ולא חזקה עובדתית-הסכמית" (עניין </w:t>
      </w:r>
      <w:r w:rsidRPr="003A08E9">
        <w:rPr>
          <w:rFonts w:ascii="Century" w:hAnsi="Century" w:cs="Miriam" w:hint="cs"/>
          <w:b/>
          <w:spacing w:val="0"/>
          <w:sz w:val="22"/>
          <w:szCs w:val="24"/>
          <w:rtl/>
        </w:rPr>
        <w:t xml:space="preserve">בן </w:t>
      </w:r>
      <w:proofErr w:type="spellStart"/>
      <w:r w:rsidRPr="003A08E9">
        <w:rPr>
          <w:rFonts w:ascii="Century" w:hAnsi="Century" w:cs="Miriam" w:hint="cs"/>
          <w:b/>
          <w:spacing w:val="0"/>
          <w:sz w:val="22"/>
          <w:szCs w:val="24"/>
          <w:rtl/>
        </w:rPr>
        <w:t>גיאת</w:t>
      </w:r>
      <w:proofErr w:type="spellEnd"/>
      <w:r>
        <w:rPr>
          <w:rFonts w:hint="cs"/>
          <w:rtl/>
        </w:rPr>
        <w:t xml:space="preserve">, פסקה 27 לפסק דינו), לא ניתן לכחד כי בבסיסה של חזקת השיתוף עומדים התנאים של </w:t>
      </w:r>
      <w:r w:rsidRPr="00A37881">
        <w:rPr>
          <w:rFonts w:ascii="Century" w:hAnsi="Century" w:cs="Miriam" w:hint="cs"/>
          <w:b/>
          <w:spacing w:val="0"/>
          <w:sz w:val="22"/>
          <w:szCs w:val="24"/>
          <w:rtl/>
        </w:rPr>
        <w:t>ניהול אורח חיים תקין</w:t>
      </w:r>
      <w:r w:rsidRPr="00A37881">
        <w:rPr>
          <w:rFonts w:hint="cs"/>
          <w:rtl/>
        </w:rPr>
        <w:t xml:space="preserve"> </w:t>
      </w:r>
      <w:r>
        <w:rPr>
          <w:rFonts w:hint="cs"/>
          <w:rtl/>
        </w:rPr>
        <w:t xml:space="preserve">והתנהגות המגלה מאמץ משותף לצד כוונה כי הרכוש יהא בבעלות המשותפת של בני הזוג (בג"ץ 8214/07 </w:t>
      </w:r>
      <w:r w:rsidRPr="005D78A4">
        <w:rPr>
          <w:rFonts w:ascii="Century" w:hAnsi="Century" w:cs="Miriam" w:hint="cs"/>
          <w:b/>
          <w:spacing w:val="0"/>
          <w:sz w:val="22"/>
          <w:szCs w:val="24"/>
          <w:rtl/>
        </w:rPr>
        <w:t>פלונית נ' פלוני</w:t>
      </w:r>
      <w:r>
        <w:rPr>
          <w:rFonts w:hint="cs"/>
          <w:rtl/>
        </w:rPr>
        <w:t xml:space="preserve">, פסקה 20 (22.7.2010); ע"א 6839/19 </w:t>
      </w:r>
      <w:r w:rsidRPr="003F0C4F">
        <w:rPr>
          <w:rFonts w:ascii="Century" w:hAnsi="Century" w:cs="Miriam" w:hint="cs"/>
          <w:b/>
          <w:spacing w:val="0"/>
          <w:sz w:val="22"/>
          <w:szCs w:val="24"/>
          <w:rtl/>
        </w:rPr>
        <w:t xml:space="preserve">חדד נ' </w:t>
      </w:r>
      <w:proofErr w:type="spellStart"/>
      <w:r w:rsidRPr="003F0C4F">
        <w:rPr>
          <w:rFonts w:ascii="Century" w:hAnsi="Century" w:cs="Miriam" w:hint="cs"/>
          <w:b/>
          <w:spacing w:val="0"/>
          <w:sz w:val="22"/>
          <w:szCs w:val="24"/>
          <w:rtl/>
        </w:rPr>
        <w:t>פיקהולץ</w:t>
      </w:r>
      <w:proofErr w:type="spellEnd"/>
      <w:r>
        <w:rPr>
          <w:rFonts w:hint="cs"/>
          <w:rtl/>
        </w:rPr>
        <w:t xml:space="preserve">, פסקה 10 (20.1.2021)). כמו כן, אף כי החילה הפסיקה </w:t>
      </w:r>
      <w:r>
        <w:rPr>
          <w:rFonts w:hint="eastAsia"/>
          <w:rtl/>
        </w:rPr>
        <w:t>אמת מידה</w:t>
      </w:r>
      <w:r>
        <w:rPr>
          <w:rFonts w:hint="cs"/>
          <w:rtl/>
        </w:rPr>
        <w:t xml:space="preserve"> מקלה ביחס לתחולת חזקת השיתוף על דירת מגורים (ראו למשל: בע"מ 1398/11 </w:t>
      </w:r>
      <w:r w:rsidRPr="003F0C4F">
        <w:rPr>
          <w:rFonts w:ascii="Century" w:hAnsi="Century" w:cs="Miriam" w:hint="cs"/>
          <w:b/>
          <w:spacing w:val="0"/>
          <w:sz w:val="22"/>
          <w:szCs w:val="24"/>
          <w:rtl/>
        </w:rPr>
        <w:t>אלמונית נ' אלמוני</w:t>
      </w:r>
      <w:r>
        <w:rPr>
          <w:rFonts w:hint="cs"/>
          <w:rtl/>
        </w:rPr>
        <w:t xml:space="preserve">, פסקה 15 (25.10.2012)), פשיטא כי אין מקום להתעלם במסגרת הערכת ההרמוניה הקיימת בין בני הזוג </w:t>
      </w:r>
      <w:r>
        <w:rPr>
          <w:rtl/>
        </w:rPr>
        <w:t>–</w:t>
      </w:r>
      <w:r>
        <w:rPr>
          <w:rFonts w:hint="cs"/>
          <w:rtl/>
        </w:rPr>
        <w:t xml:space="preserve"> אשר עומדת בבסיס הענקת השיתוף בנכס מנקודת מבט של "חזקת השיתוף" </w:t>
      </w:r>
      <w:r>
        <w:rPr>
          <w:rtl/>
        </w:rPr>
        <w:t>–</w:t>
      </w:r>
      <w:r>
        <w:rPr>
          <w:rFonts w:hint="cs"/>
          <w:rtl/>
        </w:rPr>
        <w:t xml:space="preserve"> מהתנהגותם הכללית של בני הזוג, ובכלל זה מהתנהלותם המינית.</w:t>
      </w:r>
    </w:p>
    <w:p w:rsidR="00FF0D41" w:rsidRDefault="00FF0D41" w:rsidP="00FF0D41">
      <w:pPr>
        <w:pStyle w:val="Ruller41"/>
        <w:rPr>
          <w:rtl/>
        </w:rPr>
      </w:pPr>
    </w:p>
    <w:p w:rsidR="00FF0D41" w:rsidRDefault="00FF0D41" w:rsidP="00FF0D41">
      <w:pPr>
        <w:pStyle w:val="Ruller4"/>
        <w:rPr>
          <w:rtl/>
        </w:rPr>
      </w:pPr>
      <w:r>
        <w:rPr>
          <w:rFonts w:hint="cs"/>
          <w:rtl/>
        </w:rPr>
        <w:lastRenderedPageBreak/>
        <w:t xml:space="preserve">על כל אלה אוסיף הערה נוספת הקשורה לחוק יחסי ממון, לגבי השלכותיו של "קרע" בין בני הזוג לעניין איזון המשאבים. על אף ברירת המחדל הקבועה בחוק, על פיה המועד הקובע לצורך איזון יחסי הממון הוא יום הגירושין, הרי שתיקון מס' 4 לחוק (חוק יחסי ממון בין בני זוג (תיקון מס' 4), התשס"ט-2008) קובע, בין היתר, כי ניתן לקבוע את המועד לביצועו של הסדר איזון משאבים עם קיומו של "קרע בין בני הזוג" או כאשר "בני הזוג חיים בנפרד אף אם תחת קורת גג אחת [...]" (סעיף 5א(א)(2) לחוק). משמעות הדבר היא כי המחוקק נתן דעתו לאפשרות ש"קרע" בין בני הזוג </w:t>
      </w:r>
      <w:r>
        <w:rPr>
          <w:rtl/>
        </w:rPr>
        <w:t>–</w:t>
      </w:r>
      <w:r>
        <w:rPr>
          <w:rFonts w:hint="cs"/>
          <w:rtl/>
        </w:rPr>
        <w:t xml:space="preserve"> פיזי, כלכלי או זוגי </w:t>
      </w:r>
      <w:r>
        <w:rPr>
          <w:rtl/>
        </w:rPr>
        <w:t>–</w:t>
      </w:r>
      <w:r>
        <w:rPr>
          <w:rFonts w:hint="cs"/>
          <w:rtl/>
        </w:rPr>
        <w:t xml:space="preserve"> יביא לפקיעת היחסים הזוגיים לעניין איזון המשאבים וישנה את מערך יחסי הממון ביניהם. "קרע" כאמור יכול לבוא לידי ביטוי במישורים שונים לגבי מכלול התנהגויות שונות </w:t>
      </w:r>
      <w:r>
        <w:rPr>
          <w:rtl/>
        </w:rPr>
        <w:t>–</w:t>
      </w:r>
      <w:r>
        <w:rPr>
          <w:rFonts w:hint="cs"/>
          <w:rtl/>
        </w:rPr>
        <w:t xml:space="preserve"> בכלל זה יציאה פיזית מבית המגורים; התנהגות כלכלית כגון הפסקת ניהול משק בית במשותף; התעמרות, אלימות או התנהלות הקשורה לנאמנות ומעילה באמון בין בני הזוג. המחוקק מורה אפוא כי מציאות שבה קיים "קרע" בין בני הזוג, מבחינה רגשית או זוגית </w:t>
      </w:r>
      <w:r>
        <w:rPr>
          <w:rtl/>
        </w:rPr>
        <w:t>–</w:t>
      </w:r>
      <w:r>
        <w:rPr>
          <w:rFonts w:hint="cs"/>
          <w:rtl/>
        </w:rPr>
        <w:t xml:space="preserve"> על כל המשתמע ממושג זה, או כאשר מתגוררים בני זוג "תחת קורת גג אחת" אך "בנפרד" </w:t>
      </w:r>
      <w:r>
        <w:rPr>
          <w:rtl/>
        </w:rPr>
        <w:t>–</w:t>
      </w:r>
      <w:r w:rsidRPr="009A662A">
        <w:rPr>
          <w:rFonts w:ascii="Calibri" w:hAnsi="Calibri" w:cs="David" w:hint="cs"/>
          <w:color w:val="000000"/>
          <w:spacing w:val="0"/>
          <w:szCs w:val="24"/>
          <w:rtl/>
        </w:rPr>
        <w:t> </w:t>
      </w:r>
      <w:r>
        <w:rPr>
          <w:rFonts w:hint="cs"/>
          <w:rtl/>
        </w:rPr>
        <w:t xml:space="preserve">היא מציאות המשליכה באופן קונקרטי על מועד הזכות לאיזון המשאבים. מה גם, הוראת סעיף 8 לחוק מאפשרת לאזן את הרכוש בין בני הזוג באופן לא שוויוני "בנסיבות מיוחדות". </w:t>
      </w:r>
    </w:p>
    <w:p w:rsidR="00FF0D41" w:rsidRDefault="00FF0D41" w:rsidP="00FF0D41">
      <w:pPr>
        <w:pStyle w:val="Ruller4"/>
        <w:numPr>
          <w:ilvl w:val="0"/>
          <w:numId w:val="0"/>
        </w:numPr>
      </w:pPr>
    </w:p>
    <w:p w:rsidR="00FF0D41" w:rsidRDefault="00FF0D41" w:rsidP="00FF0D41">
      <w:pPr>
        <w:pStyle w:val="Ruller4"/>
        <w:rPr>
          <w:rtl/>
        </w:rPr>
      </w:pPr>
      <w:r>
        <w:rPr>
          <w:rFonts w:hint="cs"/>
          <w:rtl/>
        </w:rPr>
        <w:t xml:space="preserve">ויובהר, העובדה שבמציאות זוגית נתונה, יתכן כי במישור העובדתי, להתנהגותם של בני הזוג תהיה נפקות לעניין מועד הקרע לעניין איזון המשאבים או לעניין שאלת השיתוף בנכס ספציפי, אין משמעותה עירוב של שיקולי "אשם" או "האשמה". נשער בנפשנו סיטואציה שבה אחד מבני הזוג (לצורך הדוגמה </w:t>
      </w:r>
      <w:r>
        <w:rPr>
          <w:rtl/>
        </w:rPr>
        <w:t>–</w:t>
      </w:r>
      <w:r>
        <w:rPr>
          <w:rFonts w:hint="cs"/>
          <w:rtl/>
        </w:rPr>
        <w:t xml:space="preserve"> הבעל) הסתיר מבת זוגו במשך שנים נכסים, עסקים, או הכנסות; ניהל מערכת יחסים "כפולה"; מעל באמונה של בת זוגו באופן בוטה; וכיו"ב כהנה וכהנה </w:t>
      </w:r>
      <w:r>
        <w:rPr>
          <w:rtl/>
        </w:rPr>
        <w:t>–</w:t>
      </w:r>
      <w:r>
        <w:rPr>
          <w:rFonts w:hint="cs"/>
          <w:rtl/>
        </w:rPr>
        <w:t xml:space="preserve"> כלום אין בהתנהלות זו כדי להשפיע על מועד הקרע? על שאלת השיתוף בנכס ספציפי מלפני הנישואין הרשום על שמה של בת הזוג? איננו צריכים רק לשער בנפשנו, משום שהמציאות עולה על כל דמיון. ויפים בהקשר זה הדברים שנאמרו מפי המשנה לנשיאה </w:t>
      </w:r>
      <w:r w:rsidRPr="00735975">
        <w:rPr>
          <w:rFonts w:ascii="Century" w:hAnsi="Century" w:cs="Miriam" w:hint="cs"/>
          <w:b/>
          <w:spacing w:val="0"/>
          <w:sz w:val="22"/>
          <w:szCs w:val="24"/>
          <w:rtl/>
        </w:rPr>
        <w:t>א' רובינשטיין</w:t>
      </w:r>
      <w:r w:rsidRPr="000F3DD8">
        <w:rPr>
          <w:rFonts w:hint="cs"/>
          <w:rtl/>
        </w:rPr>
        <w:t xml:space="preserve"> </w:t>
      </w:r>
      <w:proofErr w:type="spellStart"/>
      <w:r>
        <w:rPr>
          <w:rFonts w:hint="cs"/>
          <w:rtl/>
        </w:rPr>
        <w:t>בבע"מ</w:t>
      </w:r>
      <w:proofErr w:type="spellEnd"/>
      <w:r>
        <w:rPr>
          <w:rFonts w:hint="cs"/>
          <w:rtl/>
        </w:rPr>
        <w:t xml:space="preserve"> 8206/14 </w:t>
      </w:r>
      <w:r w:rsidRPr="00735975">
        <w:rPr>
          <w:rFonts w:ascii="Century" w:hAnsi="Century" w:cs="Miriam" w:hint="cs"/>
          <w:b/>
          <w:spacing w:val="0"/>
          <w:sz w:val="22"/>
          <w:szCs w:val="24"/>
          <w:rtl/>
        </w:rPr>
        <w:t>פלונית נ' פלוני</w:t>
      </w:r>
      <w:r w:rsidRPr="004F6680">
        <w:rPr>
          <w:rFonts w:hint="cs"/>
          <w:rtl/>
        </w:rPr>
        <w:t xml:space="preserve"> </w:t>
      </w:r>
      <w:r>
        <w:rPr>
          <w:rFonts w:hint="cs"/>
          <w:rtl/>
        </w:rPr>
        <w:t>(14.4.2015):</w:t>
      </w:r>
    </w:p>
    <w:p w:rsidR="00FF0D41" w:rsidRDefault="00FF0D41" w:rsidP="00FF0D41">
      <w:pPr>
        <w:pStyle w:val="Ruller41"/>
        <w:rPr>
          <w:rtl/>
        </w:rPr>
      </w:pPr>
    </w:p>
    <w:p w:rsidR="00FF0D41" w:rsidRDefault="00FF0D41" w:rsidP="00FF0D41">
      <w:pPr>
        <w:pStyle w:val="Ruller5"/>
        <w:rPr>
          <w:rtl/>
        </w:rPr>
      </w:pPr>
      <w:r>
        <w:rPr>
          <w:rFonts w:hint="cs"/>
          <w:rtl/>
        </w:rPr>
        <w:t xml:space="preserve">"טו. [...] </w:t>
      </w:r>
      <w:r w:rsidRPr="00FB2ADE">
        <w:rPr>
          <w:rtl/>
        </w:rPr>
        <w:t>האפשרות של אחד מבני הזוג, כאן המשיב-הבעל, להיות "נפקד נוכח" בביתו תוך</w:t>
      </w:r>
      <w:r>
        <w:rPr>
          <w:rtl/>
        </w:rPr>
        <w:t xml:space="preserve"> </w:t>
      </w:r>
      <w:proofErr w:type="spellStart"/>
      <w:r>
        <w:rPr>
          <w:rtl/>
        </w:rPr>
        <w:t>שהאשה</w:t>
      </w:r>
      <w:proofErr w:type="spellEnd"/>
      <w:r>
        <w:rPr>
          <w:rtl/>
        </w:rPr>
        <w:t xml:space="preserve"> משלימה עם מצב עגמומי זה</w:t>
      </w:r>
      <w:r>
        <w:rPr>
          <w:rFonts w:hint="cs"/>
          <w:rtl/>
        </w:rPr>
        <w:t xml:space="preserve"> [...]. </w:t>
      </w:r>
      <w:r w:rsidRPr="00FB2ADE">
        <w:rPr>
          <w:rtl/>
        </w:rPr>
        <w:t xml:space="preserve">מצב כזה מן הסתם אינו שכיח מאוד, אך אין – גם על פי השכל הישר – להתעלם מקיומו ומקיום מצבים דומים לו של יחסים "מן הצד", יחסי פילגשות וכדומה. לפיכך, על דרך הכלל, ותהא עמדתנו הערכית כלפי יחסים כאלה כאשר תהא, יש מקום לתת לכך ביטוי גם באופן החלוקה, מקום שבעלי הדין מנהלים </w:t>
      </w:r>
      <w:r w:rsidRPr="00FB2ADE">
        <w:rPr>
          <w:rtl/>
        </w:rPr>
        <w:lastRenderedPageBreak/>
        <w:t xml:space="preserve">מערכת לא </w:t>
      </w:r>
      <w:proofErr w:type="spellStart"/>
      <w:r w:rsidRPr="00FB2ADE">
        <w:rPr>
          <w:rtl/>
        </w:rPr>
        <w:t>שויונית</w:t>
      </w:r>
      <w:proofErr w:type="spellEnd"/>
      <w:r w:rsidRPr="00FB2ADE">
        <w:rPr>
          <w:rtl/>
        </w:rPr>
        <w:t>, בשונה מן המצב ה"רגיל", בו אמורים שני הצדדים להירתם יחדיו לקיום התא המשפחתי, כנדרש לצורך חלוקת מחצה על מחצה לפי </w:t>
      </w:r>
      <w:hyperlink r:id="rId11" w:history="1">
        <w:r w:rsidRPr="00FB2ADE">
          <w:rPr>
            <w:rtl/>
          </w:rPr>
          <w:t>סעיף 5</w:t>
        </w:r>
      </w:hyperlink>
      <w:r w:rsidRPr="00FB2ADE">
        <w:rPr>
          <w:rtl/>
        </w:rPr>
        <w:t xml:space="preserve"> לחוק, כאמת המידה המרכזית להפעלת סמכותו של בית המשפט בגדרי יחסי ממון </w:t>
      </w:r>
      <w:r>
        <w:rPr>
          <w:rFonts w:hint="cs"/>
          <w:rtl/>
        </w:rPr>
        <w:t>[...]</w:t>
      </w:r>
      <w:r w:rsidRPr="00FB2ADE">
        <w:rPr>
          <w:rtl/>
        </w:rPr>
        <w:t>. אוסיף, כי ייחוד מערכת היחסים גם משליך על מועד הקרע, שאף לגביו אין לקבוע אמות - מידה נוקשות אלא לבחון כל מקרה לגופו.</w:t>
      </w:r>
    </w:p>
    <w:p w:rsidR="00FF0D41" w:rsidRPr="00FB2ADE" w:rsidRDefault="00FF0D41" w:rsidP="00FF0D41">
      <w:pPr>
        <w:pStyle w:val="Ruller5"/>
        <w:rPr>
          <w:rtl/>
        </w:rPr>
      </w:pPr>
    </w:p>
    <w:p w:rsidR="00FF0D41" w:rsidRDefault="00FF0D41" w:rsidP="00FF0D41">
      <w:pPr>
        <w:pStyle w:val="Ruller5"/>
        <w:rPr>
          <w:rtl/>
        </w:rPr>
      </w:pPr>
      <w:proofErr w:type="spellStart"/>
      <w:r w:rsidRPr="00B20360">
        <w:rPr>
          <w:rtl/>
        </w:rPr>
        <w:t>טז</w:t>
      </w:r>
      <w:proofErr w:type="spellEnd"/>
      <w:r>
        <w:rPr>
          <w:rFonts w:hint="cs"/>
          <w:rtl/>
        </w:rPr>
        <w:t xml:space="preserve">. </w:t>
      </w:r>
      <w:r w:rsidRPr="00B20360">
        <w:rPr>
          <w:rtl/>
        </w:rPr>
        <w:t>בהקשר זה אציין כי בניגוד לטענתה של המבקשת שמינוח השיתופיות המוחלשת, או השיתופיות לשיעורין, מטיל "אשמה" ובענייננו בה, הנה במישור האזרחי – להבדיל מן המציאות הקונקרטית - עובדתית ומן המישור הרגשי הטעון אשר תחושות אשמה והאשמה מצד זה או זה יתכנו בהם – אין מדובר ב"אשמה", ולא רכיב מעין זה הוא כשלעצמו המשפיע על איזון המשאבים. לעומת זאת, במישור העובדתי ברי כי התנהגותם של בני הזוג יש בה כדי להעיד על המועד בו חל הקרע המשפטי ביחסים, ומשכך, עשויה היא לשמש נסיבה מיוחדת הבאה בגדרו של </w:t>
      </w:r>
      <w:hyperlink r:id="rId12" w:history="1">
        <w:r w:rsidRPr="00B20360">
          <w:rPr>
            <w:rtl/>
          </w:rPr>
          <w:t>סעיף 8</w:t>
        </w:r>
      </w:hyperlink>
      <w:r w:rsidRPr="00B20360">
        <w:rPr>
          <w:rtl/>
        </w:rPr>
        <w:t xml:space="preserve"> לחוק, והמאפשרת הפעלת הסמכות המיוחדת לחלוקה שאינה </w:t>
      </w:r>
      <w:proofErr w:type="spellStart"/>
      <w:r w:rsidRPr="00B20360">
        <w:rPr>
          <w:rtl/>
        </w:rPr>
        <w:t>שויונית</w:t>
      </w:r>
      <w:proofErr w:type="spellEnd"/>
      <w:r w:rsidRPr="00B20360">
        <w:rPr>
          <w:rtl/>
        </w:rPr>
        <w:t xml:space="preserve"> כליל: מתוך שכך, יש לבחון בכל מקרה את טיב הקשר הזוגי ונסיבותיו, ויש ליתן משקל נכבד לאוטונומית הרצון ולמצער למודוס ההתנהגות בפועל של בני-הזוג בעיצוב הקשר הזוגי ביניהם; ונודה כי אין בידי בית המשפט להיות בוחן כליות ולב ולקבוע מה היו שיקולי כל צד, אם סוג של שלמות משפחה למען הילדים, אם נוחות כלכלית, אם שיקולים חברתיים ואם עירוב של אלה או חלקם; ועל כן </w:t>
      </w:r>
      <w:r>
        <w:rPr>
          <w:rFonts w:hint="cs"/>
          <w:rtl/>
        </w:rPr>
        <w:t>'</w:t>
      </w:r>
      <w:r w:rsidRPr="00B20360">
        <w:rPr>
          <w:rtl/>
        </w:rPr>
        <w:t>אין לו לדיין אלא מה שעיניו רואות</w:t>
      </w:r>
      <w:r>
        <w:rPr>
          <w:rFonts w:hint="cs"/>
          <w:rtl/>
        </w:rPr>
        <w:t>'".</w:t>
      </w:r>
      <w:r w:rsidRPr="00B20360">
        <w:rPr>
          <w:rtl/>
        </w:rPr>
        <w:t xml:space="preserve"> </w:t>
      </w:r>
    </w:p>
    <w:p w:rsidR="00FF0D41" w:rsidRDefault="00FF0D41" w:rsidP="00FF0D41">
      <w:pPr>
        <w:pStyle w:val="Ruller41"/>
        <w:rPr>
          <w:rtl/>
        </w:rPr>
      </w:pPr>
    </w:p>
    <w:p w:rsidR="00FF0D41" w:rsidRDefault="00FF0D41" w:rsidP="00FF0D41">
      <w:pPr>
        <w:pStyle w:val="Ruller41"/>
        <w:rPr>
          <w:rtl/>
        </w:rPr>
      </w:pPr>
      <w:r>
        <w:rPr>
          <w:rtl/>
        </w:rPr>
        <w:tab/>
      </w:r>
      <w:r>
        <w:rPr>
          <w:rFonts w:hint="cs"/>
          <w:rtl/>
        </w:rPr>
        <w:t xml:space="preserve">והדברים מדברים בעד עצמם. לא חברי השופט </w:t>
      </w:r>
      <w:r w:rsidRPr="000F3DD8">
        <w:rPr>
          <w:rFonts w:ascii="Century" w:hAnsi="Century" w:cs="Miriam" w:hint="cs"/>
          <w:b/>
          <w:spacing w:val="0"/>
          <w:szCs w:val="24"/>
          <w:rtl/>
        </w:rPr>
        <w:t>שטיין</w:t>
      </w:r>
      <w:r>
        <w:rPr>
          <w:rFonts w:hint="cs"/>
          <w:rtl/>
        </w:rPr>
        <w:t xml:space="preserve"> המציא אפוא את ה"גלישה" לבחינת טיבה של מערכת היחסים בין בני הזוג כדברי חברתי השופטת </w:t>
      </w:r>
      <w:r w:rsidRPr="000F3DD8">
        <w:rPr>
          <w:rFonts w:ascii="Century" w:hAnsi="Century" w:cs="Miriam" w:hint="cs"/>
          <w:b/>
          <w:spacing w:val="0"/>
          <w:szCs w:val="24"/>
          <w:rtl/>
        </w:rPr>
        <w:t>ברק-ארז</w:t>
      </w:r>
      <w:r>
        <w:rPr>
          <w:rFonts w:hint="cs"/>
          <w:rtl/>
        </w:rPr>
        <w:t xml:space="preserve">, ולא בית הדין הרבני, כי אם המחוקק. ואידך </w:t>
      </w:r>
      <w:proofErr w:type="spellStart"/>
      <w:r>
        <w:rPr>
          <w:rFonts w:hint="cs"/>
          <w:rtl/>
        </w:rPr>
        <w:t>זיל</w:t>
      </w:r>
      <w:proofErr w:type="spellEnd"/>
      <w:r>
        <w:rPr>
          <w:rFonts w:hint="cs"/>
          <w:rtl/>
        </w:rPr>
        <w:t xml:space="preserve"> גמור. </w:t>
      </w:r>
    </w:p>
    <w:p w:rsidR="00FF0D41" w:rsidRPr="00490623" w:rsidRDefault="00FF0D41" w:rsidP="00FF0D41">
      <w:pPr>
        <w:pStyle w:val="Ruller41"/>
        <w:rPr>
          <w:rtl/>
        </w:rPr>
      </w:pPr>
    </w:p>
    <w:p w:rsidR="00FF0D41" w:rsidRPr="00364643" w:rsidRDefault="00FF0D41" w:rsidP="00FF0D41">
      <w:pPr>
        <w:pStyle w:val="Ruller41"/>
        <w:rPr>
          <w:rFonts w:ascii="Century" w:hAnsi="Century" w:cs="Miriam"/>
          <w:b/>
          <w:spacing w:val="0"/>
          <w:szCs w:val="24"/>
          <w:rtl/>
        </w:rPr>
      </w:pPr>
      <w:r w:rsidRPr="00364643">
        <w:rPr>
          <w:rFonts w:ascii="Century" w:hAnsi="Century" w:cs="Miriam" w:hint="cs"/>
          <w:b/>
          <w:spacing w:val="0"/>
          <w:szCs w:val="24"/>
          <w:rtl/>
        </w:rPr>
        <w:t>השיתוף ההדרגתי</w:t>
      </w:r>
    </w:p>
    <w:p w:rsidR="00FF0D41" w:rsidRDefault="00FF0D41" w:rsidP="00FF0D41">
      <w:pPr>
        <w:pStyle w:val="Ruller4"/>
        <w:rPr>
          <w:rtl/>
        </w:rPr>
      </w:pPr>
      <w:r>
        <w:rPr>
          <w:rFonts w:hint="cs"/>
          <w:rtl/>
        </w:rPr>
        <w:t xml:space="preserve">ולבסוף מספר מילים על מודל השיתוף ההדרגתי שמציע חברי השופט </w:t>
      </w:r>
      <w:r>
        <w:rPr>
          <w:rFonts w:cs="Miriam" w:hint="cs"/>
          <w:b/>
          <w:spacing w:val="0"/>
          <w:szCs w:val="24"/>
          <w:rtl/>
        </w:rPr>
        <w:t>שטיין</w:t>
      </w:r>
      <w:r>
        <w:rPr>
          <w:rFonts w:hint="cs"/>
          <w:rtl/>
        </w:rPr>
        <w:t xml:space="preserve">. חברי רואה במודל השיתוף המוצע על ידו יתרונות רבים ומצביע על פגמים רבים בהלכת השיתוף הספציפי שאומצה בפסיקת בית משפט זה. כפי שהצביעה חברתי השופטת </w:t>
      </w:r>
      <w:r w:rsidRPr="00BD54B2">
        <w:rPr>
          <w:rFonts w:ascii="Century" w:hAnsi="Century" w:cs="Miriam" w:hint="cs"/>
          <w:b/>
          <w:spacing w:val="0"/>
          <w:sz w:val="22"/>
          <w:szCs w:val="24"/>
          <w:rtl/>
        </w:rPr>
        <w:t>ברק</w:t>
      </w:r>
      <w:r>
        <w:rPr>
          <w:rFonts w:ascii="Century" w:hAnsi="Century" w:cs="Miriam" w:hint="cs"/>
          <w:b/>
          <w:spacing w:val="0"/>
          <w:sz w:val="22"/>
          <w:szCs w:val="24"/>
          <w:rtl/>
        </w:rPr>
        <w:t>-</w:t>
      </w:r>
      <w:r w:rsidRPr="00BD54B2">
        <w:rPr>
          <w:rFonts w:ascii="Century" w:hAnsi="Century" w:cs="Miriam" w:hint="cs"/>
          <w:b/>
          <w:spacing w:val="0"/>
          <w:sz w:val="22"/>
          <w:szCs w:val="24"/>
          <w:rtl/>
        </w:rPr>
        <w:t>ארז</w:t>
      </w:r>
      <w:r w:rsidRPr="00BD54B2">
        <w:rPr>
          <w:rFonts w:hint="cs"/>
          <w:rtl/>
        </w:rPr>
        <w:t xml:space="preserve"> </w:t>
      </w:r>
      <w:r>
        <w:rPr>
          <w:rFonts w:hint="cs"/>
          <w:rtl/>
        </w:rPr>
        <w:t xml:space="preserve">גם אני סבור כי אף אם חברי צודק בעמדתו, אימוץ מודל מעין זה של שיתוף הוא עניין שעל המחוקק לתת בו את דעתו ולא לנו הוא. בניגוד להלכת השיתוף הספציפי המבוססת על אומד דעת בני הזוג, המודל המוצע על ידי חברי יוצר משטר יחסי ממון חדש שאין לו עיגון בהסכמת הצדדים, אלא הוא בנוי כל כולו על יצירה נורמטיבית. מעבר לכך, אינני משוכנע כי מודל זה מרפא את כל התחלואה בהלכת השיתוף הספציפי עליה הצביע חברי בחוות דעתו. בכך נדמה שנפרדות דרכינו. </w:t>
      </w:r>
    </w:p>
    <w:p w:rsidR="00FF0D41" w:rsidRDefault="00FF0D41" w:rsidP="00FF0D41">
      <w:pPr>
        <w:pStyle w:val="Ruller41"/>
        <w:rPr>
          <w:rFonts w:ascii="Century" w:hAnsi="Century"/>
          <w:rtl/>
        </w:rPr>
      </w:pPr>
    </w:p>
    <w:p w:rsidR="00FF0D41" w:rsidRPr="000F5D4D" w:rsidRDefault="00FF0D41" w:rsidP="00FF0D41">
      <w:pPr>
        <w:pStyle w:val="Ruller4"/>
        <w:rPr>
          <w:rtl/>
        </w:rPr>
      </w:pPr>
      <w:r>
        <w:rPr>
          <w:rFonts w:hint="cs"/>
          <w:rtl/>
        </w:rPr>
        <w:t xml:space="preserve">למשל, חברי מונה שורה של שבעה פגמים בדוקטרינת השיתוף הספציפי (פסקאות 2 ו-60 לחוות דעתו). ברם, איני משוכנע כי קביעה שבכל שנה ושנה שיתוף הנכסים בין בני הזוג יגדל ב-1% לפי מודל השיתוף ההדרגתי, חף מכל הפגמים שחברי מצביע עליהם. גם במודל של חברי קשה לראות כיצד הוא ימנע את התמריצים המעוותים את התנהלותם של בני הזוג (פגם מספר 3); כך קשה לראות כיצד מודל השיתוף ההדרגתי תואם יותר את הרצון "הטיפוסי והשכיח של בני הזוג הנישאים במצב של חוסר שוויון רכושי" (פגם מספר 4). וכך אימוץ המודל החלופי המוצע על ידי חברי לא ירפא את "מלכודת הקניין" עבור בני הזוג הנישאים והוריהם שאינם מודעים לקיום דוקטרינת השיתוף הספציפי (פגם מספר 5). מי שאינו מודע לדוקטרינה הקיימת היום לא תגדל מודעותו לדוקטרינה חלופית גם </w:t>
      </w:r>
      <w:r w:rsidRPr="000F5D4D">
        <w:rPr>
          <w:rFonts w:hint="cs"/>
          <w:rtl/>
        </w:rPr>
        <w:t>אם תשתנה ברבות הימים.</w:t>
      </w:r>
    </w:p>
    <w:p w:rsidR="00FF0D41" w:rsidRPr="003D6D74" w:rsidRDefault="00FF0D41" w:rsidP="00FF0D41">
      <w:pPr>
        <w:pStyle w:val="Ruller41"/>
        <w:rPr>
          <w:rtl/>
        </w:rPr>
      </w:pPr>
    </w:p>
    <w:p w:rsidR="00FF0D41" w:rsidRPr="00730CF7" w:rsidRDefault="00FF0D41" w:rsidP="00FF0D41">
      <w:pPr>
        <w:pStyle w:val="Ruller4"/>
        <w:rPr>
          <w:rtl/>
        </w:rPr>
      </w:pPr>
      <w:r>
        <w:rPr>
          <w:rFonts w:hint="cs"/>
          <w:rtl/>
        </w:rPr>
        <w:t xml:space="preserve">באותה מידה איני משוכנע כי במודל המוצע על ידי חברי לא קיימים "תמריצים מעוותים" כמפורט בפסקה 75 לחוות דעתו. אם חוששים אנו מהעמדת פנים ומשקרים של בן זוג אחד כדי שיפסח על המכשול של מראית פני התקינות, הרי שחשש זה קיים ללא קשר לדוקטרינה השיתופית </w:t>
      </w:r>
      <w:proofErr w:type="spellStart"/>
      <w:r>
        <w:rPr>
          <w:rFonts w:hint="cs"/>
          <w:rtl/>
        </w:rPr>
        <w:t>הנכסית</w:t>
      </w:r>
      <w:proofErr w:type="spellEnd"/>
      <w:r>
        <w:rPr>
          <w:rFonts w:hint="cs"/>
          <w:rtl/>
        </w:rPr>
        <w:t xml:space="preserve"> הקיימת בין בני זוג, תהיה זו דוקטרינת השיתוף הספציפי או דוקטרינת השיתוף ההדרגתי. זאת, שכן ההנחה היא כי גם במודל השיתוף ההדרגתי המוצע על ידי חברי, התנאי להצטברות אחוזי השיתוף השנתיים הוא קיום חיים זוגיים תקינים בין בני הזוג. כך התמריץ הקיים לבן הזוג בעל הנכסים המעוניין להיפרד מבן זוגו האחר מפני החשש שמחצית רכושו תעבור לבן זוגו לפי דוקטרינת השיתוף הספציפי, קיים גם לפי הדוקטרינה של השיתוף ההדרגתי. אדרבה, ככל שבן הזוג יקדים את הפירוד לפי דוקטרינה זו, כך יקטן חלקו של בן זוגו בנכסיו.</w:t>
      </w:r>
    </w:p>
    <w:p w:rsidR="00FF0D41" w:rsidRDefault="00FF0D41" w:rsidP="00FF0D41">
      <w:pPr>
        <w:pStyle w:val="Ruller41"/>
        <w:rPr>
          <w:rtl/>
        </w:rPr>
      </w:pPr>
    </w:p>
    <w:p w:rsidR="009B68AF" w:rsidRDefault="00FF0D41" w:rsidP="00FA7C5F">
      <w:pPr>
        <w:pStyle w:val="Ruller41"/>
        <w:rPr>
          <w:rtl/>
        </w:rPr>
      </w:pPr>
      <w:r>
        <w:rPr>
          <w:rtl/>
        </w:rPr>
        <w:tab/>
      </w:r>
      <w:r w:rsidRPr="000801CE">
        <w:rPr>
          <w:rFonts w:ascii="Century" w:hAnsi="Century" w:cs="Miriam" w:hint="cs"/>
          <w:b/>
          <w:spacing w:val="0"/>
          <w:szCs w:val="24"/>
          <w:rtl/>
        </w:rPr>
        <w:t>לסיכום</w:t>
      </w:r>
      <w:r>
        <w:rPr>
          <w:rFonts w:hint="cs"/>
          <w:rtl/>
        </w:rPr>
        <w:t xml:space="preserve">: ובחזרה לד' אמות המחלוקת שבענייננו. לדעתי, מקרה זה איננו מגלה עילה להתערבות בגדרי עתירה לדיון נוסף ודין העתירה להידחות. </w:t>
      </w:r>
    </w:p>
    <w:p w:rsidR="00FA7C5F" w:rsidRDefault="00FE4FDB" w:rsidP="00FA7C5F">
      <w:pPr>
        <w:pStyle w:val="Ruller41"/>
        <w:rPr>
          <w:rtl/>
        </w:rPr>
      </w:pPr>
      <w:r>
        <w:rPr>
          <w:rtl/>
        </w:rPr>
        <w:br/>
      </w:r>
    </w:p>
    <w:tbl>
      <w:tblPr>
        <w:bidiVisual/>
        <w:tblW w:w="8363" w:type="dxa"/>
        <w:tblLook w:val="01E0" w:firstRow="1" w:lastRow="1" w:firstColumn="1" w:lastColumn="1" w:noHBand="0" w:noVBand="0"/>
      </w:tblPr>
      <w:tblGrid>
        <w:gridCol w:w="2783"/>
        <w:gridCol w:w="2797"/>
        <w:gridCol w:w="2783"/>
      </w:tblGrid>
      <w:tr w:rsidR="00DA5F06" w:rsidTr="00760584">
        <w:tc>
          <w:tcPr>
            <w:tcW w:w="2783" w:type="dxa"/>
            <w:shd w:val="clear" w:color="auto" w:fill="auto"/>
          </w:tcPr>
          <w:p w:rsidR="00DA5F06" w:rsidRDefault="00DA5F06" w:rsidP="00760584">
            <w:pPr>
              <w:pStyle w:val="Ruller41"/>
              <w:spacing w:line="240" w:lineRule="auto"/>
              <w:rPr>
                <w:rtl/>
              </w:rPr>
            </w:pPr>
          </w:p>
        </w:tc>
        <w:tc>
          <w:tcPr>
            <w:tcW w:w="2797" w:type="dxa"/>
            <w:shd w:val="clear" w:color="auto" w:fill="auto"/>
          </w:tcPr>
          <w:p w:rsidR="00DA5F06" w:rsidRDefault="00DA5F06" w:rsidP="00760584">
            <w:pPr>
              <w:pStyle w:val="Ruller41"/>
              <w:spacing w:line="240" w:lineRule="auto"/>
              <w:jc w:val="center"/>
              <w:rPr>
                <w:rtl/>
              </w:rPr>
            </w:pPr>
          </w:p>
        </w:tc>
        <w:tc>
          <w:tcPr>
            <w:tcW w:w="2783" w:type="dxa"/>
            <w:shd w:val="clear" w:color="auto" w:fill="auto"/>
          </w:tcPr>
          <w:p w:rsidR="00DA5F06" w:rsidRDefault="00DA5F06" w:rsidP="00760584">
            <w:pPr>
              <w:pStyle w:val="Ruller41"/>
              <w:spacing w:line="240" w:lineRule="auto"/>
              <w:jc w:val="center"/>
              <w:rPr>
                <w:rtl/>
              </w:rPr>
            </w:pPr>
            <w:r>
              <w:rPr>
                <w:rFonts w:hint="cs"/>
                <w:rtl/>
              </w:rPr>
              <w:t xml:space="preserve">ש ו פ ט </w:t>
            </w:r>
          </w:p>
        </w:tc>
      </w:tr>
    </w:tbl>
    <w:p w:rsidR="002C29DD" w:rsidRDefault="002C29DD" w:rsidP="00DA5F06">
      <w:pPr>
        <w:pStyle w:val="Ruller41"/>
        <w:rPr>
          <w:rtl/>
        </w:rPr>
      </w:pPr>
    </w:p>
    <w:p w:rsidR="009B68AF" w:rsidRDefault="009B68AF" w:rsidP="00DA5F06">
      <w:pPr>
        <w:pStyle w:val="Ruller41"/>
        <w:rPr>
          <w:rtl/>
        </w:rPr>
      </w:pPr>
    </w:p>
    <w:p w:rsidR="00415632" w:rsidRPr="00503A3E" w:rsidRDefault="00415632" w:rsidP="00415632">
      <w:pPr>
        <w:pStyle w:val="BODYVERDICT"/>
        <w:rPr>
          <w:rFonts w:cs="Miriam"/>
          <w:sz w:val="24"/>
          <w:szCs w:val="24"/>
          <w:u w:val="single"/>
          <w:rtl/>
        </w:rPr>
      </w:pPr>
      <w:r>
        <w:rPr>
          <w:rFonts w:cs="Miriam"/>
          <w:sz w:val="24"/>
          <w:szCs w:val="24"/>
          <w:u w:val="single"/>
          <w:rtl/>
        </w:rPr>
        <w:t>השופט י' עמית</w:t>
      </w:r>
      <w:r w:rsidRPr="007B365E">
        <w:rPr>
          <w:rFonts w:cs="Miriam"/>
          <w:sz w:val="24"/>
          <w:szCs w:val="24"/>
          <w:rtl/>
        </w:rPr>
        <w:t>:</w:t>
      </w:r>
    </w:p>
    <w:p w:rsidR="00415632" w:rsidRDefault="00415632" w:rsidP="00415632">
      <w:pPr>
        <w:pStyle w:val="Ruller41"/>
        <w:rPr>
          <w:rtl/>
        </w:rPr>
      </w:pPr>
    </w:p>
    <w:p w:rsidR="00415632" w:rsidRDefault="00415632" w:rsidP="00415632">
      <w:pPr>
        <w:pStyle w:val="Ruller41"/>
        <w:rPr>
          <w:rtl/>
        </w:rPr>
      </w:pPr>
      <w:r>
        <w:rPr>
          <w:rtl/>
        </w:rPr>
        <w:tab/>
      </w:r>
      <w:r>
        <w:rPr>
          <w:rFonts w:hint="cs"/>
          <w:rtl/>
        </w:rPr>
        <w:t xml:space="preserve">אני מצטרף בהסכמה לחוות דעתה של חברתי הנשיאה השופטת </w:t>
      </w:r>
      <w:r w:rsidRPr="0028740D">
        <w:rPr>
          <w:rFonts w:ascii="Century" w:hAnsi="Century" w:cs="Miriam" w:hint="cs"/>
          <w:b/>
          <w:spacing w:val="0"/>
          <w:szCs w:val="24"/>
          <w:rtl/>
        </w:rPr>
        <w:t>א' חיות</w:t>
      </w:r>
      <w:r>
        <w:rPr>
          <w:rFonts w:hint="cs"/>
          <w:rtl/>
        </w:rPr>
        <w:t xml:space="preserve">, על כל חלקיה וטעמיה. את דעתי הבעתי בהליך הקודם נשוא דיון נוסף זה, ועל כן אסתפק </w:t>
      </w:r>
      <w:r>
        <w:rPr>
          <w:rFonts w:hint="cs"/>
          <w:rtl/>
        </w:rPr>
        <w:lastRenderedPageBreak/>
        <w:t xml:space="preserve">במספר הערות בהתייחס לחוות הדעת של חברי ההרכב החולקים על דעת הרוב בדיון נוסף זה.  </w:t>
      </w:r>
    </w:p>
    <w:p w:rsidR="00415632" w:rsidRDefault="00415632" w:rsidP="00415632">
      <w:pPr>
        <w:pStyle w:val="Ruller41"/>
        <w:rPr>
          <w:rtl/>
        </w:rPr>
      </w:pPr>
      <w:r>
        <w:rPr>
          <w:rFonts w:hint="cs"/>
          <w:rtl/>
        </w:rPr>
        <w:t xml:space="preserve"> </w:t>
      </w:r>
    </w:p>
    <w:p w:rsidR="00415632" w:rsidRDefault="00415632" w:rsidP="00415632">
      <w:pPr>
        <w:pStyle w:val="Ruller41"/>
        <w:rPr>
          <w:rtl/>
        </w:rPr>
      </w:pPr>
      <w:r>
        <w:rPr>
          <w:rFonts w:hint="cs"/>
          <w:rtl/>
        </w:rPr>
        <w:t>1.</w:t>
      </w:r>
      <w:r>
        <w:rPr>
          <w:rFonts w:hint="cs"/>
          <w:rtl/>
        </w:rPr>
        <w:tab/>
        <w:t>גם הלכות מושרשות ניתן לתק</w:t>
      </w:r>
      <w:r>
        <w:rPr>
          <w:rFonts w:ascii="FrankRuehl" w:hAnsi="FrankRuehl"/>
          <w:rtl/>
        </w:rPr>
        <w:t>ֵ</w:t>
      </w:r>
      <w:r>
        <w:rPr>
          <w:rFonts w:hint="cs"/>
          <w:rtl/>
        </w:rPr>
        <w:t xml:space="preserve">ף מעת לעת מקום שבו מנסים לערער ולהרהר אחריהן או כאשר נוצרת אי בהירות לגבי תוקפן. לדעת חברי, השופט </w:t>
      </w:r>
      <w:r w:rsidRPr="00203094">
        <w:rPr>
          <w:rFonts w:ascii="Century" w:hAnsi="Century" w:cs="Miriam" w:hint="cs"/>
          <w:b/>
          <w:spacing w:val="0"/>
          <w:szCs w:val="24"/>
          <w:rtl/>
        </w:rPr>
        <w:t>נ' סולברג</w:t>
      </w:r>
      <w:r>
        <w:rPr>
          <w:rFonts w:hint="cs"/>
          <w:rtl/>
        </w:rPr>
        <w:t xml:space="preserve">, אין </w:t>
      </w:r>
      <w:r w:rsidRPr="005D667E">
        <w:rPr>
          <w:rFonts w:ascii="Century" w:hAnsi="Century"/>
          <w:rtl/>
        </w:rPr>
        <w:t xml:space="preserve">עילה לקיים דיון נוסף, משום שלא נפסקה הלכה חדשה בפסק הדין נשוא הדיון הנוסף. </w:t>
      </w:r>
      <w:r>
        <w:rPr>
          <w:rFonts w:hint="cs"/>
          <w:rtl/>
        </w:rPr>
        <w:t xml:space="preserve">חברי השופט </w:t>
      </w:r>
      <w:r w:rsidRPr="00F87637">
        <w:rPr>
          <w:rFonts w:ascii="Century" w:hAnsi="Century" w:cs="Miriam" w:hint="cs"/>
          <w:b/>
          <w:spacing w:val="0"/>
          <w:szCs w:val="24"/>
          <w:rtl/>
        </w:rPr>
        <w:t>ד' מינץ</w:t>
      </w:r>
      <w:r>
        <w:rPr>
          <w:rFonts w:hint="cs"/>
          <w:rtl/>
        </w:rPr>
        <w:t xml:space="preserve"> שותף לדעה לפיה אין "נענשים" על בגידה למפרע. כך עולה גם מפסק דינו של חברי, השופט </w:t>
      </w:r>
      <w:r w:rsidRPr="00313561">
        <w:rPr>
          <w:rFonts w:ascii="Century" w:hAnsi="Century" w:cs="Miriam" w:hint="cs"/>
          <w:b/>
          <w:spacing w:val="0"/>
          <w:szCs w:val="24"/>
          <w:rtl/>
        </w:rPr>
        <w:t>א' שטיין</w:t>
      </w:r>
      <w:r>
        <w:rPr>
          <w:rFonts w:hint="cs"/>
          <w:rtl/>
        </w:rPr>
        <w:t xml:space="preserve">, בציינו שאין מחלוקת "כי לא קיים שום קשר משפטי בין בגידה לזכויות קניין" (סעיף 11 לפסק דינו) ו"העדר זיקה משפטית בין זכויותיה </w:t>
      </w:r>
      <w:proofErr w:type="spellStart"/>
      <w:r>
        <w:rPr>
          <w:rFonts w:hint="cs"/>
          <w:rtl/>
        </w:rPr>
        <w:t>הרכושיות</w:t>
      </w:r>
      <w:proofErr w:type="spellEnd"/>
      <w:r>
        <w:rPr>
          <w:rFonts w:hint="cs"/>
          <w:rtl/>
        </w:rPr>
        <w:t xml:space="preserve"> של בת זוג לבין נאמנותה המינית לבן זוגה" (סעיף 44 לפסק דינו). הנה כי כן, דומה כי בנקודה זו קיימת תמימות דעים מלאה בקרב </w:t>
      </w:r>
      <w:r w:rsidRPr="00BA3A35">
        <w:rPr>
          <w:rFonts w:ascii="Century" w:hAnsi="Century" w:cs="Miriam" w:hint="cs"/>
          <w:b/>
          <w:spacing w:val="0"/>
          <w:szCs w:val="24"/>
          <w:rtl/>
        </w:rPr>
        <w:t>כל</w:t>
      </w:r>
      <w:r>
        <w:rPr>
          <w:rFonts w:hint="cs"/>
          <w:rtl/>
        </w:rPr>
        <w:t xml:space="preserve"> תשעת חברי ההרכב, ואם בכך יצא שכרו של הדיון הנוסף </w:t>
      </w:r>
      <w:r>
        <w:rPr>
          <w:rtl/>
        </w:rPr>
        <w:t>–</w:t>
      </w:r>
      <w:r>
        <w:rPr>
          <w:rFonts w:hint="cs"/>
          <w:rtl/>
        </w:rPr>
        <w:t xml:space="preserve"> דיינו. </w:t>
      </w:r>
    </w:p>
    <w:p w:rsidR="00415632" w:rsidRDefault="00415632" w:rsidP="00415632">
      <w:pPr>
        <w:pStyle w:val="Ruller41"/>
        <w:rPr>
          <w:rtl/>
        </w:rPr>
      </w:pPr>
    </w:p>
    <w:p w:rsidR="00415632" w:rsidRDefault="00415632" w:rsidP="00415632">
      <w:pPr>
        <w:pStyle w:val="Ruller41"/>
        <w:rPr>
          <w:rtl/>
        </w:rPr>
      </w:pPr>
      <w:r>
        <w:rPr>
          <w:rtl/>
        </w:rPr>
        <w:tab/>
      </w:r>
      <w:r>
        <w:rPr>
          <w:rFonts w:hint="cs"/>
          <w:rtl/>
        </w:rPr>
        <w:t xml:space="preserve">גם בעניין השיתוף הספציפי, נראה כי שוררת תמימות דעים בקרב חברי ההרכב למעט חברי, השופט </w:t>
      </w:r>
      <w:r w:rsidRPr="00707992">
        <w:rPr>
          <w:rFonts w:ascii="Century" w:hAnsi="Century" w:cs="Miriam" w:hint="cs"/>
          <w:b/>
          <w:spacing w:val="0"/>
          <w:szCs w:val="24"/>
          <w:rtl/>
        </w:rPr>
        <w:t>א' שטיין</w:t>
      </w:r>
      <w:r>
        <w:rPr>
          <w:rFonts w:hint="cs"/>
          <w:rtl/>
        </w:rPr>
        <w:t xml:space="preserve">, וגם כאן יצא הציבור נשכר מהדיון הנוסף שהבהיר ותחם את גבולותיה של ההלכה בנושא זה.  </w:t>
      </w:r>
    </w:p>
    <w:p w:rsidR="00415632" w:rsidRDefault="00415632" w:rsidP="00415632">
      <w:pPr>
        <w:pStyle w:val="Ruller41"/>
        <w:rPr>
          <w:rtl/>
        </w:rPr>
      </w:pPr>
    </w:p>
    <w:p w:rsidR="00415632" w:rsidRDefault="00415632" w:rsidP="00415632">
      <w:pPr>
        <w:pStyle w:val="Ruller41"/>
        <w:rPr>
          <w:rtl/>
        </w:rPr>
      </w:pPr>
      <w:r>
        <w:rPr>
          <w:rFonts w:hint="cs"/>
          <w:rtl/>
        </w:rPr>
        <w:t>2.</w:t>
      </w:r>
      <w:r>
        <w:rPr>
          <w:rFonts w:hint="cs"/>
          <w:rtl/>
        </w:rPr>
        <w:tab/>
        <w:t xml:space="preserve">חברתי הנשיאה פירטה את כל הראיות והאינדיקציות המעידות על כוונת השיתוף הספציפי בין הצדדים שלפנינו, ואיני רואה לחזור על הדברים. גם בית הדין האזורי הגיע למסקנה כי הוכח שיתוף ספציפי בדירת בני הזוג. את התערבותו של בית הדין הרבני הגדול בממצאי עובדה של בית הדין האזורי (כגון לגבי היקף השיפוץ בדירה) לא ניתן להסביר אלא בהשפעתה של ה"בגידה" ומכאן ההצדקה להתערבות בפסק דינו של בית הדין. גם מלומדי משפט הגיעו למסקנה כי פסק דינו של בית הדין הגדול לא התיימר לקבוע ממצא עובדתי נקודתי, אלא מדובר בפסיקה הקובעת ברירת מחדל גורפת, שלפיה הענקת רכוש של בן-זוג לרעהו, מותנית בכך שמקבל המתנה ישמור על נאמנות מינית כלפי בן-זוגו עד לסיום הנישואין (שחר ליפשיץ "שיפוט מוסרי של התנהגות מינית בנישואים: אוטונומיה ו'משילות' בעקבות בג"ץ 4602/13" </w:t>
      </w:r>
      <w:r w:rsidRPr="00722CE6">
        <w:rPr>
          <w:rFonts w:ascii="Century" w:hAnsi="Century" w:cs="Miriam" w:hint="cs"/>
          <w:b/>
          <w:spacing w:val="0"/>
          <w:szCs w:val="24"/>
          <w:rtl/>
        </w:rPr>
        <w:t>עיוני משפט</w:t>
      </w:r>
      <w:r w:rsidRPr="00722CE6">
        <w:rPr>
          <w:rFonts w:hint="cs"/>
          <w:rtl/>
        </w:rPr>
        <w:t xml:space="preserve"> </w:t>
      </w:r>
      <w:r>
        <w:rPr>
          <w:rFonts w:hint="cs"/>
          <w:rtl/>
        </w:rPr>
        <w:t xml:space="preserve">מג 5, 14, 28-17, 38-37 (2020) (להלן: </w:t>
      </w:r>
      <w:r w:rsidRPr="005D1F0F">
        <w:rPr>
          <w:rFonts w:ascii="Century" w:hAnsi="Century" w:cs="Miriam" w:hint="cs"/>
          <w:b/>
          <w:spacing w:val="0"/>
          <w:szCs w:val="24"/>
          <w:rtl/>
        </w:rPr>
        <w:t>ליפשיץ</w:t>
      </w:r>
      <w:r>
        <w:rPr>
          <w:rFonts w:hint="cs"/>
          <w:rtl/>
        </w:rPr>
        <w:t xml:space="preserve">).  </w:t>
      </w:r>
    </w:p>
    <w:p w:rsidR="00415632" w:rsidRDefault="00415632" w:rsidP="00415632">
      <w:pPr>
        <w:pStyle w:val="Ruller41"/>
        <w:rPr>
          <w:rtl/>
        </w:rPr>
      </w:pPr>
    </w:p>
    <w:p w:rsidR="00415632" w:rsidRDefault="00415632" w:rsidP="00415632">
      <w:pPr>
        <w:pStyle w:val="Ruller41"/>
        <w:rPr>
          <w:rtl/>
        </w:rPr>
      </w:pPr>
      <w:r>
        <w:rPr>
          <w:rFonts w:hint="cs"/>
          <w:rtl/>
        </w:rPr>
        <w:t>3.</w:t>
      </w:r>
      <w:r>
        <w:rPr>
          <w:rFonts w:hint="cs"/>
          <w:rtl/>
        </w:rPr>
        <w:tab/>
        <w:t xml:space="preserve">איני סבור שהגישה שבה מצדדים חברי ההרכב שהצטרפו לדעתה של הנשיאה, מגלה "חוסר ניטרליות" כלפי דפוסים שונים של חיי נישואין וגירושין, כנטען על ידי חברי השופט </w:t>
      </w:r>
      <w:r w:rsidRPr="00976D24">
        <w:rPr>
          <w:rFonts w:ascii="Century" w:hAnsi="Century" w:cs="Miriam" w:hint="cs"/>
          <w:b/>
          <w:spacing w:val="0"/>
          <w:szCs w:val="24"/>
          <w:rtl/>
        </w:rPr>
        <w:t>א' שטיין</w:t>
      </w:r>
      <w:r>
        <w:rPr>
          <w:rFonts w:hint="cs"/>
          <w:rtl/>
        </w:rPr>
        <w:t>. אני גם מתקשה לקבל את דברי חברי, המייחס לרוב חברי ההרכב פגיעה או התערבות בחירות האישית, בחופש החוזה, בקדושת הקניין הפרטי ובחופש הבחירה.</w:t>
      </w:r>
    </w:p>
    <w:p w:rsidR="00415632" w:rsidRDefault="00415632" w:rsidP="00415632">
      <w:pPr>
        <w:pStyle w:val="Ruller41"/>
        <w:rPr>
          <w:rtl/>
        </w:rPr>
      </w:pPr>
    </w:p>
    <w:p w:rsidR="00415632" w:rsidRDefault="00415632" w:rsidP="00415632">
      <w:pPr>
        <w:pStyle w:val="Ruller41"/>
        <w:rPr>
          <w:rtl/>
        </w:rPr>
      </w:pPr>
      <w:r>
        <w:rPr>
          <w:rtl/>
        </w:rPr>
        <w:tab/>
      </w:r>
      <w:r>
        <w:rPr>
          <w:rFonts w:hint="cs"/>
          <w:rtl/>
        </w:rPr>
        <w:t xml:space="preserve">לטעמי דווקא "הניטרליות" של חברי, טומנת בחובה סכנות ופוטנציאל לתוצאות לא ניטרליות קשות, כמו חשש לזליגה של שיקולי אשמה מינית ביחס לנכסים בני-איזון במסגרת איזון המשאבים (וראו </w:t>
      </w:r>
      <w:r w:rsidRPr="005D1F0F">
        <w:rPr>
          <w:rFonts w:ascii="Century" w:hAnsi="Century" w:cs="Miriam" w:hint="cs"/>
          <w:b/>
          <w:spacing w:val="0"/>
          <w:szCs w:val="24"/>
          <w:rtl/>
        </w:rPr>
        <w:t>ליפשיץ</w:t>
      </w:r>
      <w:r>
        <w:rPr>
          <w:rFonts w:hint="cs"/>
          <w:rtl/>
        </w:rPr>
        <w:t xml:space="preserve"> בעמ' 45-40). גישתו של חברי, כי מכוח חופש החוזים יש לבחון את תוכן ההסכמה </w:t>
      </w:r>
      <w:r w:rsidRPr="002C519C">
        <w:rPr>
          <w:rFonts w:ascii="Century" w:hAnsi="Century" w:cs="Miriam" w:hint="cs"/>
          <w:b/>
          <w:spacing w:val="0"/>
          <w:szCs w:val="24"/>
          <w:rtl/>
        </w:rPr>
        <w:t>מכללא</w:t>
      </w:r>
      <w:r>
        <w:rPr>
          <w:rFonts w:hint="cs"/>
          <w:rtl/>
        </w:rPr>
        <w:t xml:space="preserve"> שבהתקיימותה הסכים בן הזוג לחלוק את נכסו, מכניסה דרך השער הראשי את נושא הנאמנות המינית הישר אל תוך סכסוכי הרכוש בין בני זוג. למעשה, קשה לתאר סיטואציה שבה ניתן לייחס רטרואקטיבית, לאחר מעשה הבגידה, </w:t>
      </w:r>
      <w:r w:rsidRPr="0028740D">
        <w:rPr>
          <w:rFonts w:ascii="Century" w:hAnsi="Century" w:cs="Miriam" w:hint="cs"/>
          <w:b/>
          <w:spacing w:val="0"/>
          <w:szCs w:val="24"/>
          <w:rtl/>
        </w:rPr>
        <w:t>תנאי מפסיק</w:t>
      </w:r>
      <w:r w:rsidRPr="0028740D">
        <w:rPr>
          <w:rFonts w:hint="cs"/>
          <w:rtl/>
        </w:rPr>
        <w:t xml:space="preserve"> </w:t>
      </w:r>
      <w:r w:rsidRPr="00207636">
        <w:rPr>
          <w:rFonts w:ascii="Century" w:hAnsi="Century" w:cs="Miriam" w:hint="cs"/>
          <w:b/>
          <w:spacing w:val="0"/>
          <w:szCs w:val="24"/>
          <w:rtl/>
        </w:rPr>
        <w:t>מכללא</w:t>
      </w:r>
      <w:r>
        <w:rPr>
          <w:rFonts w:hint="cs"/>
          <w:rtl/>
        </w:rPr>
        <w:t xml:space="preserve"> לפיו הסכימו הצדדים לשלול במקרה כזה את השיתוף הספציפי. כמקרים חריגים ניתן להצביע על בן זוג שמנהל "חיים כפולים" ללא ידיעת בן זוגו או בגידה ממושכת כחלק מדפוס של שקרים וגניבות כספיות (</w:t>
      </w:r>
      <w:r w:rsidRPr="0028740D">
        <w:rPr>
          <w:rFonts w:ascii="Century" w:hAnsi="Century" w:cs="Miriam" w:hint="cs"/>
          <w:b/>
          <w:spacing w:val="0"/>
          <w:szCs w:val="24"/>
          <w:rtl/>
        </w:rPr>
        <w:t>ליפשיץ</w:t>
      </w:r>
      <w:r>
        <w:rPr>
          <w:rFonts w:hint="cs"/>
          <w:rtl/>
        </w:rPr>
        <w:t xml:space="preserve"> עמ' 88 </w:t>
      </w:r>
      <w:proofErr w:type="spellStart"/>
      <w:r>
        <w:rPr>
          <w:rFonts w:hint="cs"/>
          <w:rtl/>
        </w:rPr>
        <w:t>ה"ש</w:t>
      </w:r>
      <w:proofErr w:type="spellEnd"/>
      <w:r>
        <w:rPr>
          <w:rFonts w:hint="cs"/>
          <w:rtl/>
        </w:rPr>
        <w:t xml:space="preserve"> 284), ולמקרים מעין אלה התכוונתי בפסק דיני בהליך הקודם.  </w:t>
      </w:r>
    </w:p>
    <w:p w:rsidR="00415632" w:rsidRDefault="00415632" w:rsidP="00415632">
      <w:pPr>
        <w:pStyle w:val="Ruller41"/>
        <w:rPr>
          <w:rtl/>
        </w:rPr>
      </w:pPr>
    </w:p>
    <w:p w:rsidR="00415632" w:rsidRDefault="00415632" w:rsidP="00415632">
      <w:pPr>
        <w:pStyle w:val="Ruller41"/>
        <w:rPr>
          <w:rtl/>
        </w:rPr>
      </w:pPr>
      <w:r>
        <w:rPr>
          <w:rFonts w:hint="cs"/>
          <w:rtl/>
        </w:rPr>
        <w:t>4.</w:t>
      </w:r>
      <w:r>
        <w:rPr>
          <w:rtl/>
        </w:rPr>
        <w:tab/>
      </w:r>
      <w:r>
        <w:rPr>
          <w:rFonts w:hint="cs"/>
          <w:rtl/>
        </w:rPr>
        <w:t xml:space="preserve">"בירור </w:t>
      </w:r>
      <w:r w:rsidRPr="00976D24">
        <w:rPr>
          <w:rFonts w:ascii="Century" w:hAnsi="Century" w:hint="cs"/>
          <w:rtl/>
        </w:rPr>
        <w:t xml:space="preserve">עובדתי </w:t>
      </w:r>
      <w:r>
        <w:rPr>
          <w:rFonts w:hint="cs"/>
          <w:rtl/>
        </w:rPr>
        <w:t xml:space="preserve">של ההסכמות שבני הזוג גיבשו ביניהם, במפורש או </w:t>
      </w:r>
      <w:r w:rsidRPr="00976D24">
        <w:rPr>
          <w:rFonts w:ascii="Century" w:hAnsi="Century" w:cs="Miriam" w:hint="cs"/>
          <w:b/>
          <w:spacing w:val="0"/>
          <w:szCs w:val="24"/>
          <w:rtl/>
        </w:rPr>
        <w:t>במשתמע</w:t>
      </w:r>
      <w:r>
        <w:rPr>
          <w:rFonts w:hint="cs"/>
          <w:rtl/>
        </w:rPr>
        <w:t xml:space="preserve">" כדברי חברי השופט </w:t>
      </w:r>
      <w:r w:rsidRPr="000877AA">
        <w:rPr>
          <w:rFonts w:ascii="Century" w:hAnsi="Century" w:cs="Miriam" w:hint="cs"/>
          <w:b/>
          <w:spacing w:val="0"/>
          <w:szCs w:val="24"/>
          <w:rtl/>
        </w:rPr>
        <w:t>א' שטיין</w:t>
      </w:r>
      <w:r w:rsidRPr="00D05E49">
        <w:rPr>
          <w:rFonts w:hint="cs"/>
          <w:rtl/>
        </w:rPr>
        <w:t xml:space="preserve"> </w:t>
      </w:r>
      <w:r>
        <w:rPr>
          <w:rFonts w:hint="cs"/>
          <w:rtl/>
        </w:rPr>
        <w:t xml:space="preserve">(בסיפא לפסקה 19 לפסק דינו, הדגשה הוספה </w:t>
      </w:r>
      <w:r>
        <w:rPr>
          <w:rtl/>
        </w:rPr>
        <w:t>–</w:t>
      </w:r>
      <w:r>
        <w:rPr>
          <w:rFonts w:hint="cs"/>
          <w:rtl/>
        </w:rPr>
        <w:t xml:space="preserve"> </w:t>
      </w:r>
      <w:proofErr w:type="spellStart"/>
      <w:r>
        <w:rPr>
          <w:rFonts w:hint="cs"/>
          <w:rtl/>
        </w:rPr>
        <w:t>י"ע</w:t>
      </w:r>
      <w:proofErr w:type="spellEnd"/>
      <w:r>
        <w:rPr>
          <w:rFonts w:hint="cs"/>
          <w:rtl/>
        </w:rPr>
        <w:t xml:space="preserve">) הוא פתח להתעסקות בשיקולי אשם מיניים על כל </w:t>
      </w:r>
      <w:proofErr w:type="spellStart"/>
      <w:r>
        <w:rPr>
          <w:rFonts w:hint="cs"/>
          <w:rtl/>
        </w:rPr>
        <w:t>ה"מריעין</w:t>
      </w:r>
      <w:proofErr w:type="spellEnd"/>
      <w:r>
        <w:rPr>
          <w:rFonts w:hint="cs"/>
          <w:rtl/>
        </w:rPr>
        <w:t xml:space="preserve"> </w:t>
      </w:r>
      <w:proofErr w:type="spellStart"/>
      <w:r>
        <w:rPr>
          <w:rFonts w:hint="cs"/>
          <w:rtl/>
        </w:rPr>
        <w:t>בישין</w:t>
      </w:r>
      <w:proofErr w:type="spellEnd"/>
      <w:r>
        <w:rPr>
          <w:rFonts w:hint="cs"/>
          <w:rtl/>
        </w:rPr>
        <w:t xml:space="preserve">" שרצוי להתרחק מהם במסגרת סכסוך רכושי בין בני זוג (והשוו לע"א 8489/12 </w:t>
      </w:r>
      <w:r w:rsidRPr="00E667F7">
        <w:rPr>
          <w:rFonts w:ascii="Century" w:hAnsi="Century" w:cs="Miriam" w:hint="cs"/>
          <w:b/>
          <w:spacing w:val="0"/>
          <w:szCs w:val="24"/>
          <w:rtl/>
        </w:rPr>
        <w:t>פלוני נ' פלוני</w:t>
      </w:r>
      <w:r>
        <w:rPr>
          <w:rFonts w:hint="cs"/>
          <w:rtl/>
        </w:rPr>
        <w:t xml:space="preserve">, פסקה 8 לפסק דיני (29.10.2013); </w:t>
      </w:r>
      <w:r w:rsidRPr="00C822E1">
        <w:rPr>
          <w:rFonts w:ascii="Century" w:hAnsi="Century" w:cs="Miriam" w:hint="cs"/>
          <w:b/>
          <w:spacing w:val="0"/>
          <w:szCs w:val="24"/>
          <w:rtl/>
        </w:rPr>
        <w:t>ליפשיץ</w:t>
      </w:r>
      <w:r>
        <w:rPr>
          <w:rFonts w:hint="cs"/>
          <w:rtl/>
        </w:rPr>
        <w:t xml:space="preserve"> בעמ' 75-74 שם עומד המחבר על טיעון הפולשנות). מכאן הסכנה-רבתי שאני רואה בדברי חברי שסבור כי "אין זה מופרך בעיניי שבן הזוג הנבגד ירצה לחזור בו, בעקבות הבגידה, </w:t>
      </w:r>
      <w:proofErr w:type="spellStart"/>
      <w:r>
        <w:rPr>
          <w:rFonts w:hint="cs"/>
          <w:rtl/>
        </w:rPr>
        <w:t>מתוכניתו</w:t>
      </w:r>
      <w:proofErr w:type="spellEnd"/>
      <w:r>
        <w:rPr>
          <w:rFonts w:hint="cs"/>
          <w:rtl/>
        </w:rPr>
        <w:t xml:space="preserve"> לחלוק את נכסיו עם בת זוגו" (סעיף 20 סיפא לפסק דינו).  עמדתי על כך בפסק דיני בהליך הקודם (שם, פסקה 18ו):</w:t>
      </w:r>
    </w:p>
    <w:p w:rsidR="00415632" w:rsidRDefault="00415632" w:rsidP="00415632">
      <w:pPr>
        <w:pStyle w:val="Ruller41"/>
        <w:rPr>
          <w:rtl/>
        </w:rPr>
      </w:pPr>
    </w:p>
    <w:p w:rsidR="00415632" w:rsidRDefault="00415632" w:rsidP="00415632">
      <w:pPr>
        <w:pStyle w:val="Ruller5"/>
        <w:rPr>
          <w:rtl/>
        </w:rPr>
      </w:pPr>
      <w:r>
        <w:rPr>
          <w:rFonts w:hint="cs"/>
          <w:rtl/>
        </w:rPr>
        <w:t>"לא ניתן לבצע 'הנדסה חוזרת' ולקבוע כי משעה שבן הזוג ביצע אקט של בגידה, אזי עלינו להניח כי בן הזוג 'הנבגד' מלכתחילה לא התכוון לחלוק עמו את רכושו. קביעה שכזו לוקה בהנחת המבוקש".</w:t>
      </w:r>
    </w:p>
    <w:p w:rsidR="00415632" w:rsidRDefault="00415632" w:rsidP="00415632">
      <w:pPr>
        <w:pStyle w:val="Ruller5"/>
        <w:rPr>
          <w:rtl/>
        </w:rPr>
      </w:pPr>
    </w:p>
    <w:p w:rsidR="00415632" w:rsidRDefault="00415632" w:rsidP="00415632">
      <w:pPr>
        <w:pStyle w:val="Ruller41"/>
        <w:rPr>
          <w:rtl/>
        </w:rPr>
      </w:pPr>
    </w:p>
    <w:p w:rsidR="00415632" w:rsidRDefault="00415632" w:rsidP="00415632">
      <w:pPr>
        <w:pStyle w:val="Ruller41"/>
        <w:rPr>
          <w:rtl/>
        </w:rPr>
      </w:pPr>
      <w:r>
        <w:rPr>
          <w:rtl/>
        </w:rPr>
        <w:tab/>
      </w:r>
      <w:r>
        <w:rPr>
          <w:rFonts w:hint="cs"/>
          <w:rtl/>
        </w:rPr>
        <w:t xml:space="preserve">למעשה, גם חברי מסכים כי טענות בדבר בגידה ואשמה "תחזורנה למחוזותינו בקול תרועה רמה ותעשנה שמות" וכי חשש זה "אכן עתיד להתממש בלא מעט מקרים אם דעת הרוב בהליך הקודם תישאר על כנה" (סעיף 21 סיפא ו-22 רישא לפסק דינו). </w:t>
      </w:r>
    </w:p>
    <w:p w:rsidR="00415632" w:rsidRDefault="00415632" w:rsidP="00415632">
      <w:pPr>
        <w:pStyle w:val="Ruller41"/>
        <w:rPr>
          <w:rtl/>
        </w:rPr>
      </w:pPr>
    </w:p>
    <w:p w:rsidR="00415632" w:rsidRDefault="00415632" w:rsidP="00415632">
      <w:pPr>
        <w:pStyle w:val="Ruller41"/>
        <w:rPr>
          <w:rtl/>
        </w:rPr>
      </w:pPr>
      <w:r>
        <w:rPr>
          <w:rtl/>
        </w:rPr>
        <w:tab/>
      </w:r>
      <w:r>
        <w:rPr>
          <w:rFonts w:hint="cs"/>
          <w:rtl/>
        </w:rPr>
        <w:t xml:space="preserve">ההכרה </w:t>
      </w:r>
      <w:r w:rsidRPr="0028740D">
        <w:rPr>
          <w:rFonts w:ascii="Century" w:hAnsi="Century" w:cs="Miriam" w:hint="cs"/>
          <w:b/>
          <w:spacing w:val="0"/>
          <w:szCs w:val="24"/>
          <w:rtl/>
        </w:rPr>
        <w:t>בתנאי מפסיק</w:t>
      </w:r>
      <w:r w:rsidRPr="0028740D">
        <w:rPr>
          <w:rFonts w:hint="cs"/>
          <w:rtl/>
        </w:rPr>
        <w:t xml:space="preserve"> </w:t>
      </w:r>
      <w:r w:rsidRPr="00830A7E">
        <w:rPr>
          <w:rFonts w:ascii="Century" w:hAnsi="Century" w:cs="Miriam" w:hint="cs"/>
          <w:b/>
          <w:spacing w:val="0"/>
          <w:szCs w:val="24"/>
          <w:rtl/>
        </w:rPr>
        <w:t>מכללא</w:t>
      </w:r>
      <w:r>
        <w:rPr>
          <w:rFonts w:hint="cs"/>
          <w:rtl/>
        </w:rPr>
        <w:t xml:space="preserve"> של נאמנות מינית, ככל שהדבר לא נעשה במפורש </w:t>
      </w:r>
      <w:r w:rsidRPr="008E470E">
        <w:rPr>
          <w:rFonts w:hint="cs"/>
          <w:rtl/>
        </w:rPr>
        <w:t>או</w:t>
      </w:r>
      <w:r w:rsidRPr="000877AA">
        <w:rPr>
          <w:rFonts w:hint="cs"/>
          <w:rtl/>
        </w:rPr>
        <w:t xml:space="preserve"> </w:t>
      </w:r>
      <w:r w:rsidRPr="00DD1480">
        <w:rPr>
          <w:rFonts w:hint="cs"/>
          <w:rtl/>
        </w:rPr>
        <w:t>בכתב</w:t>
      </w:r>
      <w:r>
        <w:rPr>
          <w:rFonts w:hint="cs"/>
          <w:rtl/>
        </w:rPr>
        <w:t xml:space="preserve">, אינה מעשית, באשר בית המשפט אינו בוחן כליות ולב. ניסיון לזהות בדיעבד תנאי מכללא מעין זה לא יסכון והוא גם מסוכן מבחינת השלכותיו. למעשה, אפילו בנוגע </w:t>
      </w:r>
      <w:r>
        <w:rPr>
          <w:rFonts w:hint="cs"/>
          <w:rtl/>
        </w:rPr>
        <w:lastRenderedPageBreak/>
        <w:t xml:space="preserve">לבני הזוג במקרה שלפנינו, לא מצאתי בפסק דינו של חברי כל טענה או אינדיקציה קונקרטית לכך שביחסים ביניהם התקיים תנאי מכללא מעין זה. </w:t>
      </w:r>
    </w:p>
    <w:p w:rsidR="00415632" w:rsidRDefault="00415632" w:rsidP="00415632">
      <w:pPr>
        <w:pStyle w:val="Ruller41"/>
        <w:rPr>
          <w:rtl/>
        </w:rPr>
      </w:pPr>
    </w:p>
    <w:p w:rsidR="00415632" w:rsidRDefault="00415632" w:rsidP="00415632">
      <w:pPr>
        <w:pStyle w:val="Ruller41"/>
        <w:rPr>
          <w:rtl/>
        </w:rPr>
      </w:pPr>
      <w:r>
        <w:rPr>
          <w:rFonts w:hint="cs"/>
          <w:rtl/>
        </w:rPr>
        <w:t>5.</w:t>
      </w:r>
      <w:r>
        <w:rPr>
          <w:rFonts w:hint="cs"/>
          <w:rtl/>
        </w:rPr>
        <w:tab/>
        <w:t xml:space="preserve">הכרה בתנאי מכללא של נאמנות מינית במסגרת דיני המתנה, נוגדת הלכות של בית משפט זה בדיני מתנה (ע"א 384/88 </w:t>
      </w:r>
      <w:proofErr w:type="spellStart"/>
      <w:r w:rsidRPr="005D1F0F">
        <w:rPr>
          <w:rFonts w:ascii="Century" w:hAnsi="Century" w:cs="Miriam" w:hint="cs"/>
          <w:b/>
          <w:spacing w:val="0"/>
          <w:szCs w:val="24"/>
          <w:rtl/>
        </w:rPr>
        <w:t>זיסרמן</w:t>
      </w:r>
      <w:proofErr w:type="spellEnd"/>
      <w:r w:rsidRPr="005D1F0F">
        <w:rPr>
          <w:rFonts w:ascii="Century" w:hAnsi="Century" w:cs="Miriam" w:hint="cs"/>
          <w:b/>
          <w:spacing w:val="0"/>
          <w:szCs w:val="24"/>
          <w:rtl/>
        </w:rPr>
        <w:t xml:space="preserve"> נ' </w:t>
      </w:r>
      <w:proofErr w:type="spellStart"/>
      <w:r w:rsidRPr="005D1F0F">
        <w:rPr>
          <w:rFonts w:ascii="Century" w:hAnsi="Century" w:cs="Miriam" w:hint="cs"/>
          <w:b/>
          <w:spacing w:val="0"/>
          <w:szCs w:val="24"/>
          <w:rtl/>
        </w:rPr>
        <w:t>זיסרמן</w:t>
      </w:r>
      <w:proofErr w:type="spellEnd"/>
      <w:r>
        <w:rPr>
          <w:rFonts w:hint="cs"/>
          <w:rtl/>
        </w:rPr>
        <w:t xml:space="preserve">, פ"ד מג(3) 205 (1989); ע"א 343/87 </w:t>
      </w:r>
      <w:r w:rsidRPr="005D1F0F">
        <w:rPr>
          <w:rFonts w:ascii="Century" w:hAnsi="Century" w:cs="Miriam" w:hint="cs"/>
          <w:b/>
          <w:spacing w:val="0"/>
          <w:szCs w:val="24"/>
          <w:rtl/>
        </w:rPr>
        <w:t>פרי נ' פרי</w:t>
      </w:r>
      <w:r>
        <w:rPr>
          <w:rFonts w:hint="cs"/>
          <w:rtl/>
        </w:rPr>
        <w:t xml:space="preserve">, פ"ד מד(2) 154 (1990)). מכל מקום, איני סבור כי יש לנתח את הלכת השיתוף הספציפי באספקלריה של מתנה-נתינה על פי דיני המתנה ודיני החוזים. ודוק: איני סבור כי מדובר בדין הרצוי אלא בדין המצוי עמנו מזה שנים רבות, כך שאיני רואה עין בעין עם חברי שרואה עצמו אנוס על פי הדיבור להגיע לתוצאה אחרת.  </w:t>
      </w:r>
    </w:p>
    <w:p w:rsidR="00415632" w:rsidRDefault="00415632" w:rsidP="00415632">
      <w:pPr>
        <w:pStyle w:val="Ruller41"/>
        <w:rPr>
          <w:rtl/>
        </w:rPr>
      </w:pPr>
    </w:p>
    <w:p w:rsidR="00415632" w:rsidRDefault="00415632" w:rsidP="00415632">
      <w:pPr>
        <w:pStyle w:val="Ruller41"/>
        <w:rPr>
          <w:rtl/>
        </w:rPr>
      </w:pPr>
      <w:r>
        <w:rPr>
          <w:rFonts w:hint="cs"/>
          <w:rtl/>
        </w:rPr>
        <w:t>6.</w:t>
      </w:r>
      <w:r>
        <w:rPr>
          <w:rFonts w:hint="cs"/>
          <w:rtl/>
        </w:rPr>
        <w:tab/>
        <w:t xml:space="preserve">היעדר מסמך בכתב לפי סעיף 8 לחוק המקרקעין, התשכ"ט-1969 נכון גם לחזקת השיתוף הכללית ואינו ייחודי להלכת השיתוף הספציפי. </w:t>
      </w:r>
    </w:p>
    <w:p w:rsidR="00415632" w:rsidRDefault="00415632" w:rsidP="00415632">
      <w:pPr>
        <w:pStyle w:val="Ruller41"/>
        <w:rPr>
          <w:rtl/>
        </w:rPr>
      </w:pPr>
    </w:p>
    <w:p w:rsidR="00415632" w:rsidRDefault="00415632" w:rsidP="00415632">
      <w:pPr>
        <w:pStyle w:val="Ruller41"/>
        <w:rPr>
          <w:rtl/>
        </w:rPr>
      </w:pPr>
      <w:r>
        <w:rPr>
          <w:rFonts w:hint="cs"/>
          <w:rtl/>
        </w:rPr>
        <w:t>7.</w:t>
      </w:r>
      <w:r>
        <w:rPr>
          <w:rFonts w:hint="cs"/>
          <w:rtl/>
        </w:rPr>
        <w:tab/>
        <w:t xml:space="preserve">הלכת השיתוף הספציפי מהלכת בינינו מזה שנים רבות, היא יושמה בעיקר על בית המגורים, ולא נטען כלפיה כי היא יצרה תמריצים מעוותים להתנהלות תכסיסנית בתוך קשר הנישואין כדברי חברי. אף איני רואה בהלכה זו משום מלכודת מסוכנת לשלוותם של אוהבים. אדרבה, מצג של שיתוף משך שנים ארוכות מצד בן הזוג, הוא שעלול ליצור מלכודת לבן הזוג שהסתמך על המצג ולא נערך מבעוד מועד ליום סגריר. </w:t>
      </w:r>
    </w:p>
    <w:p w:rsidR="00415632" w:rsidRDefault="00415632" w:rsidP="00415632">
      <w:pPr>
        <w:pStyle w:val="Ruller41"/>
        <w:rPr>
          <w:rtl/>
        </w:rPr>
      </w:pPr>
    </w:p>
    <w:p w:rsidR="00415632" w:rsidRDefault="00415632" w:rsidP="006F6424">
      <w:pPr>
        <w:pStyle w:val="Ruller41"/>
        <w:rPr>
          <w:rtl/>
        </w:rPr>
      </w:pPr>
      <w:r>
        <w:rPr>
          <w:rFonts w:hint="cs"/>
          <w:rtl/>
        </w:rPr>
        <w:t>8.</w:t>
      </w:r>
      <w:r>
        <w:rPr>
          <w:rFonts w:hint="cs"/>
          <w:rtl/>
        </w:rPr>
        <w:tab/>
        <w:t xml:space="preserve">חברי הציע משטר חדש של שיתוף הדרגתי בדמות "צבירה פנסיונית" של 1% לשנה בנכסי בן הזוג. זאת, כתחליף לשיתוף הספציפי המעניק לבן הזוג "באבחה אחת", כלשונו, 50% מהזכויות בנכסיו האישיים של בן זוגו. אלא שאותה "אבחה אחת" מתגבשת משך שנות נישואין רבות (לאו דווקא 30 שנה כפי שציין חברי), והיא מכוונת בעיקר לדירת המגורים המשותפת שהיא "גולת הכותרת" של חזקת השיתוף בכלל ושל השיתוף הספציפי בפרט. הצעתו של חברי מעניקה באופן "אוטומטי" אחוז אחד לשנה בנכסי בן הזוג השני, מעין תמריץ כלכלי, גם בהיעדר כוונת שיתוף בין בני הזוג. הצעה כה מהפכנית, שמעבירה בהדרגה קניין מצד אחד למשנהו היא עניין למחוקק לענות בו, והיא שקובעת נורמה שיפוטית כופה ואחידה בבחינת </w:t>
      </w:r>
      <w:r w:rsidRPr="000877AA">
        <w:rPr>
          <w:rFonts w:ascii="Times New Roman" w:hAnsi="Times New Roman" w:cs="Times New Roman"/>
        </w:rPr>
        <w:t>"one size fits all"</w:t>
      </w:r>
      <w:r>
        <w:rPr>
          <w:rFonts w:hint="cs"/>
          <w:rtl/>
        </w:rPr>
        <w:t xml:space="preserve"> . לעומת זאת, הלכת השיתוף הספציפי רגישה לנסיבות הספציפיות של בני הזוג ולכוונותיהם, והדברים באים לידי ביטוי בסממנים ובדרישה ל"דבר מה נוסף". </w:t>
      </w:r>
    </w:p>
    <w:p w:rsidR="001A5374" w:rsidRDefault="001A5374" w:rsidP="006F6424">
      <w:pPr>
        <w:pStyle w:val="Ruller41"/>
        <w:rPr>
          <w:rtl/>
        </w:rPr>
      </w:pPr>
    </w:p>
    <w:p w:rsidR="004D401F" w:rsidRPr="004D401F" w:rsidRDefault="004D401F" w:rsidP="006F6424">
      <w:pPr>
        <w:pStyle w:val="Ruller41"/>
        <w:rPr>
          <w:sz w:val="8"/>
          <w:szCs w:val="12"/>
          <w:rtl/>
        </w:rPr>
      </w:pPr>
    </w:p>
    <w:tbl>
      <w:tblPr>
        <w:bidiVisual/>
        <w:tblW w:w="8363" w:type="dxa"/>
        <w:tblLook w:val="01E0" w:firstRow="1" w:lastRow="1" w:firstColumn="1" w:lastColumn="1" w:noHBand="0" w:noVBand="0"/>
      </w:tblPr>
      <w:tblGrid>
        <w:gridCol w:w="2783"/>
        <w:gridCol w:w="2797"/>
        <w:gridCol w:w="2783"/>
      </w:tblGrid>
      <w:tr w:rsidR="00415632" w:rsidTr="00760584">
        <w:tc>
          <w:tcPr>
            <w:tcW w:w="2783" w:type="dxa"/>
            <w:shd w:val="clear" w:color="auto" w:fill="auto"/>
          </w:tcPr>
          <w:p w:rsidR="00415632" w:rsidRDefault="00415632" w:rsidP="00760584">
            <w:pPr>
              <w:pStyle w:val="Ruller41"/>
              <w:spacing w:line="240" w:lineRule="auto"/>
              <w:rPr>
                <w:rtl/>
              </w:rPr>
            </w:pPr>
          </w:p>
        </w:tc>
        <w:tc>
          <w:tcPr>
            <w:tcW w:w="2797" w:type="dxa"/>
            <w:shd w:val="clear" w:color="auto" w:fill="auto"/>
          </w:tcPr>
          <w:p w:rsidR="00415632" w:rsidRDefault="00415632" w:rsidP="00760584">
            <w:pPr>
              <w:pStyle w:val="Ruller41"/>
              <w:spacing w:line="240" w:lineRule="auto"/>
              <w:jc w:val="center"/>
              <w:rPr>
                <w:rtl/>
              </w:rPr>
            </w:pPr>
          </w:p>
        </w:tc>
        <w:tc>
          <w:tcPr>
            <w:tcW w:w="2783" w:type="dxa"/>
            <w:shd w:val="clear" w:color="auto" w:fill="auto"/>
          </w:tcPr>
          <w:p w:rsidR="00415632" w:rsidRDefault="00415632" w:rsidP="00760584">
            <w:pPr>
              <w:pStyle w:val="Ruller41"/>
              <w:spacing w:line="240" w:lineRule="auto"/>
              <w:jc w:val="center"/>
              <w:rPr>
                <w:rtl/>
              </w:rPr>
            </w:pPr>
            <w:r>
              <w:rPr>
                <w:rFonts w:hint="cs"/>
                <w:rtl/>
              </w:rPr>
              <w:t xml:space="preserve">ש ו פ ט </w:t>
            </w:r>
          </w:p>
        </w:tc>
      </w:tr>
    </w:tbl>
    <w:p w:rsidR="00F138BA" w:rsidRDefault="00F138BA" w:rsidP="00D22EA3">
      <w:pPr>
        <w:pStyle w:val="Ruller41"/>
        <w:spacing w:line="240" w:lineRule="auto"/>
        <w:rPr>
          <w:rtl/>
        </w:rPr>
      </w:pPr>
    </w:p>
    <w:p w:rsidR="001A5374" w:rsidRDefault="001A5374" w:rsidP="00D22EA3">
      <w:pPr>
        <w:pStyle w:val="Ruller41"/>
        <w:spacing w:line="240" w:lineRule="auto"/>
        <w:rPr>
          <w:rtl/>
        </w:rPr>
      </w:pPr>
    </w:p>
    <w:p w:rsidR="00DF6664" w:rsidRDefault="00F138BA" w:rsidP="00BC274A">
      <w:pPr>
        <w:pStyle w:val="Ruller41"/>
        <w:spacing w:line="240" w:lineRule="auto"/>
        <w:rPr>
          <w:rtl/>
        </w:rPr>
      </w:pPr>
      <w:r>
        <w:rPr>
          <w:rtl/>
        </w:rPr>
        <w:lastRenderedPageBreak/>
        <w:tab/>
      </w:r>
      <w:r w:rsidR="00104636" w:rsidRPr="00F138BA">
        <w:rPr>
          <w:rFonts w:hint="cs"/>
          <w:rtl/>
        </w:rPr>
        <w:t>הוחלט</w:t>
      </w:r>
      <w:r w:rsidR="000D1887">
        <w:rPr>
          <w:rFonts w:hint="cs"/>
          <w:rtl/>
        </w:rPr>
        <w:t xml:space="preserve"> ברוב דעות</w:t>
      </w:r>
      <w:r w:rsidR="006A1ADB">
        <w:rPr>
          <w:rFonts w:hint="cs"/>
          <w:rtl/>
        </w:rPr>
        <w:t xml:space="preserve"> </w:t>
      </w:r>
      <w:r w:rsidR="00BC274A" w:rsidRPr="00F138BA">
        <w:rPr>
          <w:rFonts w:hint="cs"/>
          <w:rtl/>
        </w:rPr>
        <w:t xml:space="preserve">כאמור בפסק דינה של הנשיאה </w:t>
      </w:r>
      <w:r w:rsidR="00BC274A" w:rsidRPr="00F138BA">
        <w:rPr>
          <w:rFonts w:ascii="Century" w:hAnsi="Century" w:cs="Miriam" w:hint="cs"/>
          <w:b/>
          <w:spacing w:val="0"/>
          <w:szCs w:val="24"/>
          <w:rtl/>
        </w:rPr>
        <w:t>א' חיות</w:t>
      </w:r>
      <w:r w:rsidR="00BC274A" w:rsidRPr="00F138BA">
        <w:rPr>
          <w:rFonts w:hint="cs"/>
          <w:rtl/>
        </w:rPr>
        <w:t>.</w:t>
      </w:r>
    </w:p>
    <w:p w:rsidR="00DF6664" w:rsidRDefault="00DF6664" w:rsidP="00D22EA3">
      <w:pPr>
        <w:pStyle w:val="Ruller41"/>
        <w:spacing w:line="240" w:lineRule="auto"/>
        <w:rPr>
          <w:rtl/>
        </w:rPr>
      </w:pPr>
    </w:p>
    <w:p w:rsidR="002470D6" w:rsidRDefault="002470D6" w:rsidP="00D22EA3">
      <w:pPr>
        <w:pStyle w:val="Ruller41"/>
        <w:spacing w:line="240" w:lineRule="auto"/>
        <w:rPr>
          <w:rtl/>
        </w:rPr>
      </w:pPr>
    </w:p>
    <w:p w:rsidR="001A5374" w:rsidRPr="004D401F" w:rsidRDefault="001A5374" w:rsidP="00D22EA3">
      <w:pPr>
        <w:pStyle w:val="Ruller41"/>
        <w:spacing w:line="240" w:lineRule="auto"/>
        <w:rPr>
          <w:sz w:val="8"/>
          <w:szCs w:val="2"/>
          <w:rtl/>
        </w:rPr>
      </w:pPr>
    </w:p>
    <w:p w:rsidR="002470D6" w:rsidRPr="004D401F" w:rsidRDefault="002470D6" w:rsidP="00D22EA3">
      <w:pPr>
        <w:pStyle w:val="Ruller41"/>
        <w:spacing w:line="240" w:lineRule="auto"/>
        <w:rPr>
          <w:sz w:val="8"/>
          <w:szCs w:val="14"/>
          <w:rtl/>
        </w:rPr>
      </w:pPr>
    </w:p>
    <w:p w:rsidR="00BC274A" w:rsidRDefault="00F138BA" w:rsidP="00F138BA">
      <w:pPr>
        <w:pStyle w:val="Ruller41"/>
        <w:spacing w:line="240" w:lineRule="auto"/>
        <w:rPr>
          <w:rtl/>
        </w:rPr>
      </w:pPr>
      <w:r>
        <w:rPr>
          <w:rtl/>
        </w:rPr>
        <w:tab/>
        <w:t xml:space="preserve">ניתן היום, </w:t>
      </w:r>
      <w:r>
        <w:rPr>
          <w:rFonts w:hint="eastAsia"/>
          <w:rtl/>
        </w:rPr>
        <w:t>‏י</w:t>
      </w:r>
      <w:r>
        <w:rPr>
          <w:rtl/>
        </w:rPr>
        <w:t xml:space="preserve">"ד בתמוז </w:t>
      </w:r>
      <w:proofErr w:type="spellStart"/>
      <w:r>
        <w:rPr>
          <w:rtl/>
        </w:rPr>
        <w:t>התשפ"א</w:t>
      </w:r>
      <w:proofErr w:type="spellEnd"/>
      <w:r>
        <w:rPr>
          <w:rtl/>
        </w:rPr>
        <w:t xml:space="preserve"> (</w:t>
      </w:r>
      <w:r>
        <w:rPr>
          <w:rFonts w:hint="eastAsia"/>
          <w:rtl/>
        </w:rPr>
        <w:t>‏</w:t>
      </w:r>
      <w:r>
        <w:rPr>
          <w:rtl/>
        </w:rPr>
        <w:t>24.6.2021).</w:t>
      </w:r>
    </w:p>
    <w:p w:rsidR="00DF6664" w:rsidRDefault="00DF6664" w:rsidP="00D22EA3">
      <w:pPr>
        <w:pStyle w:val="Ruller41"/>
        <w:spacing w:line="240" w:lineRule="auto"/>
        <w:rPr>
          <w:rtl/>
        </w:rPr>
      </w:pPr>
    </w:p>
    <w:p w:rsidR="00D22EA3" w:rsidRDefault="00F138BA" w:rsidP="00D22EA3">
      <w:pPr>
        <w:pStyle w:val="Ruller41"/>
        <w:spacing w:line="240" w:lineRule="auto"/>
      </w:pPr>
      <w:r>
        <w:rPr>
          <w:rtl/>
        </w:rPr>
        <w:br/>
      </w:r>
    </w:p>
    <w:tbl>
      <w:tblPr>
        <w:bidiVisual/>
        <w:tblW w:w="8363" w:type="dxa"/>
        <w:tblLook w:val="01E0" w:firstRow="1" w:lastRow="1" w:firstColumn="1" w:lastColumn="1" w:noHBand="0" w:noVBand="0"/>
      </w:tblPr>
      <w:tblGrid>
        <w:gridCol w:w="2783"/>
        <w:gridCol w:w="2797"/>
        <w:gridCol w:w="2783"/>
      </w:tblGrid>
      <w:tr w:rsidR="00D22EA3" w:rsidTr="00760584">
        <w:tc>
          <w:tcPr>
            <w:tcW w:w="2783" w:type="dxa"/>
            <w:shd w:val="clear" w:color="auto" w:fill="auto"/>
          </w:tcPr>
          <w:p w:rsidR="00D22EA3" w:rsidRDefault="00D22EA3" w:rsidP="00760584">
            <w:pPr>
              <w:pStyle w:val="Ruller41"/>
              <w:spacing w:line="240" w:lineRule="auto"/>
              <w:rPr>
                <w:rtl/>
              </w:rPr>
            </w:pPr>
            <w:r>
              <w:rPr>
                <w:rtl/>
              </w:rPr>
              <w:t xml:space="preserve"> ה נ ש י א ה</w:t>
            </w:r>
          </w:p>
        </w:tc>
        <w:tc>
          <w:tcPr>
            <w:tcW w:w="2797" w:type="dxa"/>
            <w:shd w:val="clear" w:color="auto" w:fill="auto"/>
          </w:tcPr>
          <w:p w:rsidR="00D22EA3" w:rsidRDefault="00314115" w:rsidP="00760584">
            <w:pPr>
              <w:pStyle w:val="Ruller41"/>
              <w:spacing w:line="240" w:lineRule="auto"/>
              <w:jc w:val="center"/>
              <w:rPr>
                <w:rtl/>
              </w:rPr>
            </w:pPr>
            <w:r>
              <w:rPr>
                <w:rFonts w:ascii="FrankRuehl" w:hint="cs"/>
                <w:color w:val="333333"/>
                <w:sz w:val="28"/>
                <w:shd w:val="clear" w:color="auto" w:fill="FFFFFF"/>
                <w:rtl/>
              </w:rPr>
              <w:t>המשנה לנשיאה (בדימ')</w:t>
            </w:r>
          </w:p>
        </w:tc>
        <w:tc>
          <w:tcPr>
            <w:tcW w:w="2783" w:type="dxa"/>
            <w:shd w:val="clear" w:color="auto" w:fill="auto"/>
          </w:tcPr>
          <w:p w:rsidR="00D22EA3" w:rsidRDefault="00D22EA3" w:rsidP="00760584">
            <w:pPr>
              <w:pStyle w:val="Ruller41"/>
              <w:spacing w:line="240" w:lineRule="auto"/>
              <w:jc w:val="center"/>
              <w:rPr>
                <w:rtl/>
              </w:rPr>
            </w:pPr>
            <w:r>
              <w:rPr>
                <w:rtl/>
              </w:rPr>
              <w:t>ש ו פ ט</w:t>
            </w:r>
          </w:p>
        </w:tc>
      </w:tr>
    </w:tbl>
    <w:p w:rsidR="00D22EA3" w:rsidRDefault="00D22EA3" w:rsidP="00D22EA3">
      <w:pPr>
        <w:pStyle w:val="Ruller38"/>
        <w:rPr>
          <w:sz w:val="16"/>
          <w:rtl/>
        </w:rPr>
      </w:pPr>
    </w:p>
    <w:p w:rsidR="00F138BA" w:rsidRDefault="00F138BA" w:rsidP="00D22EA3">
      <w:pPr>
        <w:pStyle w:val="Ruller38"/>
        <w:rPr>
          <w:sz w:val="16"/>
          <w:rtl/>
        </w:rPr>
      </w:pPr>
    </w:p>
    <w:p w:rsidR="00F138BA" w:rsidRDefault="00F138BA" w:rsidP="00D22EA3">
      <w:pPr>
        <w:pStyle w:val="Ruller38"/>
        <w:rPr>
          <w:sz w:val="16"/>
          <w:rtl/>
        </w:rPr>
      </w:pPr>
    </w:p>
    <w:p w:rsidR="00D22EA3" w:rsidRDefault="00D22EA3" w:rsidP="00D22EA3">
      <w:pPr>
        <w:pStyle w:val="Ruller38"/>
        <w:rPr>
          <w:sz w:val="16"/>
          <w:rtl/>
        </w:rPr>
      </w:pPr>
    </w:p>
    <w:p w:rsidR="00D22EA3" w:rsidRDefault="00D22EA3" w:rsidP="00D22EA3">
      <w:pPr>
        <w:pStyle w:val="Ruller38"/>
        <w:rPr>
          <w:sz w:val="16"/>
          <w:rtl/>
        </w:rPr>
      </w:pPr>
    </w:p>
    <w:p w:rsidR="00D22EA3" w:rsidRDefault="00D22EA3" w:rsidP="00D22EA3">
      <w:pPr>
        <w:pStyle w:val="Ruller38"/>
        <w:rPr>
          <w:sz w:val="16"/>
          <w:rtl/>
        </w:rPr>
      </w:pPr>
    </w:p>
    <w:tbl>
      <w:tblPr>
        <w:bidiVisual/>
        <w:tblW w:w="8363" w:type="dxa"/>
        <w:tblLook w:val="01E0" w:firstRow="1" w:lastRow="1" w:firstColumn="1" w:lastColumn="1" w:noHBand="0" w:noVBand="0"/>
      </w:tblPr>
      <w:tblGrid>
        <w:gridCol w:w="2783"/>
        <w:gridCol w:w="2797"/>
        <w:gridCol w:w="2783"/>
      </w:tblGrid>
      <w:tr w:rsidR="00D22EA3" w:rsidTr="00760584">
        <w:tc>
          <w:tcPr>
            <w:tcW w:w="2783" w:type="dxa"/>
            <w:shd w:val="clear" w:color="auto" w:fill="auto"/>
          </w:tcPr>
          <w:p w:rsidR="00D22EA3" w:rsidRDefault="00D22EA3" w:rsidP="00760584">
            <w:pPr>
              <w:pStyle w:val="Ruller41"/>
              <w:spacing w:line="240" w:lineRule="auto"/>
              <w:rPr>
                <w:rtl/>
              </w:rPr>
            </w:pPr>
            <w:r>
              <w:rPr>
                <w:rFonts w:hint="cs"/>
                <w:rtl/>
              </w:rPr>
              <w:t xml:space="preserve">ש ו פ ט </w:t>
            </w:r>
          </w:p>
        </w:tc>
        <w:tc>
          <w:tcPr>
            <w:tcW w:w="2797" w:type="dxa"/>
            <w:shd w:val="clear" w:color="auto" w:fill="auto"/>
          </w:tcPr>
          <w:p w:rsidR="00D22EA3" w:rsidRDefault="00D22EA3" w:rsidP="00760584">
            <w:pPr>
              <w:pStyle w:val="Ruller41"/>
              <w:spacing w:line="240" w:lineRule="auto"/>
              <w:jc w:val="center"/>
              <w:rPr>
                <w:rtl/>
              </w:rPr>
            </w:pPr>
            <w:r>
              <w:rPr>
                <w:rFonts w:hint="cs"/>
                <w:rtl/>
              </w:rPr>
              <w:t xml:space="preserve">ש ו פ ט </w:t>
            </w:r>
          </w:p>
        </w:tc>
        <w:tc>
          <w:tcPr>
            <w:tcW w:w="2783" w:type="dxa"/>
            <w:shd w:val="clear" w:color="auto" w:fill="auto"/>
          </w:tcPr>
          <w:p w:rsidR="00D22EA3" w:rsidRDefault="00D22EA3" w:rsidP="00760584">
            <w:pPr>
              <w:pStyle w:val="Ruller41"/>
              <w:spacing w:line="240" w:lineRule="auto"/>
              <w:jc w:val="center"/>
              <w:rPr>
                <w:rtl/>
              </w:rPr>
            </w:pPr>
            <w:r>
              <w:rPr>
                <w:rFonts w:hint="cs"/>
                <w:rtl/>
              </w:rPr>
              <w:t xml:space="preserve">ש ו פ ט </w:t>
            </w:r>
          </w:p>
        </w:tc>
      </w:tr>
    </w:tbl>
    <w:p w:rsidR="00D22EA3" w:rsidRDefault="00D22EA3" w:rsidP="00D22EA3">
      <w:pPr>
        <w:pStyle w:val="Ruller38"/>
        <w:rPr>
          <w:sz w:val="16"/>
          <w:rtl/>
        </w:rPr>
      </w:pPr>
    </w:p>
    <w:p w:rsidR="00D22EA3" w:rsidRDefault="00D22EA3" w:rsidP="00D22EA3">
      <w:pPr>
        <w:pStyle w:val="Ruller38"/>
        <w:rPr>
          <w:sz w:val="16"/>
          <w:rtl/>
        </w:rPr>
      </w:pPr>
    </w:p>
    <w:p w:rsidR="00D22EA3" w:rsidRDefault="00D22EA3" w:rsidP="00D22EA3">
      <w:pPr>
        <w:pStyle w:val="Ruller38"/>
        <w:rPr>
          <w:sz w:val="16"/>
          <w:rtl/>
        </w:rPr>
      </w:pPr>
    </w:p>
    <w:p w:rsidR="00D22EA3" w:rsidRDefault="00D22EA3" w:rsidP="00D22EA3">
      <w:pPr>
        <w:pStyle w:val="Ruller38"/>
        <w:rPr>
          <w:sz w:val="16"/>
          <w:rtl/>
        </w:rPr>
      </w:pPr>
    </w:p>
    <w:p w:rsidR="00F138BA" w:rsidRDefault="00F138BA" w:rsidP="00D22EA3">
      <w:pPr>
        <w:pStyle w:val="Ruller38"/>
        <w:rPr>
          <w:sz w:val="16"/>
          <w:rtl/>
        </w:rPr>
      </w:pPr>
    </w:p>
    <w:p w:rsidR="00D22EA3" w:rsidRDefault="00D22EA3" w:rsidP="00D22EA3">
      <w:pPr>
        <w:pStyle w:val="Ruller38"/>
        <w:rPr>
          <w:sz w:val="16"/>
          <w:rtl/>
        </w:rPr>
      </w:pPr>
    </w:p>
    <w:p w:rsidR="00D22EA3" w:rsidRDefault="00D22EA3" w:rsidP="00D22EA3">
      <w:pPr>
        <w:pStyle w:val="Ruller38"/>
        <w:rPr>
          <w:sz w:val="16"/>
          <w:rtl/>
        </w:rPr>
      </w:pPr>
    </w:p>
    <w:tbl>
      <w:tblPr>
        <w:bidiVisual/>
        <w:tblW w:w="8363" w:type="dxa"/>
        <w:tblLook w:val="01E0" w:firstRow="1" w:lastRow="1" w:firstColumn="1" w:lastColumn="1" w:noHBand="0" w:noVBand="0"/>
      </w:tblPr>
      <w:tblGrid>
        <w:gridCol w:w="2783"/>
        <w:gridCol w:w="2797"/>
        <w:gridCol w:w="2783"/>
      </w:tblGrid>
      <w:tr w:rsidR="00D22EA3" w:rsidTr="00760584">
        <w:tc>
          <w:tcPr>
            <w:tcW w:w="2783" w:type="dxa"/>
            <w:shd w:val="clear" w:color="auto" w:fill="auto"/>
          </w:tcPr>
          <w:p w:rsidR="00D22EA3" w:rsidRDefault="00D22EA3" w:rsidP="00760584">
            <w:pPr>
              <w:pStyle w:val="Ruller41"/>
              <w:spacing w:line="240" w:lineRule="auto"/>
              <w:rPr>
                <w:rtl/>
              </w:rPr>
            </w:pPr>
            <w:r>
              <w:rPr>
                <w:rFonts w:hint="cs"/>
                <w:rtl/>
              </w:rPr>
              <w:t xml:space="preserve">ש ו פ ט ת </w:t>
            </w:r>
          </w:p>
        </w:tc>
        <w:tc>
          <w:tcPr>
            <w:tcW w:w="2797" w:type="dxa"/>
            <w:shd w:val="clear" w:color="auto" w:fill="auto"/>
          </w:tcPr>
          <w:p w:rsidR="00D22EA3" w:rsidRDefault="00D22EA3" w:rsidP="00760584">
            <w:pPr>
              <w:pStyle w:val="Ruller41"/>
              <w:spacing w:line="240" w:lineRule="auto"/>
              <w:jc w:val="center"/>
              <w:rPr>
                <w:rtl/>
              </w:rPr>
            </w:pPr>
            <w:r>
              <w:rPr>
                <w:rFonts w:hint="cs"/>
                <w:rtl/>
              </w:rPr>
              <w:t xml:space="preserve">ש ו פ ט </w:t>
            </w:r>
          </w:p>
        </w:tc>
        <w:tc>
          <w:tcPr>
            <w:tcW w:w="2783" w:type="dxa"/>
            <w:shd w:val="clear" w:color="auto" w:fill="auto"/>
          </w:tcPr>
          <w:p w:rsidR="00D22EA3" w:rsidRDefault="00D22EA3" w:rsidP="00760584">
            <w:pPr>
              <w:pStyle w:val="Ruller41"/>
              <w:spacing w:line="240" w:lineRule="auto"/>
              <w:jc w:val="center"/>
              <w:rPr>
                <w:rtl/>
              </w:rPr>
            </w:pPr>
            <w:r>
              <w:rPr>
                <w:rFonts w:hint="cs"/>
                <w:rtl/>
              </w:rPr>
              <w:t xml:space="preserve">ש ו פ ט </w:t>
            </w:r>
          </w:p>
        </w:tc>
      </w:tr>
    </w:tbl>
    <w:p w:rsidR="00044953" w:rsidRPr="004D401F" w:rsidRDefault="00044953" w:rsidP="00A51FAE">
      <w:pPr>
        <w:pStyle w:val="Ruller41"/>
        <w:rPr>
          <w:sz w:val="8"/>
          <w:szCs w:val="2"/>
          <w:rtl/>
        </w:rPr>
      </w:pPr>
    </w:p>
    <w:p w:rsidR="00916FF8" w:rsidRDefault="00916FF8">
      <w:pPr>
        <w:rPr>
          <w:szCs w:val="16"/>
          <w:rtl/>
        </w:rPr>
      </w:pPr>
      <w:r w:rsidRPr="004D401F">
        <w:rPr>
          <w:sz w:val="2"/>
          <w:szCs w:val="2"/>
          <w:rtl/>
        </w:rPr>
        <w:t>__________</w:t>
      </w:r>
      <w:r>
        <w:rPr>
          <w:szCs w:val="16"/>
          <w:rtl/>
        </w:rPr>
        <w:t>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B657C5">
        <w:rPr>
          <w:sz w:val="16"/>
        </w:rPr>
        <w:t xml:space="preserve">18085370_V30.docx   </w:t>
      </w:r>
      <w:proofErr w:type="spellStart"/>
      <w:r w:rsidR="00B657C5">
        <w:rPr>
          <w:sz w:val="16"/>
          <w:rtl/>
        </w:rPr>
        <w:t>רי</w:t>
      </w:r>
      <w:proofErr w:type="spellEnd"/>
    </w:p>
    <w:p w:rsidR="003F1F97" w:rsidRPr="00782291" w:rsidRDefault="00591983" w:rsidP="00782291">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0C0A71">
        <w:rPr>
          <w:rFonts w:hint="cs"/>
          <w:rtl/>
        </w:rPr>
        <w:t>, 3852*</w:t>
      </w:r>
      <w:r>
        <w:rPr>
          <w:rFonts w:hint="cs"/>
          <w:rtl/>
        </w:rPr>
        <w:t xml:space="preserve"> ; אתר אינטרנט,  </w:t>
      </w:r>
      <w:hyperlink r:id="rId13" w:history="1">
        <w:r w:rsidR="00782291" w:rsidRPr="00BB4C68">
          <w:rPr>
            <w:rStyle w:val="Hyperlink"/>
            <w:sz w:val="16"/>
          </w:rPr>
          <w:t>https://supreme.court.gov.il</w:t>
        </w:r>
      </w:hyperlink>
    </w:p>
    <w:sectPr w:rsidR="003F1F97" w:rsidRPr="00782291" w:rsidSect="00591983">
      <w:headerReference w:type="even" r:id="rId14"/>
      <w:headerReference w:type="default" r:id="rId15"/>
      <w:footerReference w:type="even" r:id="rId16"/>
      <w:headerReference w:type="first" r:id="rId17"/>
      <w:footerReference w:type="first" r:id="rId18"/>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84" w:rsidRDefault="00760584">
      <w:r>
        <w:separator/>
      </w:r>
    </w:p>
  </w:endnote>
  <w:endnote w:type="continuationSeparator" w:id="0">
    <w:p w:rsidR="00760584" w:rsidRDefault="0076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84" w:rsidRDefault="00760584">
    <w:pPr>
      <w:pStyle w:val="a3"/>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760584" w:rsidRDefault="00760584">
    <w:pPr>
      <w:pStyle w:val="a3"/>
      <w:rPr>
        <w:rtl/>
      </w:rPr>
    </w:pPr>
  </w:p>
  <w:p w:rsidR="00760584" w:rsidRDefault="00760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84" w:rsidRPr="00F959DB" w:rsidRDefault="00760584" w:rsidP="00914156">
    <w:pPr>
      <w:pStyle w:val="a3"/>
      <w:bidi w:val="0"/>
      <w:jc w:val="right"/>
      <w:rPr>
        <w:sz w:val="16"/>
        <w:szCs w:val="16"/>
      </w:rPr>
    </w:pPr>
    <w:bookmarkStart w:id="12" w:name="footer_line"/>
    <w:bookmarkEnd w:id="12"/>
  </w:p>
  <w:p w:rsidR="00760584" w:rsidRDefault="00760584">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84" w:rsidRDefault="00760584">
      <w:r>
        <w:separator/>
      </w:r>
    </w:p>
  </w:footnote>
  <w:footnote w:type="continuationSeparator" w:id="0">
    <w:p w:rsidR="00760584" w:rsidRDefault="00760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84" w:rsidRDefault="00760584">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760584" w:rsidRDefault="00760584">
    <w:pPr>
      <w:pStyle w:val="a6"/>
      <w:rPr>
        <w:rtl/>
      </w:rPr>
    </w:pPr>
  </w:p>
  <w:p w:rsidR="00760584" w:rsidRDefault="007605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84" w:rsidRDefault="00760584">
    <w:pPr>
      <w:pStyle w:val="a6"/>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sidR="00356F5C">
      <w:rPr>
        <w:rStyle w:val="a5"/>
        <w:noProof/>
        <w:rtl/>
      </w:rPr>
      <w:t>2</w:t>
    </w:r>
    <w:r>
      <w:rPr>
        <w:rStyle w:val="a5"/>
        <w:rtl/>
      </w:rPr>
      <w:fldChar w:fldCharType="end"/>
    </w:r>
  </w:p>
  <w:p w:rsidR="00760584" w:rsidRDefault="00760584">
    <w:pPr>
      <w:pStyle w:val="a6"/>
      <w:rPr>
        <w:rtl/>
      </w:rPr>
    </w:pPr>
  </w:p>
  <w:p w:rsidR="00760584" w:rsidRDefault="007605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8312"/>
    </w:tblGrid>
    <w:tr w:rsidR="00760584" w:rsidTr="00760584">
      <w:tc>
        <w:tcPr>
          <w:tcW w:w="8528" w:type="dxa"/>
          <w:shd w:val="clear" w:color="auto" w:fill="auto"/>
        </w:tcPr>
        <w:p w:rsidR="00760584" w:rsidRDefault="00760584" w:rsidP="00FA21B3">
          <w:pPr>
            <w:pStyle w:val="a6"/>
            <w:jc w:val="center"/>
            <w:rPr>
              <w:rtl/>
            </w:rPr>
          </w:pPr>
          <w:r w:rsidRPr="00D745E1">
            <w:rPr>
              <w:b/>
              <w:bCs/>
              <w:noProof/>
              <w:sz w:val="16"/>
              <w:szCs w:val="18"/>
              <w:rtl/>
            </w:rPr>
            <w:drawing>
              <wp:inline distT="0" distB="0" distL="0" distR="0" wp14:anchorId="29F7886E" wp14:editId="1839AA9F">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r w:rsidR="00760584" w:rsidTr="00760584">
      <w:trPr>
        <w:trHeight w:val="372"/>
      </w:trPr>
      <w:tc>
        <w:tcPr>
          <w:tcW w:w="8528" w:type="dxa"/>
          <w:shd w:val="clear" w:color="auto" w:fill="auto"/>
        </w:tcPr>
        <w:p w:rsidR="00760584" w:rsidRDefault="00760584" w:rsidP="00FA21B3">
          <w:pPr>
            <w:pStyle w:val="a6"/>
            <w:jc w:val="center"/>
            <w:rPr>
              <w:rtl/>
            </w:rPr>
          </w:pPr>
        </w:p>
      </w:tc>
    </w:tr>
  </w:tbl>
  <w:p w:rsidR="00760584" w:rsidRPr="00FA21B3" w:rsidRDefault="00760584" w:rsidP="00FA21B3">
    <w:pPr>
      <w:pStyle w:val="a6"/>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D3E0B4EE"/>
    <w:lvl w:ilvl="0" w:tplc="6D0AAE36">
      <w:start w:val="1"/>
      <w:numFmt w:val="decimal"/>
      <w:pStyle w:val="Ruller4"/>
      <w:lvlText w:val="%1."/>
      <w:lvlJc w:val="left"/>
      <w:pPr>
        <w:tabs>
          <w:tab w:val="num" w:pos="907"/>
        </w:tabs>
        <w:ind w:left="0" w:firstLine="0"/>
      </w:pPr>
      <w:rPr>
        <w:rFonts w:hint="default"/>
      </w:rPr>
    </w:lvl>
    <w:lvl w:ilvl="1" w:tplc="EA788CE2">
      <w:start w:val="1"/>
      <w:numFmt w:val="lowerLetter"/>
      <w:lvlText w:val="%2."/>
      <w:lvlJc w:val="left"/>
      <w:pPr>
        <w:tabs>
          <w:tab w:val="num" w:pos="1440"/>
        </w:tabs>
        <w:ind w:left="1440" w:hanging="360"/>
      </w:pPr>
    </w:lvl>
    <w:lvl w:ilvl="2" w:tplc="4B94D084" w:tentative="1">
      <w:start w:val="1"/>
      <w:numFmt w:val="lowerRoman"/>
      <w:lvlText w:val="%3."/>
      <w:lvlJc w:val="right"/>
      <w:pPr>
        <w:tabs>
          <w:tab w:val="num" w:pos="2160"/>
        </w:tabs>
        <w:ind w:left="2160" w:hanging="180"/>
      </w:pPr>
    </w:lvl>
    <w:lvl w:ilvl="3" w:tplc="CEDA1A3A" w:tentative="1">
      <w:start w:val="1"/>
      <w:numFmt w:val="decimal"/>
      <w:lvlText w:val="%4."/>
      <w:lvlJc w:val="left"/>
      <w:pPr>
        <w:tabs>
          <w:tab w:val="num" w:pos="2880"/>
        </w:tabs>
        <w:ind w:left="2880" w:hanging="360"/>
      </w:pPr>
    </w:lvl>
    <w:lvl w:ilvl="4" w:tplc="6AFCB9AA" w:tentative="1">
      <w:start w:val="1"/>
      <w:numFmt w:val="lowerLetter"/>
      <w:lvlText w:val="%5."/>
      <w:lvlJc w:val="left"/>
      <w:pPr>
        <w:tabs>
          <w:tab w:val="num" w:pos="3600"/>
        </w:tabs>
        <w:ind w:left="3600" w:hanging="360"/>
      </w:pPr>
    </w:lvl>
    <w:lvl w:ilvl="5" w:tplc="2D9E6E62" w:tentative="1">
      <w:start w:val="1"/>
      <w:numFmt w:val="lowerRoman"/>
      <w:lvlText w:val="%6."/>
      <w:lvlJc w:val="right"/>
      <w:pPr>
        <w:tabs>
          <w:tab w:val="num" w:pos="4320"/>
        </w:tabs>
        <w:ind w:left="4320" w:hanging="180"/>
      </w:pPr>
    </w:lvl>
    <w:lvl w:ilvl="6" w:tplc="2BF8350E" w:tentative="1">
      <w:start w:val="1"/>
      <w:numFmt w:val="decimal"/>
      <w:lvlText w:val="%7."/>
      <w:lvlJc w:val="left"/>
      <w:pPr>
        <w:tabs>
          <w:tab w:val="num" w:pos="5040"/>
        </w:tabs>
        <w:ind w:left="5040" w:hanging="360"/>
      </w:pPr>
    </w:lvl>
    <w:lvl w:ilvl="7" w:tplc="DED883F6" w:tentative="1">
      <w:start w:val="1"/>
      <w:numFmt w:val="lowerLetter"/>
      <w:lvlText w:val="%8."/>
      <w:lvlJc w:val="left"/>
      <w:pPr>
        <w:tabs>
          <w:tab w:val="num" w:pos="5760"/>
        </w:tabs>
        <w:ind w:left="5760" w:hanging="360"/>
      </w:pPr>
    </w:lvl>
    <w:lvl w:ilvl="8" w:tplc="EED26D48" w:tentative="1">
      <w:start w:val="1"/>
      <w:numFmt w:val="lowerRoman"/>
      <w:lvlText w:val="%9."/>
      <w:lvlJc w:val="right"/>
      <w:pPr>
        <w:tabs>
          <w:tab w:val="num" w:pos="6480"/>
        </w:tabs>
        <w:ind w:left="6480" w:hanging="180"/>
      </w:pPr>
    </w:lvl>
  </w:abstractNum>
  <w:abstractNum w:abstractNumId="11" w15:restartNumberingAfterBreak="0">
    <w:nsid w:val="198A0339"/>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2" w15:restartNumberingAfterBreak="0">
    <w:nsid w:val="1FC741B8"/>
    <w:multiLevelType w:val="hybridMultilevel"/>
    <w:tmpl w:val="05E81728"/>
    <w:lvl w:ilvl="0" w:tplc="04E8A0DC">
      <w:start w:val="1"/>
      <w:numFmt w:val="hebrew1"/>
      <w:lvlText w:val="%1."/>
      <w:lvlJc w:val="center"/>
      <w:pPr>
        <w:ind w:left="720" w:hanging="360"/>
      </w:pPr>
    </w:lvl>
    <w:lvl w:ilvl="1" w:tplc="C6D44834" w:tentative="1">
      <w:start w:val="1"/>
      <w:numFmt w:val="lowerLetter"/>
      <w:lvlText w:val="%2."/>
      <w:lvlJc w:val="left"/>
      <w:pPr>
        <w:ind w:left="1440" w:hanging="360"/>
      </w:pPr>
    </w:lvl>
    <w:lvl w:ilvl="2" w:tplc="7F26549A" w:tentative="1">
      <w:start w:val="1"/>
      <w:numFmt w:val="lowerRoman"/>
      <w:lvlText w:val="%3."/>
      <w:lvlJc w:val="right"/>
      <w:pPr>
        <w:ind w:left="2160" w:hanging="180"/>
      </w:pPr>
    </w:lvl>
    <w:lvl w:ilvl="3" w:tplc="2878D79A" w:tentative="1">
      <w:start w:val="1"/>
      <w:numFmt w:val="decimal"/>
      <w:lvlText w:val="%4."/>
      <w:lvlJc w:val="left"/>
      <w:pPr>
        <w:ind w:left="2880" w:hanging="360"/>
      </w:pPr>
    </w:lvl>
    <w:lvl w:ilvl="4" w:tplc="D9AA0B72" w:tentative="1">
      <w:start w:val="1"/>
      <w:numFmt w:val="lowerLetter"/>
      <w:lvlText w:val="%5."/>
      <w:lvlJc w:val="left"/>
      <w:pPr>
        <w:ind w:left="3600" w:hanging="360"/>
      </w:pPr>
    </w:lvl>
    <w:lvl w:ilvl="5" w:tplc="7CA436AA" w:tentative="1">
      <w:start w:val="1"/>
      <w:numFmt w:val="lowerRoman"/>
      <w:lvlText w:val="%6."/>
      <w:lvlJc w:val="right"/>
      <w:pPr>
        <w:ind w:left="4320" w:hanging="180"/>
      </w:pPr>
    </w:lvl>
    <w:lvl w:ilvl="6" w:tplc="70027CC2" w:tentative="1">
      <w:start w:val="1"/>
      <w:numFmt w:val="decimal"/>
      <w:lvlText w:val="%7."/>
      <w:lvlJc w:val="left"/>
      <w:pPr>
        <w:ind w:left="5040" w:hanging="360"/>
      </w:pPr>
    </w:lvl>
    <w:lvl w:ilvl="7" w:tplc="BDFE6432" w:tentative="1">
      <w:start w:val="1"/>
      <w:numFmt w:val="lowerLetter"/>
      <w:lvlText w:val="%8."/>
      <w:lvlJc w:val="left"/>
      <w:pPr>
        <w:ind w:left="5760" w:hanging="360"/>
      </w:pPr>
    </w:lvl>
    <w:lvl w:ilvl="8" w:tplc="389AE2AC" w:tentative="1">
      <w:start w:val="1"/>
      <w:numFmt w:val="lowerRoman"/>
      <w:lvlText w:val="%9."/>
      <w:lvlJc w:val="right"/>
      <w:pPr>
        <w:ind w:left="6480" w:hanging="180"/>
      </w:pPr>
    </w:lvl>
  </w:abstractNum>
  <w:abstractNum w:abstractNumId="13" w15:restartNumberingAfterBreak="0">
    <w:nsid w:val="20337677"/>
    <w:multiLevelType w:val="hybridMultilevel"/>
    <w:tmpl w:val="7E32AAA6"/>
    <w:lvl w:ilvl="0" w:tplc="E77E8A5A">
      <w:start w:val="1"/>
      <w:numFmt w:val="decimal"/>
      <w:lvlText w:val="%1."/>
      <w:lvlJc w:val="left"/>
      <w:pPr>
        <w:ind w:left="720" w:hanging="360"/>
      </w:pPr>
      <w:rPr>
        <w:rFonts w:hint="default"/>
      </w:rPr>
    </w:lvl>
    <w:lvl w:ilvl="1" w:tplc="24FC5682" w:tentative="1">
      <w:start w:val="1"/>
      <w:numFmt w:val="lowerLetter"/>
      <w:lvlText w:val="%2."/>
      <w:lvlJc w:val="left"/>
      <w:pPr>
        <w:ind w:left="1440" w:hanging="360"/>
      </w:pPr>
    </w:lvl>
    <w:lvl w:ilvl="2" w:tplc="31249820" w:tentative="1">
      <w:start w:val="1"/>
      <w:numFmt w:val="lowerRoman"/>
      <w:lvlText w:val="%3."/>
      <w:lvlJc w:val="right"/>
      <w:pPr>
        <w:ind w:left="2160" w:hanging="180"/>
      </w:pPr>
    </w:lvl>
    <w:lvl w:ilvl="3" w:tplc="866A2C98" w:tentative="1">
      <w:start w:val="1"/>
      <w:numFmt w:val="decimal"/>
      <w:lvlText w:val="%4."/>
      <w:lvlJc w:val="left"/>
      <w:pPr>
        <w:ind w:left="2880" w:hanging="360"/>
      </w:pPr>
    </w:lvl>
    <w:lvl w:ilvl="4" w:tplc="4218EBF2" w:tentative="1">
      <w:start w:val="1"/>
      <w:numFmt w:val="lowerLetter"/>
      <w:lvlText w:val="%5."/>
      <w:lvlJc w:val="left"/>
      <w:pPr>
        <w:ind w:left="3600" w:hanging="360"/>
      </w:pPr>
    </w:lvl>
    <w:lvl w:ilvl="5" w:tplc="2014ED78" w:tentative="1">
      <w:start w:val="1"/>
      <w:numFmt w:val="lowerRoman"/>
      <w:lvlText w:val="%6."/>
      <w:lvlJc w:val="right"/>
      <w:pPr>
        <w:ind w:left="4320" w:hanging="180"/>
      </w:pPr>
    </w:lvl>
    <w:lvl w:ilvl="6" w:tplc="DDCA3FDE" w:tentative="1">
      <w:start w:val="1"/>
      <w:numFmt w:val="decimal"/>
      <w:lvlText w:val="%7."/>
      <w:lvlJc w:val="left"/>
      <w:pPr>
        <w:ind w:left="5040" w:hanging="360"/>
      </w:pPr>
    </w:lvl>
    <w:lvl w:ilvl="7" w:tplc="7E34FFAE" w:tentative="1">
      <w:start w:val="1"/>
      <w:numFmt w:val="lowerLetter"/>
      <w:lvlText w:val="%8."/>
      <w:lvlJc w:val="left"/>
      <w:pPr>
        <w:ind w:left="5760" w:hanging="360"/>
      </w:pPr>
    </w:lvl>
    <w:lvl w:ilvl="8" w:tplc="6374C7AC" w:tentative="1">
      <w:start w:val="1"/>
      <w:numFmt w:val="lowerRoman"/>
      <w:lvlText w:val="%9."/>
      <w:lvlJc w:val="right"/>
      <w:pPr>
        <w:ind w:left="6480" w:hanging="180"/>
      </w:pPr>
    </w:lvl>
  </w:abstractNum>
  <w:abstractNum w:abstractNumId="14" w15:restartNumberingAfterBreak="0">
    <w:nsid w:val="21EF00C6"/>
    <w:multiLevelType w:val="hybridMultilevel"/>
    <w:tmpl w:val="05E81728"/>
    <w:lvl w:ilvl="0" w:tplc="D56E9AEE">
      <w:start w:val="1"/>
      <w:numFmt w:val="hebrew1"/>
      <w:lvlText w:val="%1."/>
      <w:lvlJc w:val="center"/>
      <w:pPr>
        <w:ind w:left="720" w:hanging="360"/>
      </w:pPr>
    </w:lvl>
    <w:lvl w:ilvl="1" w:tplc="3B1E5BB6" w:tentative="1">
      <w:start w:val="1"/>
      <w:numFmt w:val="lowerLetter"/>
      <w:lvlText w:val="%2."/>
      <w:lvlJc w:val="left"/>
      <w:pPr>
        <w:ind w:left="1440" w:hanging="360"/>
      </w:pPr>
    </w:lvl>
    <w:lvl w:ilvl="2" w:tplc="EA486DCA" w:tentative="1">
      <w:start w:val="1"/>
      <w:numFmt w:val="lowerRoman"/>
      <w:lvlText w:val="%3."/>
      <w:lvlJc w:val="right"/>
      <w:pPr>
        <w:ind w:left="2160" w:hanging="180"/>
      </w:pPr>
    </w:lvl>
    <w:lvl w:ilvl="3" w:tplc="5A200F8E" w:tentative="1">
      <w:start w:val="1"/>
      <w:numFmt w:val="decimal"/>
      <w:lvlText w:val="%4."/>
      <w:lvlJc w:val="left"/>
      <w:pPr>
        <w:ind w:left="2880" w:hanging="360"/>
      </w:pPr>
    </w:lvl>
    <w:lvl w:ilvl="4" w:tplc="05C6E602" w:tentative="1">
      <w:start w:val="1"/>
      <w:numFmt w:val="lowerLetter"/>
      <w:lvlText w:val="%5."/>
      <w:lvlJc w:val="left"/>
      <w:pPr>
        <w:ind w:left="3600" w:hanging="360"/>
      </w:pPr>
    </w:lvl>
    <w:lvl w:ilvl="5" w:tplc="5DE8E0E0" w:tentative="1">
      <w:start w:val="1"/>
      <w:numFmt w:val="lowerRoman"/>
      <w:lvlText w:val="%6."/>
      <w:lvlJc w:val="right"/>
      <w:pPr>
        <w:ind w:left="4320" w:hanging="180"/>
      </w:pPr>
    </w:lvl>
    <w:lvl w:ilvl="6" w:tplc="7D5A6C3E" w:tentative="1">
      <w:start w:val="1"/>
      <w:numFmt w:val="decimal"/>
      <w:lvlText w:val="%7."/>
      <w:lvlJc w:val="left"/>
      <w:pPr>
        <w:ind w:left="5040" w:hanging="360"/>
      </w:pPr>
    </w:lvl>
    <w:lvl w:ilvl="7" w:tplc="1F74F378" w:tentative="1">
      <w:start w:val="1"/>
      <w:numFmt w:val="lowerLetter"/>
      <w:lvlText w:val="%8."/>
      <w:lvlJc w:val="left"/>
      <w:pPr>
        <w:ind w:left="5760" w:hanging="360"/>
      </w:pPr>
    </w:lvl>
    <w:lvl w:ilvl="8" w:tplc="E06AD60E" w:tentative="1">
      <w:start w:val="1"/>
      <w:numFmt w:val="lowerRoman"/>
      <w:lvlText w:val="%9."/>
      <w:lvlJc w:val="right"/>
      <w:pPr>
        <w:ind w:left="6480" w:hanging="180"/>
      </w:pPr>
    </w:lvl>
  </w:abstractNum>
  <w:abstractNum w:abstractNumId="15" w15:restartNumberingAfterBreak="0">
    <w:nsid w:val="26314D55"/>
    <w:multiLevelType w:val="hybridMultilevel"/>
    <w:tmpl w:val="7DE0612C"/>
    <w:lvl w:ilvl="0" w:tplc="B8BC9584">
      <w:start w:val="1"/>
      <w:numFmt w:val="lowerLetter"/>
      <w:lvlText w:val="(%1)"/>
      <w:lvlJc w:val="left"/>
      <w:pPr>
        <w:ind w:left="1088" w:hanging="368"/>
      </w:pPr>
      <w:rPr>
        <w:rFonts w:hint="default"/>
      </w:rPr>
    </w:lvl>
    <w:lvl w:ilvl="1" w:tplc="55C6F0F0" w:tentative="1">
      <w:start w:val="1"/>
      <w:numFmt w:val="lowerLetter"/>
      <w:lvlText w:val="%2."/>
      <w:lvlJc w:val="left"/>
      <w:pPr>
        <w:ind w:left="1800" w:hanging="360"/>
      </w:pPr>
    </w:lvl>
    <w:lvl w:ilvl="2" w:tplc="E9F88B6A" w:tentative="1">
      <w:start w:val="1"/>
      <w:numFmt w:val="lowerRoman"/>
      <w:lvlText w:val="%3."/>
      <w:lvlJc w:val="right"/>
      <w:pPr>
        <w:ind w:left="2520" w:hanging="180"/>
      </w:pPr>
    </w:lvl>
    <w:lvl w:ilvl="3" w:tplc="087257FA" w:tentative="1">
      <w:start w:val="1"/>
      <w:numFmt w:val="decimal"/>
      <w:lvlText w:val="%4."/>
      <w:lvlJc w:val="left"/>
      <w:pPr>
        <w:ind w:left="3240" w:hanging="360"/>
      </w:pPr>
    </w:lvl>
    <w:lvl w:ilvl="4" w:tplc="80DC0CE8" w:tentative="1">
      <w:start w:val="1"/>
      <w:numFmt w:val="lowerLetter"/>
      <w:lvlText w:val="%5."/>
      <w:lvlJc w:val="left"/>
      <w:pPr>
        <w:ind w:left="3960" w:hanging="360"/>
      </w:pPr>
    </w:lvl>
    <w:lvl w:ilvl="5" w:tplc="8A2078EE" w:tentative="1">
      <w:start w:val="1"/>
      <w:numFmt w:val="lowerRoman"/>
      <w:lvlText w:val="%6."/>
      <w:lvlJc w:val="right"/>
      <w:pPr>
        <w:ind w:left="4680" w:hanging="180"/>
      </w:pPr>
    </w:lvl>
    <w:lvl w:ilvl="6" w:tplc="E6329418" w:tentative="1">
      <w:start w:val="1"/>
      <w:numFmt w:val="decimal"/>
      <w:lvlText w:val="%7."/>
      <w:lvlJc w:val="left"/>
      <w:pPr>
        <w:ind w:left="5400" w:hanging="360"/>
      </w:pPr>
    </w:lvl>
    <w:lvl w:ilvl="7" w:tplc="C32264D2" w:tentative="1">
      <w:start w:val="1"/>
      <w:numFmt w:val="lowerLetter"/>
      <w:lvlText w:val="%8."/>
      <w:lvlJc w:val="left"/>
      <w:pPr>
        <w:ind w:left="6120" w:hanging="360"/>
      </w:pPr>
    </w:lvl>
    <w:lvl w:ilvl="8" w:tplc="59408128" w:tentative="1">
      <w:start w:val="1"/>
      <w:numFmt w:val="lowerRoman"/>
      <w:lvlText w:val="%9."/>
      <w:lvlJc w:val="right"/>
      <w:pPr>
        <w:ind w:left="6840" w:hanging="180"/>
      </w:pPr>
    </w:lvl>
  </w:abstractNum>
  <w:abstractNum w:abstractNumId="16" w15:restartNumberingAfterBreak="0">
    <w:nsid w:val="2E1938D7"/>
    <w:multiLevelType w:val="hybridMultilevel"/>
    <w:tmpl w:val="BA027F7A"/>
    <w:lvl w:ilvl="0" w:tplc="29A4E3FC">
      <w:start w:val="1"/>
      <w:numFmt w:val="decimal"/>
      <w:lvlText w:val="(%1)"/>
      <w:lvlJc w:val="left"/>
      <w:pPr>
        <w:ind w:left="1080" w:hanging="360"/>
      </w:pPr>
      <w:rPr>
        <w:rFonts w:hint="default"/>
      </w:rPr>
    </w:lvl>
    <w:lvl w:ilvl="1" w:tplc="B514452E" w:tentative="1">
      <w:start w:val="1"/>
      <w:numFmt w:val="lowerLetter"/>
      <w:lvlText w:val="%2."/>
      <w:lvlJc w:val="left"/>
      <w:pPr>
        <w:ind w:left="1800" w:hanging="360"/>
      </w:pPr>
    </w:lvl>
    <w:lvl w:ilvl="2" w:tplc="5E6E2F02" w:tentative="1">
      <w:start w:val="1"/>
      <w:numFmt w:val="lowerRoman"/>
      <w:lvlText w:val="%3."/>
      <w:lvlJc w:val="right"/>
      <w:pPr>
        <w:ind w:left="2520" w:hanging="180"/>
      </w:pPr>
    </w:lvl>
    <w:lvl w:ilvl="3" w:tplc="E702DBE4" w:tentative="1">
      <w:start w:val="1"/>
      <w:numFmt w:val="decimal"/>
      <w:lvlText w:val="%4."/>
      <w:lvlJc w:val="left"/>
      <w:pPr>
        <w:ind w:left="3240" w:hanging="360"/>
      </w:pPr>
    </w:lvl>
    <w:lvl w:ilvl="4" w:tplc="4B928E1C" w:tentative="1">
      <w:start w:val="1"/>
      <w:numFmt w:val="lowerLetter"/>
      <w:lvlText w:val="%5."/>
      <w:lvlJc w:val="left"/>
      <w:pPr>
        <w:ind w:left="3960" w:hanging="360"/>
      </w:pPr>
    </w:lvl>
    <w:lvl w:ilvl="5" w:tplc="458A405A" w:tentative="1">
      <w:start w:val="1"/>
      <w:numFmt w:val="lowerRoman"/>
      <w:lvlText w:val="%6."/>
      <w:lvlJc w:val="right"/>
      <w:pPr>
        <w:ind w:left="4680" w:hanging="180"/>
      </w:pPr>
    </w:lvl>
    <w:lvl w:ilvl="6" w:tplc="40F212FE" w:tentative="1">
      <w:start w:val="1"/>
      <w:numFmt w:val="decimal"/>
      <w:lvlText w:val="%7."/>
      <w:lvlJc w:val="left"/>
      <w:pPr>
        <w:ind w:left="5400" w:hanging="360"/>
      </w:pPr>
    </w:lvl>
    <w:lvl w:ilvl="7" w:tplc="11FAEF20" w:tentative="1">
      <w:start w:val="1"/>
      <w:numFmt w:val="lowerLetter"/>
      <w:lvlText w:val="%8."/>
      <w:lvlJc w:val="left"/>
      <w:pPr>
        <w:ind w:left="6120" w:hanging="360"/>
      </w:pPr>
    </w:lvl>
    <w:lvl w:ilvl="8" w:tplc="27705BB8" w:tentative="1">
      <w:start w:val="1"/>
      <w:numFmt w:val="lowerRoman"/>
      <w:lvlText w:val="%9."/>
      <w:lvlJc w:val="right"/>
      <w:pPr>
        <w:ind w:left="6840" w:hanging="180"/>
      </w:pPr>
    </w:lvl>
  </w:abstractNum>
  <w:abstractNum w:abstractNumId="17" w15:restartNumberingAfterBreak="0">
    <w:nsid w:val="476B05F4"/>
    <w:multiLevelType w:val="hybridMultilevel"/>
    <w:tmpl w:val="05E81728"/>
    <w:lvl w:ilvl="0" w:tplc="A478FA7A">
      <w:start w:val="1"/>
      <w:numFmt w:val="hebrew1"/>
      <w:lvlText w:val="%1."/>
      <w:lvlJc w:val="center"/>
      <w:pPr>
        <w:ind w:left="720" w:hanging="360"/>
      </w:pPr>
    </w:lvl>
    <w:lvl w:ilvl="1" w:tplc="CFC2E8D0" w:tentative="1">
      <w:start w:val="1"/>
      <w:numFmt w:val="lowerLetter"/>
      <w:lvlText w:val="%2."/>
      <w:lvlJc w:val="left"/>
      <w:pPr>
        <w:ind w:left="1440" w:hanging="360"/>
      </w:pPr>
    </w:lvl>
    <w:lvl w:ilvl="2" w:tplc="0C20867E" w:tentative="1">
      <w:start w:val="1"/>
      <w:numFmt w:val="lowerRoman"/>
      <w:lvlText w:val="%3."/>
      <w:lvlJc w:val="right"/>
      <w:pPr>
        <w:ind w:left="2160" w:hanging="180"/>
      </w:pPr>
    </w:lvl>
    <w:lvl w:ilvl="3" w:tplc="F41465BE" w:tentative="1">
      <w:start w:val="1"/>
      <w:numFmt w:val="decimal"/>
      <w:lvlText w:val="%4."/>
      <w:lvlJc w:val="left"/>
      <w:pPr>
        <w:ind w:left="2880" w:hanging="360"/>
      </w:pPr>
    </w:lvl>
    <w:lvl w:ilvl="4" w:tplc="B030C144" w:tentative="1">
      <w:start w:val="1"/>
      <w:numFmt w:val="lowerLetter"/>
      <w:lvlText w:val="%5."/>
      <w:lvlJc w:val="left"/>
      <w:pPr>
        <w:ind w:left="3600" w:hanging="360"/>
      </w:pPr>
    </w:lvl>
    <w:lvl w:ilvl="5" w:tplc="CF521DDE" w:tentative="1">
      <w:start w:val="1"/>
      <w:numFmt w:val="lowerRoman"/>
      <w:lvlText w:val="%6."/>
      <w:lvlJc w:val="right"/>
      <w:pPr>
        <w:ind w:left="4320" w:hanging="180"/>
      </w:pPr>
    </w:lvl>
    <w:lvl w:ilvl="6" w:tplc="15D4B162" w:tentative="1">
      <w:start w:val="1"/>
      <w:numFmt w:val="decimal"/>
      <w:lvlText w:val="%7."/>
      <w:lvlJc w:val="left"/>
      <w:pPr>
        <w:ind w:left="5040" w:hanging="360"/>
      </w:pPr>
    </w:lvl>
    <w:lvl w:ilvl="7" w:tplc="A080C678" w:tentative="1">
      <w:start w:val="1"/>
      <w:numFmt w:val="lowerLetter"/>
      <w:lvlText w:val="%8."/>
      <w:lvlJc w:val="left"/>
      <w:pPr>
        <w:ind w:left="5760" w:hanging="360"/>
      </w:pPr>
    </w:lvl>
    <w:lvl w:ilvl="8" w:tplc="6BDE8C36" w:tentative="1">
      <w:start w:val="1"/>
      <w:numFmt w:val="lowerRoman"/>
      <w:lvlText w:val="%9."/>
      <w:lvlJc w:val="right"/>
      <w:pPr>
        <w:ind w:left="6480" w:hanging="180"/>
      </w:pPr>
    </w:lvl>
  </w:abstractNum>
  <w:abstractNum w:abstractNumId="18" w15:restartNumberingAfterBreak="0">
    <w:nsid w:val="4FE70B62"/>
    <w:multiLevelType w:val="hybridMultilevel"/>
    <w:tmpl w:val="ADA8711E"/>
    <w:lvl w:ilvl="0" w:tplc="72CEDA22">
      <w:start w:val="1"/>
      <w:numFmt w:val="hebrew1"/>
      <w:pStyle w:val="Ruller40"/>
      <w:lvlText w:val="%1."/>
      <w:lvlJc w:val="left"/>
      <w:pPr>
        <w:tabs>
          <w:tab w:val="num" w:pos="907"/>
        </w:tabs>
        <w:ind w:left="0" w:firstLine="0"/>
      </w:pPr>
      <w:rPr>
        <w:rFonts w:hint="default"/>
      </w:rPr>
    </w:lvl>
    <w:lvl w:ilvl="1" w:tplc="D52C752E" w:tentative="1">
      <w:start w:val="1"/>
      <w:numFmt w:val="lowerLetter"/>
      <w:lvlText w:val="%2."/>
      <w:lvlJc w:val="left"/>
      <w:pPr>
        <w:tabs>
          <w:tab w:val="num" w:pos="1440"/>
        </w:tabs>
        <w:ind w:left="1440" w:hanging="360"/>
      </w:pPr>
    </w:lvl>
    <w:lvl w:ilvl="2" w:tplc="D2E070EC" w:tentative="1">
      <w:start w:val="1"/>
      <w:numFmt w:val="lowerRoman"/>
      <w:lvlText w:val="%3."/>
      <w:lvlJc w:val="right"/>
      <w:pPr>
        <w:tabs>
          <w:tab w:val="num" w:pos="2160"/>
        </w:tabs>
        <w:ind w:left="2160" w:hanging="180"/>
      </w:pPr>
    </w:lvl>
    <w:lvl w:ilvl="3" w:tplc="7F58D8CC" w:tentative="1">
      <w:start w:val="1"/>
      <w:numFmt w:val="decimal"/>
      <w:lvlText w:val="%4."/>
      <w:lvlJc w:val="left"/>
      <w:pPr>
        <w:tabs>
          <w:tab w:val="num" w:pos="2880"/>
        </w:tabs>
        <w:ind w:left="2880" w:hanging="360"/>
      </w:pPr>
    </w:lvl>
    <w:lvl w:ilvl="4" w:tplc="C95ED720" w:tentative="1">
      <w:start w:val="1"/>
      <w:numFmt w:val="lowerLetter"/>
      <w:lvlText w:val="%5."/>
      <w:lvlJc w:val="left"/>
      <w:pPr>
        <w:tabs>
          <w:tab w:val="num" w:pos="3600"/>
        </w:tabs>
        <w:ind w:left="3600" w:hanging="360"/>
      </w:pPr>
    </w:lvl>
    <w:lvl w:ilvl="5" w:tplc="9B886198" w:tentative="1">
      <w:start w:val="1"/>
      <w:numFmt w:val="lowerRoman"/>
      <w:lvlText w:val="%6."/>
      <w:lvlJc w:val="right"/>
      <w:pPr>
        <w:tabs>
          <w:tab w:val="num" w:pos="4320"/>
        </w:tabs>
        <w:ind w:left="4320" w:hanging="180"/>
      </w:pPr>
    </w:lvl>
    <w:lvl w:ilvl="6" w:tplc="A11411E2" w:tentative="1">
      <w:start w:val="1"/>
      <w:numFmt w:val="decimal"/>
      <w:lvlText w:val="%7."/>
      <w:lvlJc w:val="left"/>
      <w:pPr>
        <w:tabs>
          <w:tab w:val="num" w:pos="5040"/>
        </w:tabs>
        <w:ind w:left="5040" w:hanging="360"/>
      </w:pPr>
    </w:lvl>
    <w:lvl w:ilvl="7" w:tplc="46C8FA3C" w:tentative="1">
      <w:start w:val="1"/>
      <w:numFmt w:val="lowerLetter"/>
      <w:lvlText w:val="%8."/>
      <w:lvlJc w:val="left"/>
      <w:pPr>
        <w:tabs>
          <w:tab w:val="num" w:pos="5760"/>
        </w:tabs>
        <w:ind w:left="5760" w:hanging="360"/>
      </w:pPr>
    </w:lvl>
    <w:lvl w:ilvl="8" w:tplc="7AD6E296" w:tentative="1">
      <w:start w:val="1"/>
      <w:numFmt w:val="lowerRoman"/>
      <w:lvlText w:val="%9."/>
      <w:lvlJc w:val="right"/>
      <w:pPr>
        <w:tabs>
          <w:tab w:val="num" w:pos="6480"/>
        </w:tabs>
        <w:ind w:left="6480" w:hanging="180"/>
      </w:pPr>
    </w:lvl>
  </w:abstractNum>
  <w:abstractNum w:abstractNumId="19" w15:restartNumberingAfterBreak="0">
    <w:nsid w:val="5A4B26DE"/>
    <w:multiLevelType w:val="hybridMultilevel"/>
    <w:tmpl w:val="2BFAA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8E1EF9"/>
    <w:multiLevelType w:val="hybridMultilevel"/>
    <w:tmpl w:val="5630FD4C"/>
    <w:lvl w:ilvl="0" w:tplc="11F09CD8">
      <w:start w:val="7"/>
      <w:numFmt w:val="bullet"/>
      <w:lvlText w:val="-"/>
      <w:lvlJc w:val="left"/>
      <w:pPr>
        <w:ind w:left="405" w:hanging="360"/>
      </w:pPr>
      <w:rPr>
        <w:rFonts w:ascii="Century" w:eastAsia="Times New Roman" w:hAnsi="Century" w:cs="FrankRuehl" w:hint="default"/>
      </w:rPr>
    </w:lvl>
    <w:lvl w:ilvl="1" w:tplc="A4AE4564" w:tentative="1">
      <w:start w:val="1"/>
      <w:numFmt w:val="bullet"/>
      <w:lvlText w:val="o"/>
      <w:lvlJc w:val="left"/>
      <w:pPr>
        <w:ind w:left="1125" w:hanging="360"/>
      </w:pPr>
      <w:rPr>
        <w:rFonts w:ascii="Courier New" w:hAnsi="Courier New" w:cs="Courier New" w:hint="default"/>
      </w:rPr>
    </w:lvl>
    <w:lvl w:ilvl="2" w:tplc="7C64947C" w:tentative="1">
      <w:start w:val="1"/>
      <w:numFmt w:val="bullet"/>
      <w:lvlText w:val=""/>
      <w:lvlJc w:val="left"/>
      <w:pPr>
        <w:ind w:left="1845" w:hanging="360"/>
      </w:pPr>
      <w:rPr>
        <w:rFonts w:ascii="Wingdings" w:hAnsi="Wingdings" w:hint="default"/>
      </w:rPr>
    </w:lvl>
    <w:lvl w:ilvl="3" w:tplc="079AED30" w:tentative="1">
      <w:start w:val="1"/>
      <w:numFmt w:val="bullet"/>
      <w:lvlText w:val=""/>
      <w:lvlJc w:val="left"/>
      <w:pPr>
        <w:ind w:left="2565" w:hanging="360"/>
      </w:pPr>
      <w:rPr>
        <w:rFonts w:ascii="Symbol" w:hAnsi="Symbol" w:hint="default"/>
      </w:rPr>
    </w:lvl>
    <w:lvl w:ilvl="4" w:tplc="F75C365E" w:tentative="1">
      <w:start w:val="1"/>
      <w:numFmt w:val="bullet"/>
      <w:lvlText w:val="o"/>
      <w:lvlJc w:val="left"/>
      <w:pPr>
        <w:ind w:left="3285" w:hanging="360"/>
      </w:pPr>
      <w:rPr>
        <w:rFonts w:ascii="Courier New" w:hAnsi="Courier New" w:cs="Courier New" w:hint="default"/>
      </w:rPr>
    </w:lvl>
    <w:lvl w:ilvl="5" w:tplc="26D62ABE" w:tentative="1">
      <w:start w:val="1"/>
      <w:numFmt w:val="bullet"/>
      <w:lvlText w:val=""/>
      <w:lvlJc w:val="left"/>
      <w:pPr>
        <w:ind w:left="4005" w:hanging="360"/>
      </w:pPr>
      <w:rPr>
        <w:rFonts w:ascii="Wingdings" w:hAnsi="Wingdings" w:hint="default"/>
      </w:rPr>
    </w:lvl>
    <w:lvl w:ilvl="6" w:tplc="419A04F8" w:tentative="1">
      <w:start w:val="1"/>
      <w:numFmt w:val="bullet"/>
      <w:lvlText w:val=""/>
      <w:lvlJc w:val="left"/>
      <w:pPr>
        <w:ind w:left="4725" w:hanging="360"/>
      </w:pPr>
      <w:rPr>
        <w:rFonts w:ascii="Symbol" w:hAnsi="Symbol" w:hint="default"/>
      </w:rPr>
    </w:lvl>
    <w:lvl w:ilvl="7" w:tplc="E474BD8E" w:tentative="1">
      <w:start w:val="1"/>
      <w:numFmt w:val="bullet"/>
      <w:lvlText w:val="o"/>
      <w:lvlJc w:val="left"/>
      <w:pPr>
        <w:ind w:left="5445" w:hanging="360"/>
      </w:pPr>
      <w:rPr>
        <w:rFonts w:ascii="Courier New" w:hAnsi="Courier New" w:cs="Courier New" w:hint="default"/>
      </w:rPr>
    </w:lvl>
    <w:lvl w:ilvl="8" w:tplc="98CA0806" w:tentative="1">
      <w:start w:val="1"/>
      <w:numFmt w:val="bullet"/>
      <w:lvlText w:val=""/>
      <w:lvlJc w:val="left"/>
      <w:pPr>
        <w:ind w:left="6165" w:hanging="360"/>
      </w:pPr>
      <w:rPr>
        <w:rFonts w:ascii="Wingdings" w:hAnsi="Wingdings" w:hint="default"/>
      </w:rPr>
    </w:lvl>
  </w:abstractNum>
  <w:abstractNum w:abstractNumId="21" w15:restartNumberingAfterBreak="0">
    <w:nsid w:val="5D3577B1"/>
    <w:multiLevelType w:val="hybridMultilevel"/>
    <w:tmpl w:val="3E1C2BA6"/>
    <w:lvl w:ilvl="0" w:tplc="DADA7C9A">
      <w:start w:val="1"/>
      <w:numFmt w:val="decimal"/>
      <w:lvlText w:val="%1."/>
      <w:lvlJc w:val="left"/>
      <w:pPr>
        <w:ind w:left="1520" w:hanging="360"/>
      </w:pPr>
    </w:lvl>
    <w:lvl w:ilvl="1" w:tplc="AE9ABDCA" w:tentative="1">
      <w:start w:val="1"/>
      <w:numFmt w:val="lowerLetter"/>
      <w:lvlText w:val="%2."/>
      <w:lvlJc w:val="left"/>
      <w:pPr>
        <w:ind w:left="2240" w:hanging="360"/>
      </w:pPr>
    </w:lvl>
    <w:lvl w:ilvl="2" w:tplc="765638FA" w:tentative="1">
      <w:start w:val="1"/>
      <w:numFmt w:val="lowerRoman"/>
      <w:lvlText w:val="%3."/>
      <w:lvlJc w:val="right"/>
      <w:pPr>
        <w:ind w:left="2960" w:hanging="180"/>
      </w:pPr>
    </w:lvl>
    <w:lvl w:ilvl="3" w:tplc="35847D0A" w:tentative="1">
      <w:start w:val="1"/>
      <w:numFmt w:val="decimal"/>
      <w:lvlText w:val="%4."/>
      <w:lvlJc w:val="left"/>
      <w:pPr>
        <w:ind w:left="3680" w:hanging="360"/>
      </w:pPr>
    </w:lvl>
    <w:lvl w:ilvl="4" w:tplc="6D90A9D0" w:tentative="1">
      <w:start w:val="1"/>
      <w:numFmt w:val="lowerLetter"/>
      <w:lvlText w:val="%5."/>
      <w:lvlJc w:val="left"/>
      <w:pPr>
        <w:ind w:left="4400" w:hanging="360"/>
      </w:pPr>
    </w:lvl>
    <w:lvl w:ilvl="5" w:tplc="1256E3EA" w:tentative="1">
      <w:start w:val="1"/>
      <w:numFmt w:val="lowerRoman"/>
      <w:lvlText w:val="%6."/>
      <w:lvlJc w:val="right"/>
      <w:pPr>
        <w:ind w:left="5120" w:hanging="180"/>
      </w:pPr>
    </w:lvl>
    <w:lvl w:ilvl="6" w:tplc="17D6E56E" w:tentative="1">
      <w:start w:val="1"/>
      <w:numFmt w:val="decimal"/>
      <w:lvlText w:val="%7."/>
      <w:lvlJc w:val="left"/>
      <w:pPr>
        <w:ind w:left="5840" w:hanging="360"/>
      </w:pPr>
    </w:lvl>
    <w:lvl w:ilvl="7" w:tplc="6DD633EC" w:tentative="1">
      <w:start w:val="1"/>
      <w:numFmt w:val="lowerLetter"/>
      <w:lvlText w:val="%8."/>
      <w:lvlJc w:val="left"/>
      <w:pPr>
        <w:ind w:left="6560" w:hanging="360"/>
      </w:pPr>
    </w:lvl>
    <w:lvl w:ilvl="8" w:tplc="5574CA8E" w:tentative="1">
      <w:start w:val="1"/>
      <w:numFmt w:val="lowerRoman"/>
      <w:lvlText w:val="%9."/>
      <w:lvlJc w:val="right"/>
      <w:pPr>
        <w:ind w:left="7280" w:hanging="180"/>
      </w:pPr>
    </w:lvl>
  </w:abstractNum>
  <w:abstractNum w:abstractNumId="22" w15:restartNumberingAfterBreak="0">
    <w:nsid w:val="66AB6FF6"/>
    <w:multiLevelType w:val="hybridMultilevel"/>
    <w:tmpl w:val="352A060E"/>
    <w:lvl w:ilvl="0" w:tplc="E7683F32">
      <w:start w:val="1"/>
      <w:numFmt w:val="hebrew1"/>
      <w:lvlText w:val="%1."/>
      <w:lvlJc w:val="left"/>
      <w:pPr>
        <w:ind w:left="720" w:hanging="360"/>
      </w:pPr>
      <w:rPr>
        <w:rFonts w:hint="default"/>
      </w:rPr>
    </w:lvl>
    <w:lvl w:ilvl="1" w:tplc="C4B4D0C8" w:tentative="1">
      <w:start w:val="1"/>
      <w:numFmt w:val="lowerLetter"/>
      <w:lvlText w:val="%2."/>
      <w:lvlJc w:val="left"/>
      <w:pPr>
        <w:ind w:left="1440" w:hanging="360"/>
      </w:pPr>
    </w:lvl>
    <w:lvl w:ilvl="2" w:tplc="1FD80602" w:tentative="1">
      <w:start w:val="1"/>
      <w:numFmt w:val="lowerRoman"/>
      <w:lvlText w:val="%3."/>
      <w:lvlJc w:val="right"/>
      <w:pPr>
        <w:ind w:left="2160" w:hanging="180"/>
      </w:pPr>
    </w:lvl>
    <w:lvl w:ilvl="3" w:tplc="F3E67438" w:tentative="1">
      <w:start w:val="1"/>
      <w:numFmt w:val="decimal"/>
      <w:lvlText w:val="%4."/>
      <w:lvlJc w:val="left"/>
      <w:pPr>
        <w:ind w:left="2880" w:hanging="360"/>
      </w:pPr>
    </w:lvl>
    <w:lvl w:ilvl="4" w:tplc="10CCB8BA" w:tentative="1">
      <w:start w:val="1"/>
      <w:numFmt w:val="lowerLetter"/>
      <w:lvlText w:val="%5."/>
      <w:lvlJc w:val="left"/>
      <w:pPr>
        <w:ind w:left="3600" w:hanging="360"/>
      </w:pPr>
    </w:lvl>
    <w:lvl w:ilvl="5" w:tplc="5A34D5CE" w:tentative="1">
      <w:start w:val="1"/>
      <w:numFmt w:val="lowerRoman"/>
      <w:lvlText w:val="%6."/>
      <w:lvlJc w:val="right"/>
      <w:pPr>
        <w:ind w:left="4320" w:hanging="180"/>
      </w:pPr>
    </w:lvl>
    <w:lvl w:ilvl="6" w:tplc="D9E0E5B2" w:tentative="1">
      <w:start w:val="1"/>
      <w:numFmt w:val="decimal"/>
      <w:lvlText w:val="%7."/>
      <w:lvlJc w:val="left"/>
      <w:pPr>
        <w:ind w:left="5040" w:hanging="360"/>
      </w:pPr>
    </w:lvl>
    <w:lvl w:ilvl="7" w:tplc="9C9EC988" w:tentative="1">
      <w:start w:val="1"/>
      <w:numFmt w:val="lowerLetter"/>
      <w:lvlText w:val="%8."/>
      <w:lvlJc w:val="left"/>
      <w:pPr>
        <w:ind w:left="5760" w:hanging="360"/>
      </w:pPr>
    </w:lvl>
    <w:lvl w:ilvl="8" w:tplc="D9B24154" w:tentative="1">
      <w:start w:val="1"/>
      <w:numFmt w:val="lowerRoman"/>
      <w:lvlText w:val="%9."/>
      <w:lvlJc w:val="right"/>
      <w:pPr>
        <w:ind w:left="6480" w:hanging="180"/>
      </w:pPr>
    </w:lvl>
  </w:abstractNum>
  <w:abstractNum w:abstractNumId="23" w15:restartNumberingAfterBreak="0">
    <w:nsid w:val="703F03EE"/>
    <w:multiLevelType w:val="hybridMultilevel"/>
    <w:tmpl w:val="D95C2476"/>
    <w:lvl w:ilvl="0" w:tplc="818087B6">
      <w:start w:val="1"/>
      <w:numFmt w:val="hebrew1"/>
      <w:lvlText w:val="%1."/>
      <w:lvlJc w:val="center"/>
      <w:pPr>
        <w:ind w:left="1521" w:hanging="360"/>
      </w:pPr>
    </w:lvl>
    <w:lvl w:ilvl="1" w:tplc="C40CA2D0" w:tentative="1">
      <w:start w:val="1"/>
      <w:numFmt w:val="lowerLetter"/>
      <w:lvlText w:val="%2."/>
      <w:lvlJc w:val="left"/>
      <w:pPr>
        <w:ind w:left="2241" w:hanging="360"/>
      </w:pPr>
    </w:lvl>
    <w:lvl w:ilvl="2" w:tplc="AAF637AC" w:tentative="1">
      <w:start w:val="1"/>
      <w:numFmt w:val="lowerRoman"/>
      <w:lvlText w:val="%3."/>
      <w:lvlJc w:val="right"/>
      <w:pPr>
        <w:ind w:left="2961" w:hanging="180"/>
      </w:pPr>
    </w:lvl>
    <w:lvl w:ilvl="3" w:tplc="1DE66F68" w:tentative="1">
      <w:start w:val="1"/>
      <w:numFmt w:val="decimal"/>
      <w:lvlText w:val="%4."/>
      <w:lvlJc w:val="left"/>
      <w:pPr>
        <w:ind w:left="3681" w:hanging="360"/>
      </w:pPr>
    </w:lvl>
    <w:lvl w:ilvl="4" w:tplc="8C98272C" w:tentative="1">
      <w:start w:val="1"/>
      <w:numFmt w:val="lowerLetter"/>
      <w:lvlText w:val="%5."/>
      <w:lvlJc w:val="left"/>
      <w:pPr>
        <w:ind w:left="4401" w:hanging="360"/>
      </w:pPr>
    </w:lvl>
    <w:lvl w:ilvl="5" w:tplc="39167A96" w:tentative="1">
      <w:start w:val="1"/>
      <w:numFmt w:val="lowerRoman"/>
      <w:lvlText w:val="%6."/>
      <w:lvlJc w:val="right"/>
      <w:pPr>
        <w:ind w:left="5121" w:hanging="180"/>
      </w:pPr>
    </w:lvl>
    <w:lvl w:ilvl="6" w:tplc="31D89574" w:tentative="1">
      <w:start w:val="1"/>
      <w:numFmt w:val="decimal"/>
      <w:lvlText w:val="%7."/>
      <w:lvlJc w:val="left"/>
      <w:pPr>
        <w:ind w:left="5841" w:hanging="360"/>
      </w:pPr>
    </w:lvl>
    <w:lvl w:ilvl="7" w:tplc="1936A562" w:tentative="1">
      <w:start w:val="1"/>
      <w:numFmt w:val="lowerLetter"/>
      <w:lvlText w:val="%8."/>
      <w:lvlJc w:val="left"/>
      <w:pPr>
        <w:ind w:left="6561" w:hanging="360"/>
      </w:pPr>
    </w:lvl>
    <w:lvl w:ilvl="8" w:tplc="3F2AA52C" w:tentative="1">
      <w:start w:val="1"/>
      <w:numFmt w:val="lowerRoman"/>
      <w:lvlText w:val="%9."/>
      <w:lvlJc w:val="right"/>
      <w:pPr>
        <w:ind w:left="7281" w:hanging="180"/>
      </w:pPr>
    </w:lvl>
  </w:abstractNum>
  <w:abstractNum w:abstractNumId="24" w15:restartNumberingAfterBreak="0">
    <w:nsid w:val="75157895"/>
    <w:multiLevelType w:val="hybridMultilevel"/>
    <w:tmpl w:val="70EA447E"/>
    <w:lvl w:ilvl="0" w:tplc="F35E0B12">
      <w:start w:val="1"/>
      <w:numFmt w:val="decimal"/>
      <w:lvlText w:val="%1."/>
      <w:lvlJc w:val="left"/>
      <w:pPr>
        <w:ind w:left="720" w:hanging="360"/>
      </w:pPr>
      <w:rPr>
        <w:rFonts w:hint="default"/>
      </w:rPr>
    </w:lvl>
    <w:lvl w:ilvl="1" w:tplc="27541B4A" w:tentative="1">
      <w:start w:val="1"/>
      <w:numFmt w:val="lowerLetter"/>
      <w:lvlText w:val="%2."/>
      <w:lvlJc w:val="left"/>
      <w:pPr>
        <w:ind w:left="1440" w:hanging="360"/>
      </w:pPr>
    </w:lvl>
    <w:lvl w:ilvl="2" w:tplc="421454AC" w:tentative="1">
      <w:start w:val="1"/>
      <w:numFmt w:val="lowerRoman"/>
      <w:lvlText w:val="%3."/>
      <w:lvlJc w:val="right"/>
      <w:pPr>
        <w:ind w:left="2160" w:hanging="180"/>
      </w:pPr>
    </w:lvl>
    <w:lvl w:ilvl="3" w:tplc="AC584B9E" w:tentative="1">
      <w:start w:val="1"/>
      <w:numFmt w:val="decimal"/>
      <w:lvlText w:val="%4."/>
      <w:lvlJc w:val="left"/>
      <w:pPr>
        <w:ind w:left="2880" w:hanging="360"/>
      </w:pPr>
    </w:lvl>
    <w:lvl w:ilvl="4" w:tplc="442824C6" w:tentative="1">
      <w:start w:val="1"/>
      <w:numFmt w:val="lowerLetter"/>
      <w:lvlText w:val="%5."/>
      <w:lvlJc w:val="left"/>
      <w:pPr>
        <w:ind w:left="3600" w:hanging="360"/>
      </w:pPr>
    </w:lvl>
    <w:lvl w:ilvl="5" w:tplc="3CC4BC2E" w:tentative="1">
      <w:start w:val="1"/>
      <w:numFmt w:val="lowerRoman"/>
      <w:lvlText w:val="%6."/>
      <w:lvlJc w:val="right"/>
      <w:pPr>
        <w:ind w:left="4320" w:hanging="180"/>
      </w:pPr>
    </w:lvl>
    <w:lvl w:ilvl="6" w:tplc="D2BE4852" w:tentative="1">
      <w:start w:val="1"/>
      <w:numFmt w:val="decimal"/>
      <w:lvlText w:val="%7."/>
      <w:lvlJc w:val="left"/>
      <w:pPr>
        <w:ind w:left="5040" w:hanging="360"/>
      </w:pPr>
    </w:lvl>
    <w:lvl w:ilvl="7" w:tplc="F138BB04" w:tentative="1">
      <w:start w:val="1"/>
      <w:numFmt w:val="lowerLetter"/>
      <w:lvlText w:val="%8."/>
      <w:lvlJc w:val="left"/>
      <w:pPr>
        <w:ind w:left="5760" w:hanging="360"/>
      </w:pPr>
    </w:lvl>
    <w:lvl w:ilvl="8" w:tplc="3962CC8C"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10"/>
    <w:lvlOverride w:ilvl="0">
      <w:startOverride w:val="1"/>
    </w:lvlOverride>
  </w:num>
  <w:num w:numId="14">
    <w:abstractNumId w:val="13"/>
  </w:num>
  <w:num w:numId="15">
    <w:abstractNumId w:val="22"/>
  </w:num>
  <w:num w:numId="16">
    <w:abstractNumId w:val="24"/>
  </w:num>
  <w:num w:numId="17">
    <w:abstractNumId w:val="10"/>
    <w:lvlOverride w:ilvl="0">
      <w:startOverride w:val="5"/>
    </w:lvlOverride>
  </w:num>
  <w:num w:numId="18">
    <w:abstractNumId w:val="10"/>
    <w:lvlOverride w:ilvl="0">
      <w:startOverride w:val="6"/>
    </w:lvlOverride>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3"/>
  </w:num>
  <w:num w:numId="24">
    <w:abstractNumId w:val="17"/>
  </w:num>
  <w:num w:numId="25">
    <w:abstractNumId w:val="12"/>
  </w:num>
  <w:num w:numId="26">
    <w:abstractNumId w:val="14"/>
  </w:num>
  <w:num w:numId="27">
    <w:abstractNumId w:val="15"/>
  </w:num>
  <w:num w:numId="28">
    <w:abstractNumId w:val="16"/>
  </w:num>
  <w:num w:numId="29">
    <w:abstractNumId w:val="20"/>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01814"/>
    <w:rsid w:val="00010624"/>
    <w:rsid w:val="00016EF1"/>
    <w:rsid w:val="00032036"/>
    <w:rsid w:val="00036227"/>
    <w:rsid w:val="00044953"/>
    <w:rsid w:val="00045B4D"/>
    <w:rsid w:val="00072AD2"/>
    <w:rsid w:val="000B1478"/>
    <w:rsid w:val="000C0A71"/>
    <w:rsid w:val="000C4690"/>
    <w:rsid w:val="000D1887"/>
    <w:rsid w:val="000D25C4"/>
    <w:rsid w:val="000E54EA"/>
    <w:rsid w:val="00104636"/>
    <w:rsid w:val="0011039C"/>
    <w:rsid w:val="00115BF5"/>
    <w:rsid w:val="00124AB5"/>
    <w:rsid w:val="00134A67"/>
    <w:rsid w:val="0014083D"/>
    <w:rsid w:val="00181F89"/>
    <w:rsid w:val="001840B6"/>
    <w:rsid w:val="001A0164"/>
    <w:rsid w:val="001A5374"/>
    <w:rsid w:val="001B4E80"/>
    <w:rsid w:val="00200D6B"/>
    <w:rsid w:val="00211BFE"/>
    <w:rsid w:val="002470D6"/>
    <w:rsid w:val="00265F6E"/>
    <w:rsid w:val="0027677C"/>
    <w:rsid w:val="00276CA5"/>
    <w:rsid w:val="002876BF"/>
    <w:rsid w:val="002A4A7A"/>
    <w:rsid w:val="002A4BF3"/>
    <w:rsid w:val="002C29DD"/>
    <w:rsid w:val="002C4B22"/>
    <w:rsid w:val="002E1CDC"/>
    <w:rsid w:val="002E50A0"/>
    <w:rsid w:val="002F7BB6"/>
    <w:rsid w:val="00314115"/>
    <w:rsid w:val="003156B0"/>
    <w:rsid w:val="00322A53"/>
    <w:rsid w:val="003448B2"/>
    <w:rsid w:val="00356F5C"/>
    <w:rsid w:val="00360CDA"/>
    <w:rsid w:val="00361DB2"/>
    <w:rsid w:val="0037622E"/>
    <w:rsid w:val="00377102"/>
    <w:rsid w:val="0039709B"/>
    <w:rsid w:val="003A5B81"/>
    <w:rsid w:val="003C3128"/>
    <w:rsid w:val="003D72DA"/>
    <w:rsid w:val="003F1F97"/>
    <w:rsid w:val="0040728F"/>
    <w:rsid w:val="0041048F"/>
    <w:rsid w:val="00415632"/>
    <w:rsid w:val="004610A4"/>
    <w:rsid w:val="00483498"/>
    <w:rsid w:val="004B29FF"/>
    <w:rsid w:val="004C7868"/>
    <w:rsid w:val="004D401F"/>
    <w:rsid w:val="004F1C85"/>
    <w:rsid w:val="004F3101"/>
    <w:rsid w:val="00503A3E"/>
    <w:rsid w:val="00507FE0"/>
    <w:rsid w:val="00523686"/>
    <w:rsid w:val="00527F02"/>
    <w:rsid w:val="00563072"/>
    <w:rsid w:val="0058440A"/>
    <w:rsid w:val="00591983"/>
    <w:rsid w:val="00593AD0"/>
    <w:rsid w:val="005C2EE3"/>
    <w:rsid w:val="00613311"/>
    <w:rsid w:val="00616689"/>
    <w:rsid w:val="00624A42"/>
    <w:rsid w:val="00625FD4"/>
    <w:rsid w:val="00626388"/>
    <w:rsid w:val="00642972"/>
    <w:rsid w:val="00644B14"/>
    <w:rsid w:val="0065522F"/>
    <w:rsid w:val="00690B48"/>
    <w:rsid w:val="006A1ADB"/>
    <w:rsid w:val="006A30F7"/>
    <w:rsid w:val="006C42AD"/>
    <w:rsid w:val="006F6424"/>
    <w:rsid w:val="00710211"/>
    <w:rsid w:val="00732FE2"/>
    <w:rsid w:val="00741CC0"/>
    <w:rsid w:val="00745D61"/>
    <w:rsid w:val="00760584"/>
    <w:rsid w:val="00770F6E"/>
    <w:rsid w:val="00782291"/>
    <w:rsid w:val="007B0327"/>
    <w:rsid w:val="007B512F"/>
    <w:rsid w:val="007F7512"/>
    <w:rsid w:val="00810894"/>
    <w:rsid w:val="008143AB"/>
    <w:rsid w:val="0082162C"/>
    <w:rsid w:val="00835739"/>
    <w:rsid w:val="00836667"/>
    <w:rsid w:val="008864F4"/>
    <w:rsid w:val="008C2F11"/>
    <w:rsid w:val="008D78B9"/>
    <w:rsid w:val="008E3F85"/>
    <w:rsid w:val="009051E8"/>
    <w:rsid w:val="00914156"/>
    <w:rsid w:val="00916FF8"/>
    <w:rsid w:val="00917458"/>
    <w:rsid w:val="00922093"/>
    <w:rsid w:val="00930C85"/>
    <w:rsid w:val="00936FFE"/>
    <w:rsid w:val="00941B17"/>
    <w:rsid w:val="009604BE"/>
    <w:rsid w:val="009858A9"/>
    <w:rsid w:val="009870B6"/>
    <w:rsid w:val="0099781E"/>
    <w:rsid w:val="009A4DFE"/>
    <w:rsid w:val="009B38DA"/>
    <w:rsid w:val="009B68AF"/>
    <w:rsid w:val="009C74C4"/>
    <w:rsid w:val="009F2F53"/>
    <w:rsid w:val="009F4187"/>
    <w:rsid w:val="00A01DFC"/>
    <w:rsid w:val="00A12E0F"/>
    <w:rsid w:val="00A51FAE"/>
    <w:rsid w:val="00A65B9A"/>
    <w:rsid w:val="00A717C6"/>
    <w:rsid w:val="00A821BF"/>
    <w:rsid w:val="00A8341D"/>
    <w:rsid w:val="00AB57CE"/>
    <w:rsid w:val="00AB69F7"/>
    <w:rsid w:val="00AD097B"/>
    <w:rsid w:val="00AD22AE"/>
    <w:rsid w:val="00AD61D3"/>
    <w:rsid w:val="00AD64B9"/>
    <w:rsid w:val="00AE022B"/>
    <w:rsid w:val="00AE2A69"/>
    <w:rsid w:val="00B009CC"/>
    <w:rsid w:val="00B0782A"/>
    <w:rsid w:val="00B2290C"/>
    <w:rsid w:val="00B33C99"/>
    <w:rsid w:val="00B62B8C"/>
    <w:rsid w:val="00B63343"/>
    <w:rsid w:val="00B657C5"/>
    <w:rsid w:val="00B8566E"/>
    <w:rsid w:val="00BA0B08"/>
    <w:rsid w:val="00BB3BC8"/>
    <w:rsid w:val="00BC0E82"/>
    <w:rsid w:val="00BC274A"/>
    <w:rsid w:val="00BD40F9"/>
    <w:rsid w:val="00BD788D"/>
    <w:rsid w:val="00BE2312"/>
    <w:rsid w:val="00BE4118"/>
    <w:rsid w:val="00BF5B75"/>
    <w:rsid w:val="00C16EE7"/>
    <w:rsid w:val="00C25C2C"/>
    <w:rsid w:val="00C41C86"/>
    <w:rsid w:val="00C503E1"/>
    <w:rsid w:val="00C63A6C"/>
    <w:rsid w:val="00C64103"/>
    <w:rsid w:val="00C94AF1"/>
    <w:rsid w:val="00C9757A"/>
    <w:rsid w:val="00CA03AF"/>
    <w:rsid w:val="00CA13AF"/>
    <w:rsid w:val="00CA1444"/>
    <w:rsid w:val="00CA56C6"/>
    <w:rsid w:val="00CA5FBF"/>
    <w:rsid w:val="00CB1590"/>
    <w:rsid w:val="00CB312A"/>
    <w:rsid w:val="00CB7600"/>
    <w:rsid w:val="00CC3639"/>
    <w:rsid w:val="00CF0C55"/>
    <w:rsid w:val="00D00B1D"/>
    <w:rsid w:val="00D2065C"/>
    <w:rsid w:val="00D22EA3"/>
    <w:rsid w:val="00D25F16"/>
    <w:rsid w:val="00D36F1A"/>
    <w:rsid w:val="00D73D2E"/>
    <w:rsid w:val="00D959FD"/>
    <w:rsid w:val="00DA5F06"/>
    <w:rsid w:val="00DC1896"/>
    <w:rsid w:val="00DD1648"/>
    <w:rsid w:val="00DD4C0F"/>
    <w:rsid w:val="00DE3381"/>
    <w:rsid w:val="00DF6664"/>
    <w:rsid w:val="00E03FC5"/>
    <w:rsid w:val="00E16DBB"/>
    <w:rsid w:val="00E21CA9"/>
    <w:rsid w:val="00E31063"/>
    <w:rsid w:val="00E36FE9"/>
    <w:rsid w:val="00E73E98"/>
    <w:rsid w:val="00E90D72"/>
    <w:rsid w:val="00EA2C91"/>
    <w:rsid w:val="00EB4123"/>
    <w:rsid w:val="00EC23AC"/>
    <w:rsid w:val="00ED46A4"/>
    <w:rsid w:val="00ED67CE"/>
    <w:rsid w:val="00ED6FD9"/>
    <w:rsid w:val="00EE238E"/>
    <w:rsid w:val="00EE3810"/>
    <w:rsid w:val="00EF2879"/>
    <w:rsid w:val="00F138BA"/>
    <w:rsid w:val="00F632A9"/>
    <w:rsid w:val="00F63C3B"/>
    <w:rsid w:val="00F959DB"/>
    <w:rsid w:val="00FA21B3"/>
    <w:rsid w:val="00FA3A86"/>
    <w:rsid w:val="00FA7C5F"/>
    <w:rsid w:val="00FE4FDB"/>
    <w:rsid w:val="00FF0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382B5"/>
  <w15:chartTrackingRefBased/>
  <w15:docId w15:val="{338FD37A-7C84-4C2F-B95B-474082FF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paragraph" w:styleId="1">
    <w:name w:val="heading 1"/>
    <w:basedOn w:val="Ruller41"/>
    <w:next w:val="a"/>
    <w:link w:val="10"/>
    <w:qFormat/>
    <w:rsid w:val="00FA3A86"/>
    <w:pPr>
      <w:outlineLvl w:val="0"/>
    </w:pPr>
    <w:rPr>
      <w:rFonts w:ascii="Century" w:hAnsi="Century" w:cs="Miriam"/>
      <w:b/>
      <w:spacing w:val="0"/>
      <w:szCs w:val="24"/>
    </w:rPr>
  </w:style>
  <w:style w:type="paragraph" w:styleId="2">
    <w:name w:val="heading 2"/>
    <w:basedOn w:val="a"/>
    <w:next w:val="a"/>
    <w:link w:val="20"/>
    <w:semiHidden/>
    <w:unhideWhenUsed/>
    <w:qFormat/>
    <w:rsid w:val="00FA3A86"/>
    <w:pPr>
      <w:keepNext/>
      <w:spacing w:before="240" w:after="60" w:line="360" w:lineRule="auto"/>
      <w:outlineLvl w:val="1"/>
    </w:pPr>
    <w:rPr>
      <w:rFonts w:ascii="Calibri Light" w:hAnsi="Calibri Light" w:cs="Times New Roman"/>
      <w:b/>
      <w:bCs/>
      <w:i/>
      <w:iCs/>
      <w:spacing w:val="10"/>
      <w:sz w:val="28"/>
      <w:szCs w:val="28"/>
    </w:rPr>
  </w:style>
  <w:style w:type="paragraph" w:styleId="5">
    <w:name w:val="heading 5"/>
    <w:basedOn w:val="a"/>
    <w:next w:val="a"/>
    <w:link w:val="50"/>
    <w:semiHidden/>
    <w:unhideWhenUsed/>
    <w:qFormat/>
    <w:rsid w:val="00FA3A86"/>
    <w:pPr>
      <w:spacing w:before="240" w:after="60" w:line="360" w:lineRule="auto"/>
      <w:outlineLvl w:val="4"/>
    </w:pPr>
    <w:rPr>
      <w:rFonts w:ascii="Calibri" w:hAnsi="Calibri" w:cs="Arial"/>
      <w:b/>
      <w:bCs/>
      <w:i/>
      <w:iCs/>
      <w:spacing w:val="1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link w:val="a4"/>
    <w:pPr>
      <w:tabs>
        <w:tab w:val="center" w:pos="4153"/>
        <w:tab w:val="right" w:pos="8306"/>
      </w:tabs>
    </w:pPr>
  </w:style>
  <w:style w:type="character" w:styleId="a5">
    <w:name w:val="page number"/>
    <w:basedOn w:val="a0"/>
  </w:style>
  <w:style w:type="paragraph" w:styleId="a6">
    <w:name w:val="header"/>
    <w:basedOn w:val="a"/>
    <w:link w:val="a7"/>
    <w:pPr>
      <w:tabs>
        <w:tab w:val="center" w:pos="4153"/>
        <w:tab w:val="right" w:pos="8306"/>
      </w:tabs>
    </w:pPr>
  </w:style>
  <w:style w:type="paragraph" w:customStyle="1" w:styleId="21">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uiPriority w:val="99"/>
    <w:rsid w:val="003F1F97"/>
    <w:rPr>
      <w:color w:val="0000FF"/>
      <w:u w:val="single"/>
    </w:rPr>
  </w:style>
  <w:style w:type="table" w:styleId="a8">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9">
    <w:name w:val="annotation reference"/>
    <w:basedOn w:val="a0"/>
    <w:rsid w:val="00D00B1D"/>
    <w:rPr>
      <w:sz w:val="16"/>
      <w:szCs w:val="16"/>
    </w:rPr>
  </w:style>
  <w:style w:type="paragraph" w:styleId="aa">
    <w:name w:val="annotation text"/>
    <w:basedOn w:val="a"/>
    <w:link w:val="ab"/>
    <w:rsid w:val="00D00B1D"/>
    <w:rPr>
      <w:szCs w:val="20"/>
    </w:rPr>
  </w:style>
  <w:style w:type="character" w:customStyle="1" w:styleId="ab">
    <w:name w:val="טקסט הערה תו"/>
    <w:basedOn w:val="a0"/>
    <w:link w:val="aa"/>
    <w:rsid w:val="00D00B1D"/>
    <w:rPr>
      <w:rFonts w:cs="David"/>
    </w:rPr>
  </w:style>
  <w:style w:type="paragraph" w:styleId="ac">
    <w:name w:val="annotation subject"/>
    <w:basedOn w:val="aa"/>
    <w:next w:val="aa"/>
    <w:link w:val="ad"/>
    <w:rsid w:val="00D00B1D"/>
    <w:rPr>
      <w:b/>
      <w:bCs/>
    </w:rPr>
  </w:style>
  <w:style w:type="character" w:customStyle="1" w:styleId="ad">
    <w:name w:val="נושא הערה תו"/>
    <w:basedOn w:val="ab"/>
    <w:link w:val="ac"/>
    <w:rsid w:val="00D00B1D"/>
    <w:rPr>
      <w:rFonts w:cs="David"/>
      <w:b/>
      <w:bCs/>
    </w:rPr>
  </w:style>
  <w:style w:type="paragraph" w:styleId="ae">
    <w:name w:val="Balloon Text"/>
    <w:basedOn w:val="a"/>
    <w:link w:val="af"/>
    <w:rsid w:val="00D00B1D"/>
    <w:rPr>
      <w:rFonts w:ascii="Tahoma" w:hAnsi="Tahoma" w:cs="Tahoma"/>
      <w:sz w:val="18"/>
      <w:szCs w:val="18"/>
    </w:rPr>
  </w:style>
  <w:style w:type="character" w:customStyle="1" w:styleId="af">
    <w:name w:val="טקסט בלונים תו"/>
    <w:basedOn w:val="a0"/>
    <w:link w:val="ae"/>
    <w:rsid w:val="00D00B1D"/>
    <w:rPr>
      <w:rFonts w:ascii="Tahoma" w:hAnsi="Tahoma" w:cs="Tahoma"/>
      <w:sz w:val="18"/>
      <w:szCs w:val="18"/>
    </w:rPr>
  </w:style>
  <w:style w:type="paragraph" w:customStyle="1" w:styleId="Ruller4">
    <w:name w:val="Ruller 4 ממוספר"/>
    <w:basedOn w:val="Ruller41"/>
    <w:next w:val="Ruller41"/>
    <w:link w:val="Ruller43"/>
    <w:rsid w:val="00AD61D3"/>
    <w:pPr>
      <w:numPr>
        <w:numId w:val="11"/>
      </w:numPr>
    </w:pPr>
    <w:rPr>
      <w:rFonts w:ascii="Garamond" w:hAnsi="Garamond"/>
      <w:sz w:val="24"/>
    </w:rPr>
  </w:style>
  <w:style w:type="character" w:customStyle="1" w:styleId="Ruller43">
    <w:name w:val="Ruller 4 ממוספר תו"/>
    <w:link w:val="Ruller4"/>
    <w:locked/>
    <w:rsid w:val="00AD61D3"/>
    <w:rPr>
      <w:rFonts w:ascii="Garamond" w:hAnsi="Garamond" w:cs="FrankRuehl"/>
      <w:spacing w:val="10"/>
      <w:sz w:val="24"/>
      <w:szCs w:val="28"/>
    </w:rPr>
  </w:style>
  <w:style w:type="character" w:customStyle="1" w:styleId="10">
    <w:name w:val="כותרת 1 תו"/>
    <w:basedOn w:val="a0"/>
    <w:link w:val="1"/>
    <w:rsid w:val="00FA3A86"/>
    <w:rPr>
      <w:rFonts w:ascii="Century" w:hAnsi="Century" w:cs="Miriam"/>
      <w:b/>
      <w:sz w:val="22"/>
      <w:szCs w:val="24"/>
    </w:rPr>
  </w:style>
  <w:style w:type="character" w:customStyle="1" w:styleId="20">
    <w:name w:val="כותרת 2 תו"/>
    <w:basedOn w:val="a0"/>
    <w:link w:val="2"/>
    <w:semiHidden/>
    <w:rsid w:val="00FA3A86"/>
    <w:rPr>
      <w:rFonts w:ascii="Calibri Light" w:hAnsi="Calibri Light"/>
      <w:b/>
      <w:bCs/>
      <w:i/>
      <w:iCs/>
      <w:spacing w:val="10"/>
      <w:sz w:val="28"/>
      <w:szCs w:val="28"/>
    </w:rPr>
  </w:style>
  <w:style w:type="character" w:customStyle="1" w:styleId="50">
    <w:name w:val="כותרת 5 תו"/>
    <w:basedOn w:val="a0"/>
    <w:link w:val="5"/>
    <w:semiHidden/>
    <w:rsid w:val="00FA3A86"/>
    <w:rPr>
      <w:rFonts w:ascii="Calibri" w:hAnsi="Calibri" w:cs="Arial"/>
      <w:b/>
      <w:bCs/>
      <w:i/>
      <w:iCs/>
      <w:spacing w:val="10"/>
      <w:sz w:val="26"/>
      <w:szCs w:val="26"/>
    </w:rPr>
  </w:style>
  <w:style w:type="paragraph" w:customStyle="1" w:styleId="Ruller40">
    <w:name w:val="Ruller4 אלפביתי"/>
    <w:basedOn w:val="Ruller41"/>
    <w:next w:val="Ruller41"/>
    <w:rsid w:val="00FA3A86"/>
    <w:pPr>
      <w:numPr>
        <w:numId w:val="12"/>
      </w:numPr>
    </w:pPr>
  </w:style>
  <w:style w:type="character" w:customStyle="1" w:styleId="big-number">
    <w:name w:val="big-number"/>
    <w:rsid w:val="00FA3A86"/>
    <w:rPr>
      <w:rFonts w:ascii="Times New Roman" w:hAnsi="Times New Roman" w:cs="Times New Roman" w:hint="default"/>
      <w:sz w:val="32"/>
      <w:szCs w:val="32"/>
    </w:rPr>
  </w:style>
  <w:style w:type="paragraph" w:styleId="af0">
    <w:name w:val="footnote text"/>
    <w:basedOn w:val="a"/>
    <w:link w:val="af1"/>
    <w:unhideWhenUsed/>
    <w:rsid w:val="00FA3A86"/>
    <w:pPr>
      <w:spacing w:line="360" w:lineRule="auto"/>
    </w:pPr>
    <w:rPr>
      <w:rFonts w:ascii="Century" w:hAnsi="Century" w:cs="FrankRuehl"/>
      <w:spacing w:val="10"/>
      <w:szCs w:val="20"/>
    </w:rPr>
  </w:style>
  <w:style w:type="character" w:customStyle="1" w:styleId="af1">
    <w:name w:val="טקסט הערת שוליים תו"/>
    <w:basedOn w:val="a0"/>
    <w:link w:val="af0"/>
    <w:rsid w:val="00FA3A86"/>
    <w:rPr>
      <w:rFonts w:ascii="Century" w:hAnsi="Century" w:cs="FrankRuehl"/>
      <w:spacing w:val="10"/>
    </w:rPr>
  </w:style>
  <w:style w:type="character" w:styleId="af2">
    <w:name w:val="footnote reference"/>
    <w:unhideWhenUsed/>
    <w:rsid w:val="00FA3A86"/>
    <w:rPr>
      <w:vertAlign w:val="superscript"/>
    </w:rPr>
  </w:style>
  <w:style w:type="character" w:customStyle="1" w:styleId="default">
    <w:name w:val="default"/>
    <w:rsid w:val="00FA3A86"/>
  </w:style>
  <w:style w:type="character" w:customStyle="1" w:styleId="Ruller42">
    <w:name w:val="Ruller4 תו"/>
    <w:link w:val="Ruller41"/>
    <w:locked/>
    <w:rsid w:val="00FA3A86"/>
    <w:rPr>
      <w:rFonts w:ascii="Arial TUR" w:hAnsi="Arial TUR" w:cs="FrankRuehl"/>
      <w:spacing w:val="10"/>
      <w:sz w:val="22"/>
      <w:szCs w:val="28"/>
    </w:rPr>
  </w:style>
  <w:style w:type="paragraph" w:styleId="af3">
    <w:name w:val="List Paragraph"/>
    <w:basedOn w:val="a"/>
    <w:uiPriority w:val="34"/>
    <w:qFormat/>
    <w:rsid w:val="00FA3A86"/>
    <w:pPr>
      <w:spacing w:line="360" w:lineRule="auto"/>
      <w:ind w:left="720"/>
    </w:pPr>
    <w:rPr>
      <w:rFonts w:ascii="Century" w:hAnsi="Century" w:cs="FrankRuehl"/>
      <w:spacing w:val="10"/>
      <w:szCs w:val="28"/>
    </w:rPr>
  </w:style>
  <w:style w:type="paragraph" w:customStyle="1" w:styleId="p00">
    <w:name w:val="p00"/>
    <w:basedOn w:val="a"/>
    <w:rsid w:val="00FA3A86"/>
    <w:pPr>
      <w:overflowPunct/>
      <w:autoSpaceDE/>
      <w:autoSpaceDN/>
      <w:bidi w:val="0"/>
      <w:adjustRightInd/>
      <w:spacing w:before="100" w:beforeAutospacing="1" w:after="100" w:afterAutospacing="1"/>
      <w:textAlignment w:val="auto"/>
    </w:pPr>
    <w:rPr>
      <w:rFonts w:cs="Times New Roman"/>
      <w:sz w:val="24"/>
    </w:rPr>
  </w:style>
  <w:style w:type="paragraph" w:customStyle="1" w:styleId="p22">
    <w:name w:val="p22"/>
    <w:basedOn w:val="a"/>
    <w:rsid w:val="00FA3A86"/>
    <w:pPr>
      <w:overflowPunct/>
      <w:autoSpaceDE/>
      <w:autoSpaceDN/>
      <w:bidi w:val="0"/>
      <w:adjustRightInd/>
      <w:spacing w:before="100" w:beforeAutospacing="1" w:after="100" w:afterAutospacing="1"/>
      <w:textAlignment w:val="auto"/>
    </w:pPr>
    <w:rPr>
      <w:rFonts w:cs="Times New Roman"/>
      <w:sz w:val="24"/>
    </w:rPr>
  </w:style>
  <w:style w:type="paragraph" w:styleId="af4">
    <w:name w:val="Revision"/>
    <w:hidden/>
    <w:uiPriority w:val="99"/>
    <w:semiHidden/>
    <w:rsid w:val="00FA3A86"/>
    <w:rPr>
      <w:rFonts w:ascii="Century" w:hAnsi="Century" w:cs="FrankRuehl"/>
      <w:spacing w:val="10"/>
      <w:szCs w:val="28"/>
    </w:rPr>
  </w:style>
  <w:style w:type="paragraph" w:customStyle="1" w:styleId="af5">
    <w:name w:val="כללי"/>
    <w:basedOn w:val="a"/>
    <w:rsid w:val="00FA3A86"/>
    <w:pPr>
      <w:spacing w:after="240" w:line="280" w:lineRule="exact"/>
      <w:ind w:firstLine="284"/>
      <w:jc w:val="both"/>
    </w:pPr>
    <w:rPr>
      <w:rFonts w:cs="FrankRuehl"/>
      <w:lang w:eastAsia="he-IL"/>
    </w:rPr>
  </w:style>
  <w:style w:type="paragraph" w:customStyle="1" w:styleId="ruller400">
    <w:name w:val="ruller40"/>
    <w:basedOn w:val="a"/>
    <w:rsid w:val="00FA3A86"/>
    <w:pPr>
      <w:adjustRightInd/>
      <w:spacing w:line="360" w:lineRule="auto"/>
      <w:jc w:val="both"/>
      <w:textAlignment w:val="auto"/>
    </w:pPr>
    <w:rPr>
      <w:rFonts w:ascii="Arial TUR" w:hAnsi="Arial TUR" w:cs="Arial TUR"/>
      <w:spacing w:val="10"/>
      <w:sz w:val="22"/>
      <w:szCs w:val="22"/>
      <w:lang w:bidi="ar-SA"/>
    </w:rPr>
  </w:style>
  <w:style w:type="paragraph" w:customStyle="1" w:styleId="af6">
    <w:name w:val="a"/>
    <w:basedOn w:val="a"/>
    <w:rsid w:val="008864F4"/>
    <w:pPr>
      <w:overflowPunct/>
      <w:autoSpaceDE/>
      <w:autoSpaceDN/>
      <w:bidi w:val="0"/>
      <w:adjustRightInd/>
      <w:spacing w:before="100" w:beforeAutospacing="1" w:after="100" w:afterAutospacing="1"/>
      <w:textAlignment w:val="auto"/>
    </w:pPr>
    <w:rPr>
      <w:rFonts w:cs="Times New Roman"/>
      <w:sz w:val="24"/>
    </w:rPr>
  </w:style>
  <w:style w:type="paragraph" w:styleId="af7">
    <w:name w:val="endnote text"/>
    <w:basedOn w:val="a"/>
    <w:link w:val="af8"/>
    <w:unhideWhenUsed/>
    <w:rsid w:val="008864F4"/>
    <w:rPr>
      <w:rFonts w:ascii="Century" w:hAnsi="Century" w:cs="FrankRuehl"/>
      <w:spacing w:val="10"/>
      <w:szCs w:val="20"/>
    </w:rPr>
  </w:style>
  <w:style w:type="character" w:customStyle="1" w:styleId="af8">
    <w:name w:val="טקסט הערת סיום תו"/>
    <w:basedOn w:val="a0"/>
    <w:link w:val="af7"/>
    <w:rsid w:val="008864F4"/>
    <w:rPr>
      <w:rFonts w:ascii="Century" w:hAnsi="Century" w:cs="FrankRuehl"/>
      <w:spacing w:val="10"/>
    </w:rPr>
  </w:style>
  <w:style w:type="character" w:styleId="af9">
    <w:name w:val="endnote reference"/>
    <w:basedOn w:val="a0"/>
    <w:unhideWhenUsed/>
    <w:rsid w:val="008864F4"/>
    <w:rPr>
      <w:vertAlign w:val="superscript"/>
    </w:rPr>
  </w:style>
  <w:style w:type="character" w:styleId="afa">
    <w:name w:val="Placeholder Text"/>
    <w:basedOn w:val="a0"/>
    <w:uiPriority w:val="99"/>
    <w:semiHidden/>
    <w:rsid w:val="008864F4"/>
    <w:rPr>
      <w:color w:val="808080"/>
    </w:rPr>
  </w:style>
  <w:style w:type="paragraph" w:customStyle="1" w:styleId="ruller44">
    <w:name w:val="ruller4"/>
    <w:basedOn w:val="a"/>
    <w:rsid w:val="008864F4"/>
    <w:pPr>
      <w:overflowPunct/>
      <w:autoSpaceDE/>
      <w:autoSpaceDN/>
      <w:bidi w:val="0"/>
      <w:adjustRightInd/>
      <w:spacing w:before="100" w:beforeAutospacing="1" w:after="100" w:afterAutospacing="1"/>
      <w:textAlignment w:val="auto"/>
    </w:pPr>
    <w:rPr>
      <w:rFonts w:cs="Times New Roman"/>
      <w:sz w:val="24"/>
    </w:rPr>
  </w:style>
  <w:style w:type="character" w:customStyle="1" w:styleId="a4">
    <w:name w:val="כותרת תחתונה תו"/>
    <w:basedOn w:val="a0"/>
    <w:link w:val="a3"/>
    <w:rsid w:val="008864F4"/>
    <w:rPr>
      <w:rFonts w:cs="David"/>
      <w:szCs w:val="24"/>
    </w:rPr>
  </w:style>
  <w:style w:type="character" w:customStyle="1" w:styleId="a7">
    <w:name w:val="כותרת עליונה תו"/>
    <w:basedOn w:val="a0"/>
    <w:link w:val="a6"/>
    <w:rsid w:val="008864F4"/>
    <w:rPr>
      <w:rFonts w:cs="David"/>
      <w:szCs w:val="24"/>
    </w:rPr>
  </w:style>
  <w:style w:type="paragraph" w:customStyle="1" w:styleId="afb">
    <w:name w:val="גוף פסק דין"/>
    <w:basedOn w:val="a"/>
    <w:link w:val="afc"/>
    <w:autoRedefine/>
    <w:qFormat/>
    <w:rsid w:val="00CF0C55"/>
    <w:pPr>
      <w:tabs>
        <w:tab w:val="left" w:pos="720"/>
        <w:tab w:val="left" w:pos="800"/>
      </w:tabs>
      <w:spacing w:line="360" w:lineRule="auto"/>
      <w:ind w:firstLine="720"/>
      <w:jc w:val="both"/>
      <w:textAlignment w:val="auto"/>
    </w:pPr>
    <w:rPr>
      <w:rFonts w:eastAsia="Calibri" w:cs="FrankRuehl"/>
      <w:spacing w:val="10"/>
      <w:sz w:val="24"/>
      <w:szCs w:val="28"/>
    </w:rPr>
  </w:style>
  <w:style w:type="character" w:customStyle="1" w:styleId="afc">
    <w:name w:val="גוף פסק דין תו"/>
    <w:link w:val="afb"/>
    <w:rsid w:val="00CF0C55"/>
    <w:rPr>
      <w:rFonts w:eastAsia="Calibri" w:cs="FrankRuehl"/>
      <w:spacing w:val="10"/>
      <w:sz w:val="24"/>
      <w:szCs w:val="28"/>
    </w:rPr>
  </w:style>
  <w:style w:type="paragraph" w:customStyle="1" w:styleId="11">
    <w:name w:val="סגנון1"/>
    <w:basedOn w:val="afb"/>
    <w:link w:val="12"/>
    <w:autoRedefine/>
    <w:qFormat/>
    <w:rsid w:val="00CF0C55"/>
    <w:pPr>
      <w:ind w:firstLine="0"/>
    </w:pPr>
    <w:rPr>
      <w:rFonts w:ascii="Calibri" w:hAnsi="Calibri"/>
    </w:rPr>
  </w:style>
  <w:style w:type="character" w:customStyle="1" w:styleId="12">
    <w:name w:val="סגנון1 תו"/>
    <w:link w:val="11"/>
    <w:rsid w:val="00CF0C55"/>
    <w:rPr>
      <w:rFonts w:ascii="Calibri" w:eastAsia="Calibri" w:hAnsi="Calibri" w:cs="FrankRuehl"/>
      <w:spacing w:val="10"/>
      <w:sz w:val="24"/>
      <w:szCs w:val="28"/>
    </w:rPr>
  </w:style>
  <w:style w:type="paragraph" w:customStyle="1" w:styleId="afd">
    <w:name w:val="ציטוט בפסק דין"/>
    <w:basedOn w:val="a"/>
    <w:link w:val="afe"/>
    <w:autoRedefine/>
    <w:qFormat/>
    <w:rsid w:val="00CF0C55"/>
    <w:pPr>
      <w:ind w:right="1281"/>
      <w:jc w:val="both"/>
    </w:pPr>
    <w:rPr>
      <w:rFonts w:ascii="FrankRuehl" w:eastAsia="Calibri" w:hAnsi="FrankRuehl" w:cs="FrankRuehl"/>
      <w:spacing w:val="10"/>
      <w:sz w:val="28"/>
      <w:szCs w:val="28"/>
    </w:rPr>
  </w:style>
  <w:style w:type="character" w:customStyle="1" w:styleId="afe">
    <w:name w:val="ציטוט בפסק דין תו"/>
    <w:link w:val="afd"/>
    <w:rsid w:val="00CF0C55"/>
    <w:rPr>
      <w:rFonts w:ascii="FrankRuehl" w:eastAsia="Calibri" w:hAnsi="FrankRuehl" w:cs="FrankRuehl"/>
      <w:spacing w:val="10"/>
      <w:sz w:val="28"/>
      <w:szCs w:val="28"/>
    </w:rPr>
  </w:style>
  <w:style w:type="character" w:styleId="aff">
    <w:name w:val="Subtle Emphasis"/>
    <w:aliases w:val="מקור"/>
    <w:uiPriority w:val="19"/>
    <w:qFormat/>
    <w:rsid w:val="00FF0D41"/>
    <w:rPr>
      <w:rFonts w:ascii="Segoe UI Semilight" w:hAnsi="Segoe UI Semilight" w:cs="Segoe UI Semilight"/>
      <w:sz w:val="20"/>
      <w:szCs w:val="20"/>
    </w:rPr>
  </w:style>
  <w:style w:type="paragraph" w:customStyle="1" w:styleId="ruller31">
    <w:name w:val="ruller 3"/>
    <w:basedOn w:val="a"/>
    <w:rsid w:val="002E50A0"/>
    <w:pPr>
      <w:overflowPunct/>
      <w:adjustRightInd/>
      <w:textAlignment w:val="auto"/>
    </w:pPr>
    <w:rPr>
      <w:rFonts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46913">
      <w:bodyDiv w:val="1"/>
      <w:marLeft w:val="0"/>
      <w:marRight w:val="0"/>
      <w:marTop w:val="0"/>
      <w:marBottom w:val="0"/>
      <w:divBdr>
        <w:top w:val="none" w:sz="0" w:space="0" w:color="auto"/>
        <w:left w:val="none" w:sz="0" w:space="0" w:color="auto"/>
        <w:bottom w:val="none" w:sz="0" w:space="0" w:color="auto"/>
        <w:right w:val="none" w:sz="0" w:space="0" w:color="auto"/>
      </w:divBdr>
    </w:div>
    <w:div w:id="17648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nevo.co.il/case/5775191" TargetMode="External"/><Relationship Id="rId13" Type="http://schemas.openxmlformats.org/officeDocument/2006/relationships/hyperlink" Target="https://supreme.court.gov.i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72138/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nevo.co.il/law/72138/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mba.huji.ac.il/+CSCO+0h756767633A2F2F6A6A6A2E617269622E70622E7679++/case/179308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vo.co.il/psika_html/elyon/LA-2-141-L.ht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44386</Words>
  <Characters>205166</Characters>
  <Application>Microsoft Office Word</Application>
  <DocSecurity>0</DocSecurity>
  <Lines>1709</Lines>
  <Paragraphs>498</Paragraphs>
  <ScaleCrop>false</ScaleCrop>
  <HeadingPairs>
    <vt:vector size="2" baseType="variant">
      <vt:variant>
        <vt:lpstr>שם</vt:lpstr>
      </vt:variant>
      <vt:variant>
        <vt:i4>1</vt:i4>
      </vt:variant>
    </vt:vector>
  </HeadingPairs>
  <TitlesOfParts>
    <vt:vector size="1" baseType="lpstr">
      <vt:lpstr>החלטה בתיק דנג"ץ  8537/18</vt:lpstr>
    </vt:vector>
  </TitlesOfParts>
  <Company/>
  <LinksUpToDate>false</LinksUpToDate>
  <CharactersWithSpaces>249054</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2021-06-27T12:46:07Z</cp:lastPrinted>
  <dcterms:created xsi:type="dcterms:W3CDTF">2021-06-27T12:46:07Z</dcterms:created>
  <dcterms:modified xsi:type="dcterms:W3CDTF">2021-06-27T12:46:07Z</dcterms:modified>
</cp:coreProperties>
</file>