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0D" w:rsidRPr="00B17970" w:rsidRDefault="00255B26" w:rsidP="00681DD4">
      <w:pPr>
        <w:pStyle w:val="1"/>
        <w:keepNext w:val="0"/>
        <w:keepLines w:val="0"/>
        <w:rPr>
          <w:rFonts w:ascii="David" w:hAnsi="David"/>
          <w:sz w:val="24"/>
          <w:szCs w:val="24"/>
        </w:rPr>
      </w:pPr>
      <w:bookmarkStart w:id="0" w:name="_Toc503130993"/>
      <w:bookmarkStart w:id="1" w:name="_GoBack"/>
      <w:bookmarkEnd w:id="1"/>
      <w:r w:rsidRPr="00B17970">
        <w:rPr>
          <w:rFonts w:ascii="David" w:hAnsi="David"/>
          <w:sz w:val="24"/>
          <w:szCs w:val="24"/>
          <w:rtl/>
        </w:rPr>
        <w:t>תזכיר חוק</w:t>
      </w:r>
      <w:bookmarkEnd w:id="0"/>
    </w:p>
    <w:p w:rsidR="00FB570D" w:rsidRPr="00B17970" w:rsidRDefault="00FB570D" w:rsidP="00681DD4">
      <w:pPr>
        <w:rPr>
          <w:rtl/>
        </w:rPr>
      </w:pPr>
    </w:p>
    <w:p w:rsidR="00FB570D" w:rsidRPr="00B17970" w:rsidRDefault="00255B26" w:rsidP="00681DD4">
      <w:pPr>
        <w:pStyle w:val="4"/>
        <w:rPr>
          <w:szCs w:val="24"/>
          <w:rtl/>
        </w:rPr>
      </w:pPr>
      <w:r w:rsidRPr="00B17970">
        <w:rPr>
          <w:szCs w:val="24"/>
          <w:rtl/>
        </w:rPr>
        <w:t>שם החוק המוצע</w:t>
      </w:r>
    </w:p>
    <w:p w:rsidR="00FB570D" w:rsidRPr="00B17970" w:rsidRDefault="00255B26" w:rsidP="00F560EC">
      <w:r w:rsidRPr="00B17970">
        <w:rPr>
          <w:rtl/>
        </w:rPr>
        <w:t xml:space="preserve">הצעת חוק </w:t>
      </w:r>
      <w:r w:rsidR="00F560EC" w:rsidRPr="00B17970">
        <w:rPr>
          <w:rtl/>
        </w:rPr>
        <w:t>ל</w:t>
      </w:r>
      <w:r w:rsidRPr="00B17970">
        <w:rPr>
          <w:rtl/>
        </w:rPr>
        <w:t>תיקון פקודת סדר הדין הפלילי</w:t>
      </w:r>
      <w:r w:rsidR="00E02F7B" w:rsidRPr="00B17970">
        <w:rPr>
          <w:rtl/>
        </w:rPr>
        <w:t xml:space="preserve"> </w:t>
      </w:r>
      <w:r w:rsidRPr="00B17970">
        <w:rPr>
          <w:rtl/>
        </w:rPr>
        <w:t>(מעצר וחיפוש)</w:t>
      </w:r>
      <w:r w:rsidR="00F560EC" w:rsidRPr="00B17970">
        <w:rPr>
          <w:rtl/>
        </w:rPr>
        <w:t xml:space="preserve"> (תיקון מס'...) (עילות חיפוש במקום ללא צו בית משפט), התשפ"ב-2021</w:t>
      </w:r>
      <w:r w:rsidR="00E02F7B" w:rsidRPr="00B17970">
        <w:rPr>
          <w:rtl/>
        </w:rPr>
        <w:t xml:space="preserve"> </w:t>
      </w:r>
    </w:p>
    <w:p w:rsidR="00FB570D" w:rsidRPr="00B17970" w:rsidRDefault="00FB570D" w:rsidP="00681DD4">
      <w:pPr>
        <w:rPr>
          <w:rtl/>
        </w:rPr>
      </w:pPr>
    </w:p>
    <w:p w:rsidR="00FB570D" w:rsidRPr="00B17970" w:rsidRDefault="00255B26" w:rsidP="00681DD4">
      <w:pPr>
        <w:pStyle w:val="4"/>
        <w:rPr>
          <w:szCs w:val="24"/>
          <w:rtl/>
        </w:rPr>
      </w:pPr>
      <w:r w:rsidRPr="00B17970">
        <w:rPr>
          <w:szCs w:val="24"/>
          <w:rtl/>
        </w:rPr>
        <w:t>מטרת החוק המוצע, הצורך בו, עיקרי הוראותיו והשפעתו על הדין הקיים</w:t>
      </w:r>
    </w:p>
    <w:p w:rsidR="001A148F" w:rsidRPr="00B17970" w:rsidRDefault="00255B26" w:rsidP="006F3D44">
      <w:r w:rsidRPr="00B17970">
        <w:rPr>
          <w:rtl/>
        </w:rPr>
        <w:t xml:space="preserve">מטרתה של הצעת חוק זו לתקן את העילות הקבועות בסעיף 25 לפקודת סדר הדין הפלילי (מעצר וחיפוש) [נוסח חדש] תשכ"א-1969 (להלן: </w:t>
      </w:r>
      <w:r w:rsidR="006F3D44">
        <w:rPr>
          <w:rFonts w:hint="cs"/>
          <w:rtl/>
        </w:rPr>
        <w:t>הפקודה</w:t>
      </w:r>
      <w:r w:rsidRPr="00B17970">
        <w:rPr>
          <w:rtl/>
        </w:rPr>
        <w:t xml:space="preserve">), </w:t>
      </w:r>
      <w:proofErr w:type="spellStart"/>
      <w:r w:rsidRPr="00B17970">
        <w:rPr>
          <w:rtl/>
        </w:rPr>
        <w:t>שבהתקיימן</w:t>
      </w:r>
      <w:proofErr w:type="spellEnd"/>
      <w:r w:rsidRPr="00B17970">
        <w:rPr>
          <w:rtl/>
        </w:rPr>
        <w:t xml:space="preserve"> מוסמך שוטר לערוך חיפוש במקום בלא צו בית משפט. סעיף 25 ל</w:t>
      </w:r>
      <w:r w:rsidR="006F3D44">
        <w:rPr>
          <w:rFonts w:hint="cs"/>
          <w:rtl/>
        </w:rPr>
        <w:t xml:space="preserve">פקודה </w:t>
      </w:r>
      <w:r w:rsidRPr="00B17970">
        <w:rPr>
          <w:rtl/>
        </w:rPr>
        <w:t xml:space="preserve">קובע כיום ארבע עילות לחיפוש במקום בלא צו בית משפט, אשר מאופיינות בכך </w:t>
      </w:r>
      <w:proofErr w:type="spellStart"/>
      <w:r w:rsidRPr="00B17970">
        <w:rPr>
          <w:rtl/>
        </w:rPr>
        <w:t>שבהתקיימן</w:t>
      </w:r>
      <w:proofErr w:type="spellEnd"/>
      <w:r w:rsidRPr="00B17970">
        <w:rPr>
          <w:rtl/>
        </w:rPr>
        <w:t xml:space="preserve">, הצורך לערוך את החיפוש הוא דחוף, ופניה לבית המשפט לקבל צו חיפוש תסכל את מטרתו. </w:t>
      </w:r>
    </w:p>
    <w:p w:rsidR="001A148F" w:rsidRPr="00B17970" w:rsidRDefault="00255B26" w:rsidP="003F54F8">
      <w:r w:rsidRPr="00B17970">
        <w:rPr>
          <w:rtl/>
        </w:rPr>
        <w:t xml:space="preserve">בעקבות המלצות דו"ח ועדת לוין משנות התשעים, </w:t>
      </w:r>
      <w:r w:rsidR="002E499C" w:rsidRPr="00B17970">
        <w:rPr>
          <w:rtl/>
        </w:rPr>
        <w:t xml:space="preserve">גובשה </w:t>
      </w:r>
      <w:r w:rsidRPr="00B17970">
        <w:rPr>
          <w:rtl/>
        </w:rPr>
        <w:t xml:space="preserve">הצעת חוק סדר הדין הפלילי (סמכויות אכיפה - המצאה, חיפוש ותפיסה), </w:t>
      </w:r>
      <w:proofErr w:type="spellStart"/>
      <w:r w:rsidRPr="00B17970">
        <w:rPr>
          <w:rtl/>
        </w:rPr>
        <w:t>התשע"ד</w:t>
      </w:r>
      <w:proofErr w:type="spellEnd"/>
      <w:r w:rsidRPr="00B17970">
        <w:rPr>
          <w:rtl/>
        </w:rPr>
        <w:t>- 2014 (להלן</w:t>
      </w:r>
      <w:r w:rsidR="00C96B03">
        <w:rPr>
          <w:rFonts w:hint="cs"/>
          <w:rtl/>
        </w:rPr>
        <w:t>:</w:t>
      </w:r>
      <w:r w:rsidRPr="00B17970">
        <w:rPr>
          <w:rtl/>
        </w:rPr>
        <w:t xml:space="preserve"> </w:t>
      </w:r>
      <w:r w:rsidR="006F3D44">
        <w:rPr>
          <w:rFonts w:hint="cs"/>
          <w:rtl/>
        </w:rPr>
        <w:t xml:space="preserve">הצעת </w:t>
      </w:r>
      <w:r w:rsidRPr="00B17970">
        <w:rPr>
          <w:rtl/>
        </w:rPr>
        <w:t>חוק החיפוש</w:t>
      </w:r>
      <w:r w:rsidR="006F3D44">
        <w:rPr>
          <w:rFonts w:hint="cs"/>
          <w:rtl/>
        </w:rPr>
        <w:t xml:space="preserve"> או הצעת החוק</w:t>
      </w:r>
      <w:r w:rsidRPr="00B17970">
        <w:rPr>
          <w:rtl/>
        </w:rPr>
        <w:t xml:space="preserve">). הצעת החוק עברה </w:t>
      </w:r>
      <w:r w:rsidR="005C0D0F" w:rsidRPr="00B17970">
        <w:rPr>
          <w:rtl/>
        </w:rPr>
        <w:t>ב</w:t>
      </w:r>
      <w:r w:rsidRPr="00B17970">
        <w:rPr>
          <w:rtl/>
        </w:rPr>
        <w:t xml:space="preserve">קריאה ראשונה </w:t>
      </w:r>
      <w:r w:rsidR="006F3D44">
        <w:rPr>
          <w:rFonts w:hint="cs"/>
          <w:rtl/>
        </w:rPr>
        <w:t xml:space="preserve">בכנסת </w:t>
      </w:r>
      <w:r w:rsidR="00F2693A" w:rsidRPr="00B55618">
        <w:rPr>
          <w:rFonts w:hint="cs"/>
          <w:rtl/>
        </w:rPr>
        <w:t>התשע - עשרה</w:t>
      </w:r>
      <w:r w:rsidR="006F3D44">
        <w:rPr>
          <w:rFonts w:hint="cs"/>
          <w:rtl/>
        </w:rPr>
        <w:t xml:space="preserve">, </w:t>
      </w:r>
      <w:r w:rsidRPr="00B17970">
        <w:rPr>
          <w:rtl/>
        </w:rPr>
        <w:t xml:space="preserve">אולם דיוני ההכנה לקריאה שניה ושלישית בוועדת </w:t>
      </w:r>
      <w:r w:rsidR="00445391" w:rsidRPr="00B17970">
        <w:rPr>
          <w:rtl/>
        </w:rPr>
        <w:t>ה</w:t>
      </w:r>
      <w:r w:rsidRPr="00B17970">
        <w:rPr>
          <w:rtl/>
        </w:rPr>
        <w:t>חוקה חוק ומשפט לא הושלמו</w:t>
      </w:r>
      <w:r w:rsidR="003F54F8">
        <w:rPr>
          <w:rFonts w:hint="cs"/>
          <w:rtl/>
        </w:rPr>
        <w:t>, וכעת עבודת מטה לעדכונה מצויה בשלבים אחרונים</w:t>
      </w:r>
      <w:r w:rsidR="007802E7">
        <w:rPr>
          <w:rFonts w:hint="cs"/>
          <w:rtl/>
        </w:rPr>
        <w:t xml:space="preserve">, במטרה לקדם את הליכי החקיקה בהקדם. </w:t>
      </w:r>
      <w:r w:rsidR="003F54F8">
        <w:rPr>
          <w:rFonts w:hint="cs"/>
          <w:rtl/>
        </w:rPr>
        <w:t xml:space="preserve"> </w:t>
      </w:r>
      <w:r w:rsidRPr="00B17970">
        <w:rPr>
          <w:rtl/>
        </w:rPr>
        <w:t xml:space="preserve">בסעיף 20 להצעת החוק, שכותרתו "עילות לחיפוש במקום ללא צו", הוצע לחוקק </w:t>
      </w:r>
      <w:r w:rsidR="003F54F8">
        <w:rPr>
          <w:rFonts w:hint="cs"/>
          <w:rtl/>
        </w:rPr>
        <w:t>נוסף על</w:t>
      </w:r>
      <w:r w:rsidRPr="00B17970">
        <w:rPr>
          <w:rtl/>
        </w:rPr>
        <w:t xml:space="preserve"> העילות המעוגנות היום בפ</w:t>
      </w:r>
      <w:r w:rsidR="006F3D44">
        <w:rPr>
          <w:rFonts w:hint="cs"/>
          <w:rtl/>
        </w:rPr>
        <w:t>קודה</w:t>
      </w:r>
      <w:r w:rsidRPr="00B17970">
        <w:rPr>
          <w:rtl/>
        </w:rPr>
        <w:t xml:space="preserve">, עילה נוספת שעניינה סמכות חיפוש לצורך תפיסת ראיה בקשר לעבירות פשע, מחמת חשש לפגיעה בה או להעלמתה. לעניין עילה זו הוסבר כי מועד קיום העבירה אינו המבחן המהותי, אלא מועד </w:t>
      </w:r>
      <w:r w:rsidR="003F54F8">
        <w:rPr>
          <w:rFonts w:hint="cs"/>
          <w:rtl/>
        </w:rPr>
        <w:t>גילוי</w:t>
      </w:r>
      <w:r w:rsidR="003F54F8" w:rsidRPr="00B17970">
        <w:rPr>
          <w:rtl/>
        </w:rPr>
        <w:t xml:space="preserve"> </w:t>
      </w:r>
      <w:r w:rsidRPr="00B17970">
        <w:rPr>
          <w:rtl/>
        </w:rPr>
        <w:t xml:space="preserve">הראיה, ואפשרות העלמתה אם לא תיתפס באופן </w:t>
      </w:r>
      <w:proofErr w:type="spellStart"/>
      <w:r w:rsidRPr="00B17970">
        <w:rPr>
          <w:rtl/>
        </w:rPr>
        <w:t>מיידי</w:t>
      </w:r>
      <w:proofErr w:type="spellEnd"/>
      <w:r w:rsidRPr="00B17970">
        <w:rPr>
          <w:rtl/>
        </w:rPr>
        <w:t>.</w:t>
      </w:r>
    </w:p>
    <w:p w:rsidR="00F94331" w:rsidRPr="00B17970" w:rsidRDefault="00255B26" w:rsidP="00F5659D">
      <w:pPr>
        <w:rPr>
          <w:rtl/>
        </w:rPr>
      </w:pPr>
      <w:r w:rsidRPr="00B17970">
        <w:rPr>
          <w:rtl/>
        </w:rPr>
        <w:t xml:space="preserve">נוכח </w:t>
      </w:r>
      <w:r w:rsidR="003F54F8">
        <w:rPr>
          <w:rFonts w:hint="cs"/>
          <w:rtl/>
        </w:rPr>
        <w:t>חשיבות הסדר זה למאבק ב</w:t>
      </w:r>
      <w:r w:rsidRPr="00B17970">
        <w:rPr>
          <w:rtl/>
        </w:rPr>
        <w:t>פשיעה ו</w:t>
      </w:r>
      <w:r w:rsidR="003F54F8">
        <w:rPr>
          <w:rFonts w:hint="cs"/>
          <w:rtl/>
        </w:rPr>
        <w:t xml:space="preserve">בפרט נוכח הצורך בנקיטת אמצעים דחופים למאבק בפשיעה </w:t>
      </w:r>
      <w:r w:rsidRPr="00B17970">
        <w:rPr>
          <w:rtl/>
        </w:rPr>
        <w:t xml:space="preserve">בחברה הערבית, הוחלט לקדם בדחיפות את אחד ההסדרים </w:t>
      </w:r>
      <w:r w:rsidR="003F54F8">
        <w:rPr>
          <w:rFonts w:hint="cs"/>
          <w:rtl/>
        </w:rPr>
        <w:t>שהוצעו בהצעת</w:t>
      </w:r>
      <w:r w:rsidR="003F54F8" w:rsidRPr="00B17970">
        <w:rPr>
          <w:rtl/>
        </w:rPr>
        <w:t xml:space="preserve"> </w:t>
      </w:r>
      <w:r w:rsidRPr="00B17970">
        <w:rPr>
          <w:rtl/>
        </w:rPr>
        <w:t>חוק החיפוש – חיפוש במקום ללא צו בית משפט – כתיקון לסעיף 25 לפ</w:t>
      </w:r>
      <w:r w:rsidR="003F54F8">
        <w:rPr>
          <w:rFonts w:hint="cs"/>
          <w:rtl/>
        </w:rPr>
        <w:t>קודה</w:t>
      </w:r>
      <w:r w:rsidR="00F5659D">
        <w:rPr>
          <w:rFonts w:hint="cs"/>
          <w:rtl/>
        </w:rPr>
        <w:t>,</w:t>
      </w:r>
      <w:r w:rsidR="003F54F8">
        <w:rPr>
          <w:rFonts w:hint="cs"/>
          <w:rtl/>
        </w:rPr>
        <w:t xml:space="preserve"> עוד לפני הנחתה שוב של הצעת חוק החיפוש </w:t>
      </w:r>
      <w:r w:rsidR="00F5659D">
        <w:rPr>
          <w:rFonts w:hint="cs"/>
          <w:rtl/>
        </w:rPr>
        <w:t>על שולחן ה</w:t>
      </w:r>
      <w:r w:rsidR="003F54F8">
        <w:rPr>
          <w:rFonts w:hint="cs"/>
          <w:rtl/>
        </w:rPr>
        <w:t>כנסת</w:t>
      </w:r>
      <w:r w:rsidRPr="00B17970">
        <w:rPr>
          <w:rtl/>
        </w:rPr>
        <w:t xml:space="preserve">. </w:t>
      </w:r>
      <w:r w:rsidR="002A1D96" w:rsidRPr="00B17970">
        <w:rPr>
          <w:rtl/>
        </w:rPr>
        <w:t xml:space="preserve">העדר סמכות </w:t>
      </w:r>
      <w:r w:rsidR="007B10B9" w:rsidRPr="00B17970">
        <w:rPr>
          <w:rtl/>
        </w:rPr>
        <w:t>למשטרה</w:t>
      </w:r>
      <w:r w:rsidR="00CB1AFB" w:rsidRPr="00B17970">
        <w:rPr>
          <w:rtl/>
        </w:rPr>
        <w:t xml:space="preserve"> </w:t>
      </w:r>
      <w:r w:rsidR="002A1D96" w:rsidRPr="00B17970">
        <w:rPr>
          <w:rtl/>
        </w:rPr>
        <w:t xml:space="preserve">לביצוע חיפוש בלא צו בנסיבות שבהן אין שהות מספקת לפנייה לבית המשפט, </w:t>
      </w:r>
      <w:r w:rsidR="00CB1AFB" w:rsidRPr="00B17970">
        <w:rPr>
          <w:rtl/>
        </w:rPr>
        <w:t xml:space="preserve">ויש צורך בהול בהגעה לראיה לצורך פענוח עבירה, </w:t>
      </w:r>
      <w:r w:rsidR="002A1D96" w:rsidRPr="00B17970">
        <w:rPr>
          <w:rtl/>
        </w:rPr>
        <w:t xml:space="preserve">פוגע ביכולת המשטרה לתפוס ראיות המצויות באותו מקום, ומשכך מתעורר החשש כי יועלמו או ישובשו. </w:t>
      </w:r>
      <w:r w:rsidR="00CB1AFB" w:rsidRPr="00B17970">
        <w:rPr>
          <w:rtl/>
        </w:rPr>
        <w:t>הצעת החוק הציעה כאמור תיקון זה, אשר נחוץ לפעילותה השגרתית של משטרת ישראל, בנסיבות האמורות. הצורך בקידום הצעה זו בעת הנוכחית, הוא חריף במיוחד בנוגע ליכולת המשטרה לפענח עבירות בחברה הערבית. בחודש נובמבר 2020 פורסמו "המלצות ועדת המנכ"לים להתמודדות עם הפשיעה והאלימות בחברה הערבית" (להלן: דו"ח צוות המנכ"לים).</w:t>
      </w:r>
      <w:r w:rsidRPr="00B17970">
        <w:rPr>
          <w:rStyle w:val="a7"/>
          <w:rtl/>
        </w:rPr>
        <w:footnoteReference w:id="1"/>
      </w:r>
      <w:r w:rsidR="00CB1AFB" w:rsidRPr="00B17970">
        <w:rPr>
          <w:rtl/>
        </w:rPr>
        <w:t xml:space="preserve"> </w:t>
      </w:r>
      <w:r w:rsidR="00133C1A">
        <w:rPr>
          <w:rFonts w:hint="cs"/>
          <w:rtl/>
        </w:rPr>
        <w:t>דו"ח צוות המנכלים</w:t>
      </w:r>
      <w:r w:rsidR="007802E7">
        <w:rPr>
          <w:rFonts w:hint="cs"/>
          <w:rtl/>
        </w:rPr>
        <w:t xml:space="preserve"> עמד על כך</w:t>
      </w:r>
      <w:r w:rsidR="00133C1A">
        <w:rPr>
          <w:rFonts w:hint="cs"/>
          <w:rtl/>
        </w:rPr>
        <w:t xml:space="preserve"> </w:t>
      </w:r>
      <w:r w:rsidR="007802E7">
        <w:rPr>
          <w:rFonts w:hint="cs"/>
          <w:rtl/>
        </w:rPr>
        <w:t>ש</w:t>
      </w:r>
      <w:r w:rsidR="007802E7" w:rsidRPr="007802E7">
        <w:rPr>
          <w:rtl/>
        </w:rPr>
        <w:t>אזרחים ערבים מהווים שיעור ניכר מנפגעי האלימות החמורה בישראל, הרבה מעבר לשיעורם באוכלוסייה</w:t>
      </w:r>
      <w:r w:rsidR="00133C1A">
        <w:rPr>
          <w:rFonts w:hint="cs"/>
          <w:rtl/>
        </w:rPr>
        <w:t xml:space="preserve">, וכי </w:t>
      </w:r>
      <w:r w:rsidR="00133C1A" w:rsidRPr="00133C1A">
        <w:rPr>
          <w:rtl/>
        </w:rPr>
        <w:t>תחושת הביטחון האישי של אזרחים אלה נמוכה מתחושת הביטחון האישי של אזרחים יהודים.</w:t>
      </w:r>
      <w:r w:rsidR="00133C1A">
        <w:rPr>
          <w:rFonts w:hint="cs"/>
          <w:rtl/>
        </w:rPr>
        <w:t xml:space="preserve"> מאז הוגש דו"ח צוות המנכ"לים וביתר שאת לאחרונה התופעה החמורה של פשיעה בחברה הערבית מצויה על סדר יומה של הממשלה ורשויותיה במאמץ לנקוט במגוון האמצעים הנדרשים למיגורה</w:t>
      </w:r>
      <w:r w:rsidR="007802E7" w:rsidRPr="007802E7">
        <w:rPr>
          <w:rtl/>
        </w:rPr>
        <w:t>.</w:t>
      </w:r>
      <w:r w:rsidR="00133C1A">
        <w:rPr>
          <w:rFonts w:hint="cs"/>
          <w:rtl/>
        </w:rPr>
        <w:t xml:space="preserve"> </w:t>
      </w:r>
      <w:r w:rsidR="00CB1AFB" w:rsidRPr="00B17970">
        <w:rPr>
          <w:rtl/>
        </w:rPr>
        <w:t xml:space="preserve">דו"ח צוות המנכ"לים </w:t>
      </w:r>
      <w:r w:rsidRPr="00B17970">
        <w:rPr>
          <w:rtl/>
        </w:rPr>
        <w:t>התייחס, בין היתר, לדיווח חסר של אזרחים על חשד לביצוע עבירות</w:t>
      </w:r>
      <w:r w:rsidR="007802E7">
        <w:rPr>
          <w:rFonts w:hint="cs"/>
          <w:rtl/>
        </w:rPr>
        <w:t xml:space="preserve"> בחברה הערבית</w:t>
      </w:r>
      <w:r w:rsidRPr="00B17970">
        <w:rPr>
          <w:rtl/>
        </w:rPr>
        <w:t xml:space="preserve">, וזאת נוכח חוסר אמון של אזרחים ערביים רבים במוסדות המדינה, בהם גורמי אכיפת החוק. </w:t>
      </w:r>
      <w:r w:rsidR="007B10B9" w:rsidRPr="00B17970">
        <w:rPr>
          <w:rtl/>
        </w:rPr>
        <w:t>בנוסף</w:t>
      </w:r>
      <w:r w:rsidRPr="00B17970">
        <w:rPr>
          <w:rtl/>
        </w:rPr>
        <w:t xml:space="preserve"> הדו"ח התייחס ל"מעגל שוטה" אשר קיים בנוגע </w:t>
      </w:r>
      <w:r w:rsidRPr="00B17970">
        <w:rPr>
          <w:rtl/>
        </w:rPr>
        <w:lastRenderedPageBreak/>
        <w:t>לאכיפה של עבירות חמורות בחברה הערבית</w:t>
      </w:r>
      <w:r w:rsidR="00F5659D">
        <w:rPr>
          <w:rFonts w:hint="cs"/>
          <w:rtl/>
        </w:rPr>
        <w:t>:</w:t>
      </w:r>
      <w:r w:rsidRPr="00B17970">
        <w:rPr>
          <w:rtl/>
        </w:rPr>
        <w:t xml:space="preserve"> בהתבצע פשע, למשטרה יש קושי באיסוף ראיות</w:t>
      </w:r>
      <w:r w:rsidR="007B10B9" w:rsidRPr="00B17970">
        <w:rPr>
          <w:rtl/>
        </w:rPr>
        <w:t>,</w:t>
      </w:r>
      <w:r w:rsidRPr="00B17970">
        <w:rPr>
          <w:rtl/>
        </w:rPr>
        <w:t xml:space="preserve"> כתוצאה מכך שיעורי הפענוח של הפשיעה נמוכים, עבריינ</w:t>
      </w:r>
      <w:r w:rsidR="006B3F70" w:rsidRPr="00B17970">
        <w:rPr>
          <w:rtl/>
        </w:rPr>
        <w:t>י</w:t>
      </w:r>
      <w:r w:rsidRPr="00B17970">
        <w:rPr>
          <w:rtl/>
        </w:rPr>
        <w:t>ם אינם מאותרים או שאין די ראיות להעמידם לדין; נוצרת נורמה חברתית של אי הפללה, שמולידה סגירת תיק</w:t>
      </w:r>
      <w:r w:rsidR="006B3F70" w:rsidRPr="00B17970">
        <w:rPr>
          <w:rtl/>
        </w:rPr>
        <w:t>י</w:t>
      </w:r>
      <w:r w:rsidRPr="00B17970">
        <w:rPr>
          <w:rtl/>
        </w:rPr>
        <w:t>ם, הסדרי טיעון ורף ענישה נמוך, ובעקבות כך מוט</w:t>
      </w:r>
      <w:r w:rsidR="00052054" w:rsidRPr="00B17970">
        <w:rPr>
          <w:rtl/>
        </w:rPr>
        <w:t>ל</w:t>
      </w:r>
      <w:r w:rsidRPr="00B17970">
        <w:rPr>
          <w:rtl/>
        </w:rPr>
        <w:t xml:space="preserve"> מורא על </w:t>
      </w:r>
      <w:proofErr w:type="spellStart"/>
      <w:r w:rsidRPr="00B17970">
        <w:rPr>
          <w:rtl/>
        </w:rPr>
        <w:t>האוכלוסיה</w:t>
      </w:r>
      <w:proofErr w:type="spellEnd"/>
      <w:r w:rsidRPr="00B17970">
        <w:rPr>
          <w:rtl/>
        </w:rPr>
        <w:t xml:space="preserve"> הנורמטיבית ועל נבחרי ציבור. </w:t>
      </w:r>
    </w:p>
    <w:p w:rsidR="00F94331" w:rsidRPr="00B17970" w:rsidRDefault="00255B26" w:rsidP="00F5659D">
      <w:pPr>
        <w:rPr>
          <w:rtl/>
        </w:rPr>
      </w:pPr>
      <w:r w:rsidRPr="00B17970">
        <w:rPr>
          <w:rtl/>
        </w:rPr>
        <w:t xml:space="preserve">התיקון המוצע נועד לסייע למשטרת ישראל באיתור ראיות הדרושות לפענוח עבירות. דוגמה </w:t>
      </w:r>
      <w:r w:rsidR="00821BA7">
        <w:rPr>
          <w:rFonts w:hint="cs"/>
          <w:rtl/>
        </w:rPr>
        <w:t xml:space="preserve">מובהקת </w:t>
      </w:r>
      <w:r w:rsidRPr="00B17970">
        <w:rPr>
          <w:rtl/>
        </w:rPr>
        <w:t>לכך, ה</w:t>
      </w:r>
      <w:r w:rsidR="00F5659D">
        <w:rPr>
          <w:rFonts w:hint="cs"/>
          <w:rtl/>
        </w:rPr>
        <w:t>י</w:t>
      </w:r>
      <w:r w:rsidRPr="00B17970">
        <w:rPr>
          <w:rtl/>
        </w:rPr>
        <w:t xml:space="preserve">א כאשר ישנה מצלמה המתעדת אירוע מסוים, ויש צורך בהשגתה במהירות רבה, מחשש שתושמד או תיעלם. כפי שצוין לעיל, נוכח בעיות הפענוח וחששם של עדים להעיד בחברה הערבית, יש צורך מוגבר בחיזוק יכולות ראייתיות אחרות ובביסוס אפשרויות נוספות להעמיד מסד ראייתי לפענוח העבירה. </w:t>
      </w:r>
    </w:p>
    <w:p w:rsidR="00E02F7B" w:rsidRPr="00B17970" w:rsidRDefault="001A148F" w:rsidP="00CB1AFB">
      <w:pPr>
        <w:rPr>
          <w:rtl/>
        </w:rPr>
      </w:pPr>
      <w:r w:rsidRPr="00B17970">
        <w:rPr>
          <w:rtl/>
        </w:rPr>
        <w:t xml:space="preserve">התיקון המוצע </w:t>
      </w:r>
      <w:r w:rsidR="002E499C" w:rsidRPr="00B17970">
        <w:rPr>
          <w:rtl/>
        </w:rPr>
        <w:t>מבקש להרחיב במעט את סמכויות החיפוש</w:t>
      </w:r>
      <w:r w:rsidRPr="00B17970">
        <w:rPr>
          <w:rtl/>
        </w:rPr>
        <w:t xml:space="preserve"> </w:t>
      </w:r>
      <w:r w:rsidR="002E499C" w:rsidRPr="00B17970">
        <w:rPr>
          <w:rtl/>
        </w:rPr>
        <w:t xml:space="preserve">הנתונות </w:t>
      </w:r>
      <w:r w:rsidRPr="00B17970">
        <w:rPr>
          <w:rtl/>
        </w:rPr>
        <w:t xml:space="preserve">למשטרה </w:t>
      </w:r>
      <w:r w:rsidR="002E499C" w:rsidRPr="00B17970">
        <w:rPr>
          <w:rtl/>
        </w:rPr>
        <w:t xml:space="preserve">במטרה להביא </w:t>
      </w:r>
      <w:r w:rsidR="00821BA7">
        <w:rPr>
          <w:rFonts w:hint="cs"/>
          <w:rtl/>
        </w:rPr>
        <w:t xml:space="preserve">אף </w:t>
      </w:r>
      <w:r w:rsidRPr="00B17970">
        <w:rPr>
          <w:rtl/>
        </w:rPr>
        <w:t xml:space="preserve">לעליה בהיקף כלי הנשק </w:t>
      </w:r>
      <w:proofErr w:type="spellStart"/>
      <w:r w:rsidRPr="00B17970">
        <w:rPr>
          <w:rtl/>
        </w:rPr>
        <w:t>והאמל"ח</w:t>
      </w:r>
      <w:proofErr w:type="spellEnd"/>
      <w:r w:rsidRPr="00B17970">
        <w:rPr>
          <w:rtl/>
        </w:rPr>
        <w:t xml:space="preserve"> הנתפסים בטווח הזמן </w:t>
      </w:r>
      <w:proofErr w:type="spellStart"/>
      <w:r w:rsidRPr="00B17970">
        <w:rPr>
          <w:rtl/>
        </w:rPr>
        <w:t>המיידי</w:t>
      </w:r>
      <w:proofErr w:type="spellEnd"/>
      <w:r w:rsidRPr="00B17970">
        <w:rPr>
          <w:rtl/>
        </w:rPr>
        <w:t xml:space="preserve"> ובקידום החקירה וההעמדה לדין תוך זמן קצר ובאופן שירתיע את העבריינים מלבצע את העבירות. זאת על רקע מקרים רבים של פגיעה ואובדן חיי אדם של מעורבים ושל חפים מפשע.</w:t>
      </w:r>
      <w:r w:rsidR="00255B26" w:rsidRPr="00B17970">
        <w:rPr>
          <w:rtl/>
        </w:rPr>
        <w:t xml:space="preserve"> </w:t>
      </w:r>
    </w:p>
    <w:p w:rsidR="002F7548" w:rsidRPr="00B17970" w:rsidRDefault="002F7548" w:rsidP="002F7548">
      <w:pPr>
        <w:rPr>
          <w:rtl/>
        </w:rPr>
      </w:pPr>
    </w:p>
    <w:p w:rsidR="00FB570D" w:rsidRPr="00B17970" w:rsidRDefault="00255B26" w:rsidP="00681DD4">
      <w:pPr>
        <w:pStyle w:val="4"/>
        <w:rPr>
          <w:szCs w:val="24"/>
          <w:rtl/>
        </w:rPr>
      </w:pPr>
      <w:r w:rsidRPr="00B17970">
        <w:rPr>
          <w:szCs w:val="24"/>
          <w:rtl/>
        </w:rPr>
        <w:t xml:space="preserve">השפעת החוק המוצע על קבוצות אוכלוסייה מסוימות </w:t>
      </w:r>
    </w:p>
    <w:p w:rsidR="00FB570D" w:rsidRPr="00B17970" w:rsidRDefault="00255B26" w:rsidP="001E38B8">
      <w:pPr>
        <w:rPr>
          <w:color w:val="FF0000"/>
          <w:rtl/>
        </w:rPr>
      </w:pPr>
      <w:r w:rsidRPr="00B17970">
        <w:rPr>
          <w:rtl/>
        </w:rPr>
        <w:t>אין</w:t>
      </w:r>
      <w:r w:rsidR="001E38B8" w:rsidRPr="00B17970">
        <w:rPr>
          <w:rtl/>
        </w:rPr>
        <w:t xml:space="preserve">. </w:t>
      </w:r>
    </w:p>
    <w:p w:rsidR="002F7548" w:rsidRPr="00B17970" w:rsidRDefault="002F7548" w:rsidP="001E38B8">
      <w:pPr>
        <w:rPr>
          <w:color w:val="FF0000"/>
        </w:rPr>
      </w:pPr>
    </w:p>
    <w:p w:rsidR="00FB570D" w:rsidRPr="00B17970" w:rsidRDefault="00255B26" w:rsidP="00681DD4">
      <w:pPr>
        <w:pStyle w:val="4"/>
        <w:rPr>
          <w:szCs w:val="24"/>
          <w:rtl/>
        </w:rPr>
      </w:pPr>
      <w:r w:rsidRPr="00B17970">
        <w:rPr>
          <w:szCs w:val="24"/>
          <w:rtl/>
        </w:rPr>
        <w:t xml:space="preserve">השפעת תזכיר החוק המוצע על התקציב ועל התקן המנהלי של המשרד היוזם, משרדים אחרים ורשויות אחרות. </w:t>
      </w:r>
    </w:p>
    <w:p w:rsidR="00FB570D" w:rsidRDefault="00255B26" w:rsidP="001E38B8">
      <w:pPr>
        <w:rPr>
          <w:color w:val="FF0000"/>
          <w:rtl/>
        </w:rPr>
      </w:pPr>
      <w:r w:rsidRPr="00B17970">
        <w:rPr>
          <w:rtl/>
        </w:rPr>
        <w:t>אין</w:t>
      </w:r>
      <w:r w:rsidR="001E38B8" w:rsidRPr="00B17970">
        <w:rPr>
          <w:rtl/>
        </w:rPr>
        <w:t xml:space="preserve">. </w:t>
      </w:r>
      <w:r w:rsidR="00D8044D" w:rsidRPr="00B17970">
        <w:rPr>
          <w:rtl/>
        </w:rPr>
        <w:t xml:space="preserve"> </w:t>
      </w:r>
    </w:p>
    <w:p w:rsidR="00B17970" w:rsidRPr="00B17970" w:rsidRDefault="00B17970" w:rsidP="001E38B8">
      <w:pPr>
        <w:rPr>
          <w:color w:val="FF0000"/>
          <w:rtl/>
        </w:rPr>
      </w:pPr>
    </w:p>
    <w:p w:rsidR="00FB570D" w:rsidRPr="00B17970" w:rsidRDefault="00255B26" w:rsidP="00681DD4">
      <w:pPr>
        <w:pStyle w:val="4"/>
        <w:rPr>
          <w:szCs w:val="24"/>
          <w:rtl/>
        </w:rPr>
      </w:pPr>
      <w:r w:rsidRPr="00B17970">
        <w:rPr>
          <w:szCs w:val="24"/>
          <w:rtl/>
        </w:rPr>
        <w:t>להלן נוסח תזכיר החוק המוצע ודברי הסבר</w:t>
      </w:r>
    </w:p>
    <w:p w:rsidR="007B6677" w:rsidRPr="00B17970" w:rsidRDefault="00255B26" w:rsidP="007B6677">
      <w:pPr>
        <w:pStyle w:val="HeadMitparsemetBaze"/>
        <w:keepNext w:val="0"/>
        <w:keepLines w:val="0"/>
        <w:pageBreakBefore w:val="0"/>
        <w:rPr>
          <w:rFonts w:ascii="David" w:hAnsi="David"/>
          <w:sz w:val="24"/>
          <w:szCs w:val="24"/>
        </w:rPr>
      </w:pPr>
      <w:r w:rsidRPr="00B17970">
        <w:rPr>
          <w:rFonts w:ascii="David" w:hAnsi="David"/>
          <w:sz w:val="24"/>
          <w:szCs w:val="24"/>
          <w:rtl/>
        </w:rPr>
        <w:t>תזכיר חוק מטעם משרד המשפטים</w:t>
      </w:r>
    </w:p>
    <w:p w:rsidR="007B6677" w:rsidRPr="00B17970" w:rsidRDefault="00255B26" w:rsidP="007E0810">
      <w:pPr>
        <w:pStyle w:val="HeadHatzaotHok"/>
        <w:keepNext w:val="0"/>
        <w:keepLines w:val="0"/>
        <w:rPr>
          <w:rFonts w:ascii="David" w:hAnsi="David"/>
          <w:sz w:val="24"/>
          <w:szCs w:val="24"/>
          <w:rtl/>
        </w:rPr>
      </w:pPr>
      <w:bookmarkStart w:id="2" w:name="_Toc503130994"/>
      <w:r w:rsidRPr="00B17970">
        <w:rPr>
          <w:rFonts w:ascii="David" w:hAnsi="David"/>
          <w:sz w:val="24"/>
          <w:szCs w:val="24"/>
          <w:rtl/>
        </w:rPr>
        <w:t>תזכיר חוק לתיקון פקודת סדר הדין הפלילי (מעצר וחיפוש) (תיקון מס'...)(עילות חיפוש במקום בלא צו בית משפט)</w:t>
      </w:r>
      <w:bookmarkEnd w:id="2"/>
      <w:r w:rsidRPr="00B17970">
        <w:rPr>
          <w:rFonts w:ascii="David" w:hAnsi="David"/>
          <w:sz w:val="24"/>
          <w:szCs w:val="24"/>
          <w:rtl/>
        </w:rPr>
        <w:t>, התשפ"ב-2021</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403"/>
        <w:gridCol w:w="845"/>
        <w:gridCol w:w="624"/>
        <w:gridCol w:w="5898"/>
      </w:tblGrid>
      <w:tr w:rsidR="00D55AAF" w:rsidRPr="00B17970" w:rsidTr="00D9146A">
        <w:trPr>
          <w:cantSplit/>
          <w:trHeight w:val="60"/>
        </w:trPr>
        <w:tc>
          <w:tcPr>
            <w:tcW w:w="1871" w:type="dxa"/>
          </w:tcPr>
          <w:p w:rsidR="007B6677" w:rsidRPr="00B17970" w:rsidRDefault="00255B26" w:rsidP="00990747">
            <w:pPr>
              <w:pStyle w:val="TableSideHeading"/>
              <w:rPr>
                <w:rFonts w:ascii="David" w:hAnsi="David"/>
                <w:sz w:val="24"/>
                <w:szCs w:val="24"/>
              </w:rPr>
            </w:pPr>
            <w:r w:rsidRPr="00B17970">
              <w:rPr>
                <w:rFonts w:ascii="David" w:hAnsi="David"/>
                <w:sz w:val="24"/>
                <w:szCs w:val="24"/>
                <w:rtl/>
              </w:rPr>
              <w:t xml:space="preserve">תיקון סעיף 25 </w:t>
            </w:r>
          </w:p>
        </w:tc>
        <w:tc>
          <w:tcPr>
            <w:tcW w:w="403" w:type="dxa"/>
          </w:tcPr>
          <w:p w:rsidR="007B6677" w:rsidRPr="00B17970" w:rsidRDefault="00255B26" w:rsidP="00990747">
            <w:pPr>
              <w:pStyle w:val="TableText"/>
              <w:numPr>
                <w:ilvl w:val="0"/>
                <w:numId w:val="2"/>
              </w:numPr>
              <w:rPr>
                <w:rFonts w:ascii="David" w:hAnsi="David"/>
                <w:sz w:val="24"/>
                <w:szCs w:val="24"/>
              </w:rPr>
            </w:pPr>
            <w:r w:rsidRPr="00B17970">
              <w:rPr>
                <w:rFonts w:ascii="David" w:hAnsi="David"/>
                <w:sz w:val="24"/>
                <w:szCs w:val="24"/>
                <w:rtl/>
              </w:rPr>
              <w:t xml:space="preserve"> </w:t>
            </w:r>
          </w:p>
        </w:tc>
        <w:tc>
          <w:tcPr>
            <w:tcW w:w="7367" w:type="dxa"/>
            <w:gridSpan w:val="3"/>
          </w:tcPr>
          <w:p w:rsidR="007B6677" w:rsidRPr="00B17970" w:rsidRDefault="00255B26" w:rsidP="00990747">
            <w:pPr>
              <w:pStyle w:val="TableBlock"/>
              <w:rPr>
                <w:rFonts w:ascii="David" w:hAnsi="David"/>
                <w:sz w:val="24"/>
                <w:szCs w:val="24"/>
              </w:rPr>
            </w:pPr>
            <w:r w:rsidRPr="00B17970">
              <w:rPr>
                <w:rFonts w:ascii="David" w:hAnsi="David"/>
                <w:sz w:val="24"/>
                <w:szCs w:val="24"/>
                <w:rtl/>
              </w:rPr>
              <w:t>בפקודת סדר הדין הפלילי (מעצר וחיפוש) [נוסח חדש] תשכ"א-1969</w:t>
            </w:r>
            <w:r w:rsidRPr="00B17970">
              <w:rPr>
                <w:rStyle w:val="a7"/>
                <w:rFonts w:ascii="David" w:hAnsi="David"/>
                <w:sz w:val="24"/>
                <w:szCs w:val="24"/>
                <w:rtl/>
              </w:rPr>
              <w:footnoteReference w:id="2"/>
            </w:r>
            <w:r w:rsidRPr="00B17970">
              <w:rPr>
                <w:rFonts w:ascii="David" w:hAnsi="David"/>
                <w:sz w:val="24"/>
                <w:szCs w:val="24"/>
                <w:rtl/>
              </w:rPr>
              <w:t xml:space="preserve"> סעיף 25 יימחק ובמקומו יבוא:  </w:t>
            </w:r>
          </w:p>
        </w:tc>
      </w:tr>
      <w:tr w:rsidR="00D55AAF" w:rsidRPr="00B17970" w:rsidTr="00D9146A">
        <w:trPr>
          <w:cantSplit/>
          <w:trHeight w:val="60"/>
        </w:trPr>
        <w:tc>
          <w:tcPr>
            <w:tcW w:w="1871" w:type="dxa"/>
          </w:tcPr>
          <w:p w:rsidR="007B6677" w:rsidRPr="00B17970" w:rsidRDefault="007B6677" w:rsidP="00990747">
            <w:pPr>
              <w:pStyle w:val="TableSideHeading"/>
              <w:rPr>
                <w:rFonts w:ascii="David" w:hAnsi="David"/>
                <w:sz w:val="24"/>
                <w:szCs w:val="24"/>
              </w:rPr>
            </w:pPr>
          </w:p>
        </w:tc>
        <w:tc>
          <w:tcPr>
            <w:tcW w:w="403" w:type="dxa"/>
          </w:tcPr>
          <w:p w:rsidR="007B6677" w:rsidRPr="00B17970" w:rsidRDefault="007B6677" w:rsidP="00990747">
            <w:pPr>
              <w:pStyle w:val="TableText"/>
              <w:rPr>
                <w:rFonts w:ascii="David" w:hAnsi="David"/>
                <w:sz w:val="24"/>
                <w:szCs w:val="24"/>
              </w:rPr>
            </w:pPr>
          </w:p>
        </w:tc>
        <w:tc>
          <w:tcPr>
            <w:tcW w:w="845" w:type="dxa"/>
          </w:tcPr>
          <w:p w:rsidR="007B6677" w:rsidRPr="00B17970" w:rsidRDefault="00255B26" w:rsidP="00990747">
            <w:pPr>
              <w:pStyle w:val="TableText"/>
              <w:rPr>
                <w:rFonts w:ascii="David" w:hAnsi="David"/>
                <w:sz w:val="24"/>
                <w:szCs w:val="24"/>
              </w:rPr>
            </w:pPr>
            <w:r w:rsidRPr="00B17970">
              <w:rPr>
                <w:rFonts w:ascii="David" w:hAnsi="David"/>
                <w:sz w:val="24"/>
                <w:szCs w:val="24"/>
                <w:rtl/>
              </w:rPr>
              <w:t>עילות חיפוש במקום בלא צו בית משפט</w:t>
            </w:r>
          </w:p>
        </w:tc>
        <w:tc>
          <w:tcPr>
            <w:tcW w:w="6522" w:type="dxa"/>
            <w:gridSpan w:val="2"/>
          </w:tcPr>
          <w:p w:rsidR="007B6677" w:rsidRPr="00B17970" w:rsidRDefault="00255B26" w:rsidP="00096C8A">
            <w:pPr>
              <w:pStyle w:val="TableBlock"/>
              <w:rPr>
                <w:rFonts w:ascii="David" w:hAnsi="David"/>
                <w:sz w:val="24"/>
                <w:szCs w:val="24"/>
              </w:rPr>
            </w:pPr>
            <w:r w:rsidRPr="00B17970">
              <w:rPr>
                <w:rFonts w:ascii="David" w:hAnsi="David"/>
                <w:sz w:val="24"/>
                <w:szCs w:val="24"/>
                <w:rtl/>
              </w:rPr>
              <w:t xml:space="preserve">25. שוטר רשאי לערוך חיפוש </w:t>
            </w:r>
            <w:r w:rsidR="007129F9" w:rsidRPr="00B17970">
              <w:rPr>
                <w:rFonts w:ascii="David" w:hAnsi="David"/>
                <w:sz w:val="24"/>
                <w:szCs w:val="24"/>
                <w:rtl/>
              </w:rPr>
              <w:t xml:space="preserve">במקום </w:t>
            </w:r>
            <w:r w:rsidRPr="00B17970">
              <w:rPr>
                <w:rFonts w:ascii="David" w:hAnsi="David"/>
                <w:sz w:val="24"/>
                <w:szCs w:val="24"/>
                <w:rtl/>
              </w:rPr>
              <w:t>בלא צו בית משפט אם אי ביצוע החיפוש באופן מידי יסכל את מטרת החיפוש ולא ניתן לקבל מבעוד מועד צו חיפוש, ובלבד שמתקיים אחד מאלה:</w:t>
            </w:r>
          </w:p>
        </w:tc>
      </w:tr>
      <w:tr w:rsidR="00D55AAF" w:rsidRPr="00B17970" w:rsidTr="00D9146A">
        <w:trPr>
          <w:cantSplit/>
          <w:trHeight w:val="60"/>
        </w:trPr>
        <w:tc>
          <w:tcPr>
            <w:tcW w:w="1871" w:type="dxa"/>
          </w:tcPr>
          <w:p w:rsidR="007B6677" w:rsidRPr="00B17970" w:rsidRDefault="007B6677" w:rsidP="00990747">
            <w:pPr>
              <w:pStyle w:val="TableSideHeading"/>
              <w:rPr>
                <w:rFonts w:ascii="David" w:hAnsi="David"/>
                <w:sz w:val="24"/>
                <w:szCs w:val="24"/>
              </w:rPr>
            </w:pPr>
          </w:p>
        </w:tc>
        <w:tc>
          <w:tcPr>
            <w:tcW w:w="403" w:type="dxa"/>
          </w:tcPr>
          <w:p w:rsidR="007B6677" w:rsidRPr="00B17970" w:rsidRDefault="007B6677" w:rsidP="00990747">
            <w:pPr>
              <w:pStyle w:val="TableText"/>
              <w:rPr>
                <w:rFonts w:ascii="David" w:hAnsi="David"/>
                <w:sz w:val="24"/>
                <w:szCs w:val="24"/>
              </w:rPr>
            </w:pPr>
          </w:p>
        </w:tc>
        <w:tc>
          <w:tcPr>
            <w:tcW w:w="845" w:type="dxa"/>
          </w:tcPr>
          <w:p w:rsidR="007B6677" w:rsidRPr="00B17970" w:rsidRDefault="007B6677" w:rsidP="00990747">
            <w:pPr>
              <w:pStyle w:val="TableText"/>
              <w:rPr>
                <w:rFonts w:ascii="David" w:hAnsi="David"/>
                <w:sz w:val="24"/>
                <w:szCs w:val="24"/>
              </w:rPr>
            </w:pPr>
          </w:p>
        </w:tc>
        <w:tc>
          <w:tcPr>
            <w:tcW w:w="624" w:type="dxa"/>
          </w:tcPr>
          <w:p w:rsidR="007B6677" w:rsidRPr="00B17970" w:rsidRDefault="007B6677" w:rsidP="007B6677">
            <w:pPr>
              <w:pStyle w:val="TableText"/>
              <w:numPr>
                <w:ilvl w:val="0"/>
                <w:numId w:val="23"/>
              </w:numPr>
              <w:tabs>
                <w:tab w:val="left" w:pos="624"/>
              </w:tabs>
              <w:jc w:val="both"/>
              <w:rPr>
                <w:rFonts w:ascii="David" w:hAnsi="David"/>
                <w:sz w:val="24"/>
                <w:szCs w:val="24"/>
              </w:rPr>
            </w:pPr>
          </w:p>
        </w:tc>
        <w:tc>
          <w:tcPr>
            <w:tcW w:w="5898" w:type="dxa"/>
          </w:tcPr>
          <w:p w:rsidR="007B6677" w:rsidRPr="00B17970" w:rsidRDefault="00255B26" w:rsidP="00990747">
            <w:pPr>
              <w:pStyle w:val="TableBlock"/>
              <w:rPr>
                <w:rFonts w:ascii="David" w:hAnsi="David"/>
                <w:sz w:val="24"/>
                <w:szCs w:val="24"/>
              </w:rPr>
            </w:pPr>
            <w:r w:rsidRPr="00B17970">
              <w:rPr>
                <w:rFonts w:ascii="David" w:hAnsi="David"/>
                <w:sz w:val="24"/>
                <w:szCs w:val="24"/>
                <w:rtl/>
              </w:rPr>
              <w:t xml:space="preserve">המחזיק במקום </w:t>
            </w:r>
            <w:r w:rsidR="00A10AB7" w:rsidRPr="00B17970">
              <w:rPr>
                <w:rFonts w:ascii="David" w:hAnsi="David"/>
                <w:sz w:val="24"/>
                <w:szCs w:val="24"/>
                <w:rtl/>
              </w:rPr>
              <w:t xml:space="preserve">פונה לעזרת המשטרה </w:t>
            </w:r>
            <w:r w:rsidRPr="00B17970">
              <w:rPr>
                <w:rFonts w:ascii="David" w:hAnsi="David"/>
                <w:sz w:val="24"/>
                <w:szCs w:val="24"/>
                <w:rtl/>
              </w:rPr>
              <w:t>או אדם השוהה בו פונה לעזרת המשטרה ויש חשד סביר שמבוצעת שם עבירה;</w:t>
            </w:r>
          </w:p>
        </w:tc>
      </w:tr>
      <w:tr w:rsidR="00D55AAF" w:rsidRPr="00B17970" w:rsidTr="00D9146A">
        <w:trPr>
          <w:cantSplit/>
          <w:trHeight w:val="60"/>
        </w:trPr>
        <w:tc>
          <w:tcPr>
            <w:tcW w:w="1871" w:type="dxa"/>
          </w:tcPr>
          <w:p w:rsidR="007B6677" w:rsidRPr="00B17970" w:rsidRDefault="007B6677" w:rsidP="00990747">
            <w:pPr>
              <w:pStyle w:val="TableSideHeading"/>
              <w:rPr>
                <w:rFonts w:ascii="David" w:hAnsi="David"/>
                <w:sz w:val="24"/>
                <w:szCs w:val="24"/>
              </w:rPr>
            </w:pPr>
          </w:p>
        </w:tc>
        <w:tc>
          <w:tcPr>
            <w:tcW w:w="403" w:type="dxa"/>
          </w:tcPr>
          <w:p w:rsidR="007B6677" w:rsidRPr="00B17970" w:rsidRDefault="007B6677" w:rsidP="00990747">
            <w:pPr>
              <w:pStyle w:val="TableText"/>
              <w:rPr>
                <w:rFonts w:ascii="David" w:hAnsi="David"/>
                <w:sz w:val="24"/>
                <w:szCs w:val="24"/>
              </w:rPr>
            </w:pPr>
          </w:p>
        </w:tc>
        <w:tc>
          <w:tcPr>
            <w:tcW w:w="845" w:type="dxa"/>
          </w:tcPr>
          <w:p w:rsidR="007B6677" w:rsidRPr="00B17970" w:rsidRDefault="007B6677" w:rsidP="00990747">
            <w:pPr>
              <w:pStyle w:val="TableText"/>
              <w:rPr>
                <w:rFonts w:ascii="David" w:hAnsi="David"/>
                <w:sz w:val="24"/>
                <w:szCs w:val="24"/>
              </w:rPr>
            </w:pPr>
          </w:p>
        </w:tc>
        <w:tc>
          <w:tcPr>
            <w:tcW w:w="624" w:type="dxa"/>
          </w:tcPr>
          <w:p w:rsidR="007B6677" w:rsidRPr="00B17970" w:rsidRDefault="007B6677" w:rsidP="007B6677">
            <w:pPr>
              <w:pStyle w:val="TableText"/>
              <w:numPr>
                <w:ilvl w:val="0"/>
                <w:numId w:val="23"/>
              </w:numPr>
              <w:tabs>
                <w:tab w:val="left" w:pos="624"/>
              </w:tabs>
              <w:jc w:val="both"/>
              <w:rPr>
                <w:rFonts w:ascii="David" w:hAnsi="David"/>
                <w:sz w:val="24"/>
                <w:szCs w:val="24"/>
              </w:rPr>
            </w:pPr>
          </w:p>
        </w:tc>
        <w:tc>
          <w:tcPr>
            <w:tcW w:w="5898" w:type="dxa"/>
          </w:tcPr>
          <w:p w:rsidR="007B6677" w:rsidRPr="00B17970" w:rsidRDefault="00255B26" w:rsidP="00990747">
            <w:pPr>
              <w:pStyle w:val="TableBlock"/>
              <w:rPr>
                <w:rFonts w:ascii="David" w:hAnsi="David"/>
                <w:sz w:val="24"/>
                <w:szCs w:val="24"/>
                <w:rtl/>
              </w:rPr>
            </w:pPr>
            <w:r w:rsidRPr="00B17970">
              <w:rPr>
                <w:rFonts w:ascii="David" w:hAnsi="David"/>
                <w:sz w:val="24"/>
                <w:szCs w:val="24"/>
                <w:rtl/>
              </w:rPr>
              <w:t>יש חשד סביר שנעברת שם עבירה מסוג פשע או שעבירה כאמור נעברה שם זה מקרוב;</w:t>
            </w:r>
          </w:p>
        </w:tc>
      </w:tr>
      <w:tr w:rsidR="00D55AAF" w:rsidRPr="00B17970" w:rsidTr="00D9146A">
        <w:trPr>
          <w:cantSplit/>
          <w:trHeight w:val="60"/>
        </w:trPr>
        <w:tc>
          <w:tcPr>
            <w:tcW w:w="1871" w:type="dxa"/>
          </w:tcPr>
          <w:p w:rsidR="007B6677" w:rsidRPr="00B17970" w:rsidRDefault="007B6677" w:rsidP="00990747">
            <w:pPr>
              <w:pStyle w:val="TableSideHeading"/>
              <w:rPr>
                <w:rFonts w:ascii="David" w:hAnsi="David"/>
                <w:sz w:val="24"/>
                <w:szCs w:val="24"/>
              </w:rPr>
            </w:pPr>
          </w:p>
        </w:tc>
        <w:tc>
          <w:tcPr>
            <w:tcW w:w="403" w:type="dxa"/>
          </w:tcPr>
          <w:p w:rsidR="007B6677" w:rsidRPr="00B17970" w:rsidRDefault="007B6677" w:rsidP="00990747">
            <w:pPr>
              <w:pStyle w:val="TableText"/>
              <w:rPr>
                <w:rFonts w:ascii="David" w:hAnsi="David"/>
                <w:sz w:val="24"/>
                <w:szCs w:val="24"/>
              </w:rPr>
            </w:pPr>
          </w:p>
        </w:tc>
        <w:tc>
          <w:tcPr>
            <w:tcW w:w="845" w:type="dxa"/>
          </w:tcPr>
          <w:p w:rsidR="007B6677" w:rsidRPr="00B17970" w:rsidRDefault="007B6677" w:rsidP="00990747">
            <w:pPr>
              <w:pStyle w:val="TableText"/>
              <w:rPr>
                <w:rFonts w:ascii="David" w:hAnsi="David"/>
                <w:sz w:val="24"/>
                <w:szCs w:val="24"/>
              </w:rPr>
            </w:pPr>
          </w:p>
        </w:tc>
        <w:tc>
          <w:tcPr>
            <w:tcW w:w="624" w:type="dxa"/>
          </w:tcPr>
          <w:p w:rsidR="007B6677" w:rsidRPr="00B17970" w:rsidRDefault="007B6677" w:rsidP="007B6677">
            <w:pPr>
              <w:pStyle w:val="TableText"/>
              <w:numPr>
                <w:ilvl w:val="0"/>
                <w:numId w:val="23"/>
              </w:numPr>
              <w:tabs>
                <w:tab w:val="left" w:pos="624"/>
              </w:tabs>
              <w:jc w:val="both"/>
              <w:rPr>
                <w:rFonts w:ascii="David" w:hAnsi="David"/>
                <w:sz w:val="24"/>
                <w:szCs w:val="24"/>
              </w:rPr>
            </w:pPr>
          </w:p>
        </w:tc>
        <w:tc>
          <w:tcPr>
            <w:tcW w:w="5898" w:type="dxa"/>
          </w:tcPr>
          <w:p w:rsidR="007B6677" w:rsidRPr="00B17970" w:rsidRDefault="00255B26" w:rsidP="00990747">
            <w:pPr>
              <w:pStyle w:val="TableBlock"/>
              <w:rPr>
                <w:rFonts w:ascii="David" w:hAnsi="David"/>
                <w:sz w:val="24"/>
                <w:szCs w:val="24"/>
                <w:rtl/>
              </w:rPr>
            </w:pPr>
            <w:r w:rsidRPr="00B17970">
              <w:rPr>
                <w:rFonts w:ascii="David" w:hAnsi="David"/>
                <w:sz w:val="24"/>
                <w:szCs w:val="24"/>
                <w:rtl/>
              </w:rPr>
              <w:t>יש חשד סביר כי במקום מצוי חפץ הקשור לעבירה מסוג פשע חמור, העשוי לשמש ראיה לביצוע העבירה, והחיפוש נדרש באופן מידי לשם מניעת העלמת הראיה או פגיעה בה;</w:t>
            </w:r>
          </w:p>
        </w:tc>
      </w:tr>
      <w:tr w:rsidR="00D55AAF" w:rsidRPr="00B17970" w:rsidTr="00D9146A">
        <w:trPr>
          <w:cantSplit/>
          <w:trHeight w:val="60"/>
        </w:trPr>
        <w:tc>
          <w:tcPr>
            <w:tcW w:w="1871" w:type="dxa"/>
          </w:tcPr>
          <w:p w:rsidR="007B6677" w:rsidRPr="00B17970" w:rsidRDefault="007B6677" w:rsidP="00990747">
            <w:pPr>
              <w:pStyle w:val="TableSideHeading"/>
              <w:rPr>
                <w:rFonts w:ascii="David" w:hAnsi="David"/>
                <w:sz w:val="24"/>
                <w:szCs w:val="24"/>
              </w:rPr>
            </w:pPr>
          </w:p>
        </w:tc>
        <w:tc>
          <w:tcPr>
            <w:tcW w:w="403" w:type="dxa"/>
          </w:tcPr>
          <w:p w:rsidR="007B6677" w:rsidRPr="00B17970" w:rsidRDefault="007B6677" w:rsidP="00990747">
            <w:pPr>
              <w:pStyle w:val="TableText"/>
              <w:rPr>
                <w:rFonts w:ascii="David" w:hAnsi="David"/>
                <w:sz w:val="24"/>
                <w:szCs w:val="24"/>
              </w:rPr>
            </w:pPr>
          </w:p>
        </w:tc>
        <w:tc>
          <w:tcPr>
            <w:tcW w:w="845" w:type="dxa"/>
          </w:tcPr>
          <w:p w:rsidR="007B6677" w:rsidRPr="00B17970" w:rsidRDefault="007B6677" w:rsidP="00990747">
            <w:pPr>
              <w:pStyle w:val="TableText"/>
              <w:rPr>
                <w:rFonts w:ascii="David" w:hAnsi="David"/>
                <w:sz w:val="24"/>
                <w:szCs w:val="24"/>
              </w:rPr>
            </w:pPr>
          </w:p>
        </w:tc>
        <w:tc>
          <w:tcPr>
            <w:tcW w:w="624" w:type="dxa"/>
          </w:tcPr>
          <w:p w:rsidR="007B6677" w:rsidRPr="00B17970" w:rsidRDefault="007B6677" w:rsidP="007B6677">
            <w:pPr>
              <w:pStyle w:val="TableText"/>
              <w:numPr>
                <w:ilvl w:val="0"/>
                <w:numId w:val="23"/>
              </w:numPr>
              <w:tabs>
                <w:tab w:val="left" w:pos="624"/>
              </w:tabs>
              <w:jc w:val="both"/>
              <w:rPr>
                <w:rFonts w:ascii="David" w:hAnsi="David"/>
                <w:sz w:val="24"/>
                <w:szCs w:val="24"/>
              </w:rPr>
            </w:pPr>
          </w:p>
        </w:tc>
        <w:tc>
          <w:tcPr>
            <w:tcW w:w="5898" w:type="dxa"/>
          </w:tcPr>
          <w:p w:rsidR="007B6677" w:rsidRPr="00B17970" w:rsidRDefault="00255B26" w:rsidP="00990747">
            <w:pPr>
              <w:pStyle w:val="TableBlock"/>
              <w:rPr>
                <w:rFonts w:ascii="David" w:hAnsi="David"/>
                <w:sz w:val="24"/>
                <w:szCs w:val="24"/>
                <w:rtl/>
              </w:rPr>
            </w:pPr>
            <w:r w:rsidRPr="00B17970">
              <w:rPr>
                <w:rFonts w:ascii="David" w:hAnsi="David"/>
                <w:sz w:val="24"/>
                <w:szCs w:val="24"/>
                <w:rtl/>
              </w:rPr>
              <w:t>יש חשד סביר כי במקום נמצא חשוד בעבירת פשע חמור שנעברה זה מקרוב או אדם המתחמק ממעצר או ממאסר או הנמלט ממשמורת חוקית.</w:t>
            </w:r>
          </w:p>
        </w:tc>
      </w:tr>
      <w:tr w:rsidR="00D55AAF" w:rsidRPr="00B17970" w:rsidTr="00D9146A">
        <w:trPr>
          <w:cantSplit/>
          <w:trHeight w:val="60"/>
        </w:trPr>
        <w:tc>
          <w:tcPr>
            <w:tcW w:w="1871" w:type="dxa"/>
          </w:tcPr>
          <w:p w:rsidR="007B6677" w:rsidRPr="00B17970" w:rsidRDefault="007B6677" w:rsidP="00990747">
            <w:pPr>
              <w:pStyle w:val="TableSideHeading"/>
              <w:rPr>
                <w:rFonts w:ascii="David" w:hAnsi="David"/>
                <w:sz w:val="24"/>
                <w:szCs w:val="24"/>
              </w:rPr>
            </w:pPr>
          </w:p>
        </w:tc>
        <w:tc>
          <w:tcPr>
            <w:tcW w:w="403" w:type="dxa"/>
          </w:tcPr>
          <w:p w:rsidR="007B6677" w:rsidRPr="00B17970" w:rsidRDefault="007B6677" w:rsidP="00990747">
            <w:pPr>
              <w:pStyle w:val="TableText"/>
              <w:rPr>
                <w:rFonts w:ascii="David" w:hAnsi="David"/>
                <w:sz w:val="24"/>
                <w:szCs w:val="24"/>
              </w:rPr>
            </w:pPr>
          </w:p>
        </w:tc>
        <w:tc>
          <w:tcPr>
            <w:tcW w:w="845" w:type="dxa"/>
          </w:tcPr>
          <w:p w:rsidR="007B6677" w:rsidRPr="00B17970" w:rsidRDefault="007B6677" w:rsidP="00990747">
            <w:pPr>
              <w:pStyle w:val="TableText"/>
              <w:rPr>
                <w:rFonts w:ascii="David" w:hAnsi="David"/>
                <w:sz w:val="24"/>
                <w:szCs w:val="24"/>
              </w:rPr>
            </w:pPr>
          </w:p>
        </w:tc>
        <w:tc>
          <w:tcPr>
            <w:tcW w:w="6522" w:type="dxa"/>
            <w:gridSpan w:val="2"/>
          </w:tcPr>
          <w:p w:rsidR="007B6677" w:rsidRPr="00B17970" w:rsidRDefault="00255B26" w:rsidP="00990747">
            <w:pPr>
              <w:pStyle w:val="TableBlock"/>
              <w:rPr>
                <w:rFonts w:ascii="David" w:hAnsi="David"/>
                <w:sz w:val="24"/>
                <w:szCs w:val="24"/>
                <w:rtl/>
              </w:rPr>
            </w:pPr>
            <w:r w:rsidRPr="00B17970">
              <w:rPr>
                <w:rFonts w:ascii="David" w:hAnsi="David"/>
                <w:sz w:val="24"/>
                <w:szCs w:val="24"/>
                <w:rtl/>
              </w:rPr>
              <w:t>לעניין סעיף זה "פשע חמור" – עבירה שדינה עשר שנות מאסר או יותר, וכן עבירה לפי סעי</w:t>
            </w:r>
            <w:r w:rsidR="00E63D4E" w:rsidRPr="00B17970">
              <w:rPr>
                <w:rFonts w:ascii="David" w:hAnsi="David"/>
                <w:sz w:val="24"/>
                <w:szCs w:val="24"/>
                <w:rtl/>
              </w:rPr>
              <w:t>פים</w:t>
            </w:r>
            <w:r w:rsidRPr="00B17970">
              <w:rPr>
                <w:rFonts w:ascii="David" w:hAnsi="David"/>
                <w:sz w:val="24"/>
                <w:szCs w:val="24"/>
                <w:rtl/>
              </w:rPr>
              <w:t xml:space="preserve"> 144(א) רישא, 340א(ב), 428 לחוק העונשין, התשל"ז-1977</w:t>
            </w:r>
            <w:r w:rsidRPr="00B17970">
              <w:rPr>
                <w:rStyle w:val="a7"/>
                <w:rFonts w:ascii="David" w:hAnsi="David"/>
                <w:sz w:val="24"/>
                <w:szCs w:val="24"/>
                <w:rtl/>
              </w:rPr>
              <w:footnoteReference w:id="3"/>
            </w:r>
            <w:r w:rsidRPr="00B17970">
              <w:rPr>
                <w:rFonts w:ascii="David" w:hAnsi="David"/>
                <w:sz w:val="24"/>
                <w:szCs w:val="24"/>
                <w:rtl/>
              </w:rPr>
              <w:t xml:space="preserve"> </w:t>
            </w:r>
          </w:p>
        </w:tc>
      </w:tr>
    </w:tbl>
    <w:p w:rsidR="006B3F70" w:rsidRPr="00B17970" w:rsidRDefault="006B3F70" w:rsidP="00BB46E5">
      <w:pPr>
        <w:pStyle w:val="HeadDivreiHesber"/>
        <w:rPr>
          <w:rFonts w:ascii="David" w:hAnsi="David"/>
          <w:sz w:val="24"/>
          <w:szCs w:val="24"/>
          <w:rtl/>
        </w:rPr>
      </w:pPr>
    </w:p>
    <w:p w:rsidR="00FB570D" w:rsidRPr="00B17970" w:rsidRDefault="00255B26" w:rsidP="00BB46E5">
      <w:pPr>
        <w:pStyle w:val="HeadDivreiHesber"/>
        <w:rPr>
          <w:rFonts w:ascii="David" w:hAnsi="David"/>
          <w:sz w:val="24"/>
          <w:szCs w:val="24"/>
          <w:rtl/>
        </w:rPr>
      </w:pPr>
      <w:r w:rsidRPr="00B17970">
        <w:rPr>
          <w:rFonts w:ascii="David" w:hAnsi="David"/>
          <w:sz w:val="24"/>
          <w:szCs w:val="24"/>
          <w:rtl/>
        </w:rPr>
        <w:t>דברי הסבר</w:t>
      </w:r>
    </w:p>
    <w:p w:rsidR="00734C64" w:rsidRPr="00B17970" w:rsidRDefault="00255B26" w:rsidP="00821BA7">
      <w:pPr>
        <w:autoSpaceDE w:val="0"/>
        <w:autoSpaceDN w:val="0"/>
        <w:adjustRightInd w:val="0"/>
        <w:spacing w:before="102"/>
        <w:textAlignment w:val="center"/>
        <w:rPr>
          <w:rFonts w:eastAsia="MS Mincho"/>
          <w:color w:val="000000"/>
          <w:spacing w:val="1"/>
          <w:rtl/>
          <w:lang w:eastAsia="ja-JP"/>
        </w:rPr>
      </w:pPr>
      <w:r w:rsidRPr="00B17970">
        <w:rPr>
          <w:b/>
          <w:bCs/>
          <w:rtl/>
          <w:lang w:eastAsia="ja-JP"/>
        </w:rPr>
        <w:t>כללי</w:t>
      </w:r>
      <w:r w:rsidRPr="00B17970">
        <w:rPr>
          <w:rtl/>
          <w:lang w:eastAsia="ja-JP"/>
        </w:rPr>
        <w:t xml:space="preserve"> </w:t>
      </w:r>
      <w:r w:rsidRPr="00B17970">
        <w:rPr>
          <w:rtl/>
          <w:lang w:eastAsia="ja-JP"/>
        </w:rPr>
        <w:tab/>
      </w:r>
      <w:r w:rsidR="00E63D4E" w:rsidRPr="00B17970">
        <w:rPr>
          <w:rtl/>
          <w:lang w:eastAsia="ja-JP"/>
        </w:rPr>
        <w:t>מטרתה של הצעת חוק זו לתקן את העילות הקבועות ב</w:t>
      </w:r>
      <w:r w:rsidRPr="00B17970">
        <w:rPr>
          <w:rtl/>
          <w:lang w:eastAsia="ja-JP"/>
        </w:rPr>
        <w:t xml:space="preserve">סעיף 25 </w:t>
      </w:r>
      <w:r w:rsidR="00E63D4E" w:rsidRPr="00B17970">
        <w:rPr>
          <w:rtl/>
          <w:lang w:eastAsia="ja-JP"/>
        </w:rPr>
        <w:t xml:space="preserve">לפקודת סדר הדין הפלילי (מעצר וחיפוש) [נוסח חדש] תשכ"א-1969 (להלן: </w:t>
      </w:r>
      <w:r w:rsidR="00821BA7">
        <w:rPr>
          <w:rFonts w:hint="cs"/>
          <w:rtl/>
          <w:lang w:eastAsia="ja-JP"/>
        </w:rPr>
        <w:t>הפקודה</w:t>
      </w:r>
      <w:r w:rsidR="00E63D4E" w:rsidRPr="00B17970">
        <w:rPr>
          <w:rtl/>
          <w:lang w:eastAsia="ja-JP"/>
        </w:rPr>
        <w:t xml:space="preserve">), </w:t>
      </w:r>
      <w:proofErr w:type="spellStart"/>
      <w:r w:rsidRPr="00B17970">
        <w:rPr>
          <w:rtl/>
          <w:lang w:eastAsia="ja-JP"/>
        </w:rPr>
        <w:t>שבהתקיימן</w:t>
      </w:r>
      <w:proofErr w:type="spellEnd"/>
      <w:r w:rsidRPr="00B17970">
        <w:rPr>
          <w:rtl/>
          <w:lang w:eastAsia="ja-JP"/>
        </w:rPr>
        <w:t xml:space="preserve"> מוסמך שוטר לערוך חיפ</w:t>
      </w:r>
      <w:r w:rsidR="004B541C" w:rsidRPr="00B17970">
        <w:rPr>
          <w:rtl/>
          <w:lang w:eastAsia="ja-JP"/>
        </w:rPr>
        <w:t xml:space="preserve">וש במקום בלא צו בית משפט. </w:t>
      </w:r>
      <w:r w:rsidRPr="00B17970">
        <w:rPr>
          <w:rtl/>
          <w:lang w:eastAsia="ja-JP"/>
        </w:rPr>
        <w:t>סעיף 25 לפ</w:t>
      </w:r>
      <w:r w:rsidR="00821BA7">
        <w:rPr>
          <w:rFonts w:hint="cs"/>
          <w:rtl/>
          <w:lang w:eastAsia="ja-JP"/>
        </w:rPr>
        <w:t>קודה</w:t>
      </w:r>
      <w:r w:rsidRPr="00B17970">
        <w:rPr>
          <w:rtl/>
          <w:lang w:eastAsia="ja-JP"/>
        </w:rPr>
        <w:t xml:space="preserve"> קובע</w:t>
      </w:r>
      <w:r w:rsidR="004B541C" w:rsidRPr="00B17970">
        <w:rPr>
          <w:rtl/>
          <w:lang w:eastAsia="ja-JP"/>
        </w:rPr>
        <w:t xml:space="preserve"> כיום</w:t>
      </w:r>
      <w:r w:rsidRPr="00B17970">
        <w:rPr>
          <w:rtl/>
          <w:lang w:eastAsia="ja-JP"/>
        </w:rPr>
        <w:t xml:space="preserve"> ארבע עילות לחיפוש במקום בלא צו בית משפט: </w:t>
      </w:r>
      <w:r w:rsidRPr="00B17970">
        <w:rPr>
          <w:rFonts w:eastAsia="MS Mincho"/>
          <w:color w:val="000000"/>
          <w:spacing w:val="1"/>
          <w:rtl/>
          <w:lang w:eastAsia="ja-JP"/>
        </w:rPr>
        <w:t xml:space="preserve">האחת, יש לשוטר יסוד להניח שמבצעים שם פשע, או שפשע בוצע שם זה מקרוב; השנייה, כי  תופש הבית או המקום פונה לעזרת המשטרה; השלישית, כי אדם המצוי שם פונה לעזרת המשטרה ויש יסוד להניח שמבוצעת שם עבירה; והרביעית, כי השוטר רודף אחרי אדם המתחמק ממעצר או נמלט ממשמורת חוקית. </w:t>
      </w:r>
    </w:p>
    <w:p w:rsidR="00734C64" w:rsidRPr="00B17970" w:rsidRDefault="00255B26" w:rsidP="00734C64">
      <w:pPr>
        <w:autoSpaceDE w:val="0"/>
        <w:autoSpaceDN w:val="0"/>
        <w:adjustRightInd w:val="0"/>
        <w:spacing w:before="102"/>
        <w:textAlignment w:val="center"/>
        <w:rPr>
          <w:rFonts w:eastAsia="Malgun Gothic Semilight"/>
          <w:color w:val="000000"/>
          <w:spacing w:val="1"/>
          <w:rtl/>
          <w:lang w:eastAsia="ja-JP"/>
        </w:rPr>
      </w:pPr>
      <w:r w:rsidRPr="00B17970">
        <w:rPr>
          <w:rFonts w:eastAsia="MS Mincho"/>
          <w:color w:val="000000"/>
          <w:spacing w:val="1"/>
          <w:rtl/>
          <w:lang w:eastAsia="ja-JP"/>
        </w:rPr>
        <w:t xml:space="preserve">הנסיבות המתוארות לעיל מאופיינות בכך </w:t>
      </w:r>
      <w:proofErr w:type="spellStart"/>
      <w:r w:rsidRPr="00B17970">
        <w:rPr>
          <w:rFonts w:eastAsia="MS Mincho"/>
          <w:color w:val="000000"/>
          <w:spacing w:val="1"/>
          <w:rtl/>
          <w:lang w:eastAsia="ja-JP"/>
        </w:rPr>
        <w:t>שבהתקיימן</w:t>
      </w:r>
      <w:proofErr w:type="spellEnd"/>
      <w:r w:rsidRPr="00B17970">
        <w:rPr>
          <w:rFonts w:eastAsia="MS Mincho"/>
          <w:color w:val="000000"/>
          <w:spacing w:val="1"/>
          <w:rtl/>
          <w:lang w:eastAsia="ja-JP"/>
        </w:rPr>
        <w:t xml:space="preserve">, הצורך לערוך את החיפוש הוא דחוף, ופניה לבית המשפט לקבל צו חיפוש </w:t>
      </w:r>
      <w:r w:rsidRPr="00B17970">
        <w:rPr>
          <w:rFonts w:eastAsia="Malgun Gothic Semilight"/>
          <w:color w:val="000000"/>
          <w:spacing w:val="1"/>
          <w:rtl/>
          <w:lang w:eastAsia="ja-JP"/>
        </w:rPr>
        <w:t xml:space="preserve">תסכל את מטרתו. </w:t>
      </w:r>
    </w:p>
    <w:p w:rsidR="004B541C" w:rsidRPr="00B17970" w:rsidRDefault="004B541C" w:rsidP="00734C64">
      <w:pPr>
        <w:autoSpaceDE w:val="0"/>
        <w:autoSpaceDN w:val="0"/>
        <w:adjustRightInd w:val="0"/>
        <w:spacing w:before="102"/>
        <w:textAlignment w:val="center"/>
        <w:rPr>
          <w:rFonts w:eastAsia="Malgun Gothic Semilight"/>
          <w:color w:val="000000"/>
          <w:spacing w:val="1"/>
          <w:rtl/>
          <w:lang w:eastAsia="ja-JP"/>
        </w:rPr>
      </w:pPr>
    </w:p>
    <w:p w:rsidR="00E02F7B" w:rsidRPr="00B17970" w:rsidRDefault="00255B26" w:rsidP="007E0810">
      <w:pPr>
        <w:autoSpaceDE w:val="0"/>
        <w:autoSpaceDN w:val="0"/>
        <w:adjustRightInd w:val="0"/>
        <w:spacing w:before="102"/>
        <w:textAlignment w:val="center"/>
        <w:rPr>
          <w:rFonts w:eastAsia="Malgun Gothic Semilight"/>
          <w:color w:val="000000"/>
          <w:spacing w:val="1"/>
          <w:rtl/>
          <w:lang w:eastAsia="ja-JP"/>
        </w:rPr>
      </w:pPr>
      <w:r w:rsidRPr="00B17970">
        <w:rPr>
          <w:rFonts w:eastAsia="Malgun Gothic Semilight"/>
          <w:color w:val="000000"/>
          <w:spacing w:val="1"/>
          <w:rtl/>
          <w:lang w:eastAsia="ja-JP"/>
        </w:rPr>
        <w:t>במהלך שנות התשעים בחנה ועדה ציבורית בראשותו של שופט העליון בדימוס דב לוין את מכלול סמכויות האכיפה בידי המשטרה ובעקבות</w:t>
      </w:r>
      <w:r w:rsidR="003C5F56" w:rsidRPr="00B17970">
        <w:rPr>
          <w:rFonts w:eastAsia="Malgun Gothic Semilight"/>
          <w:color w:val="000000"/>
          <w:spacing w:val="1"/>
          <w:rtl/>
          <w:lang w:eastAsia="ja-JP"/>
        </w:rPr>
        <w:t xml:space="preserve"> המלצותיה</w:t>
      </w:r>
      <w:r w:rsidRPr="00B17970">
        <w:rPr>
          <w:rFonts w:eastAsia="Malgun Gothic Semilight"/>
          <w:color w:val="000000"/>
          <w:spacing w:val="1"/>
          <w:rtl/>
          <w:lang w:eastAsia="ja-JP"/>
        </w:rPr>
        <w:t xml:space="preserve"> תוקנו חוקים שונים </w:t>
      </w:r>
      <w:r w:rsidR="003C5F56" w:rsidRPr="00B17970">
        <w:rPr>
          <w:rFonts w:eastAsia="Malgun Gothic Semilight"/>
          <w:color w:val="000000"/>
          <w:spacing w:val="1"/>
          <w:rtl/>
          <w:lang w:eastAsia="ja-JP"/>
        </w:rPr>
        <w:t xml:space="preserve">ונחקקו חוקים חדשים, </w:t>
      </w:r>
      <w:r w:rsidRPr="00B17970">
        <w:rPr>
          <w:rFonts w:eastAsia="Malgun Gothic Semilight"/>
          <w:color w:val="000000"/>
          <w:spacing w:val="1"/>
          <w:rtl/>
          <w:lang w:eastAsia="ja-JP"/>
        </w:rPr>
        <w:t>כדוגמת חוק</w:t>
      </w:r>
      <w:r w:rsidR="003C5F56" w:rsidRPr="00B17970">
        <w:rPr>
          <w:rFonts w:eastAsia="Malgun Gothic Semilight"/>
          <w:color w:val="000000"/>
          <w:spacing w:val="1"/>
          <w:rtl/>
          <w:lang w:eastAsia="ja-JP"/>
        </w:rPr>
        <w:t xml:space="preserve"> סדר הדין הפלילי (סמכויות אכיפה –</w:t>
      </w:r>
      <w:r w:rsidRPr="00B17970">
        <w:rPr>
          <w:rFonts w:eastAsia="Malgun Gothic Semilight"/>
          <w:color w:val="000000"/>
          <w:spacing w:val="1"/>
          <w:rtl/>
          <w:lang w:eastAsia="ja-JP"/>
        </w:rPr>
        <w:t xml:space="preserve"> מעצרים</w:t>
      </w:r>
      <w:r w:rsidR="003C5F56" w:rsidRPr="00B17970">
        <w:rPr>
          <w:rFonts w:eastAsia="Malgun Gothic Semilight"/>
          <w:color w:val="000000"/>
          <w:spacing w:val="1"/>
          <w:rtl/>
          <w:lang w:eastAsia="ja-JP"/>
        </w:rPr>
        <w:t>)</w:t>
      </w:r>
      <w:r w:rsidRPr="00B17970">
        <w:rPr>
          <w:rFonts w:eastAsia="Malgun Gothic Semilight"/>
          <w:color w:val="000000"/>
          <w:spacing w:val="1"/>
          <w:rtl/>
          <w:lang w:eastAsia="ja-JP"/>
        </w:rPr>
        <w:t>,</w:t>
      </w:r>
      <w:r w:rsidR="003C5F56" w:rsidRPr="00B17970">
        <w:rPr>
          <w:rFonts w:eastAsia="Malgun Gothic Semilight"/>
          <w:color w:val="000000"/>
          <w:spacing w:val="1"/>
          <w:rtl/>
          <w:lang w:eastAsia="ja-JP"/>
        </w:rPr>
        <w:t xml:space="preserve"> התשנ"ו-1996,</w:t>
      </w:r>
      <w:r w:rsidRPr="00B17970">
        <w:rPr>
          <w:rFonts w:eastAsia="Malgun Gothic Semilight"/>
          <w:color w:val="000000"/>
          <w:spacing w:val="1"/>
          <w:rtl/>
          <w:lang w:eastAsia="ja-JP"/>
        </w:rPr>
        <w:t xml:space="preserve"> חוק </w:t>
      </w:r>
      <w:r w:rsidR="003C5F56" w:rsidRPr="00B17970">
        <w:rPr>
          <w:rFonts w:eastAsia="Malgun Gothic Semilight"/>
          <w:color w:val="000000"/>
          <w:spacing w:val="1"/>
          <w:rtl/>
          <w:lang w:eastAsia="ja-JP"/>
        </w:rPr>
        <w:t xml:space="preserve">סדר הדין הפלילי (סמכויות אכיפה – </w:t>
      </w:r>
      <w:r w:rsidRPr="00B17970">
        <w:rPr>
          <w:rFonts w:eastAsia="Malgun Gothic Semilight"/>
          <w:color w:val="000000"/>
          <w:spacing w:val="1"/>
          <w:rtl/>
          <w:lang w:eastAsia="ja-JP"/>
        </w:rPr>
        <w:t xml:space="preserve">חיפוש בגוף </w:t>
      </w:r>
      <w:r w:rsidR="003C5F56" w:rsidRPr="00B17970">
        <w:rPr>
          <w:rFonts w:eastAsia="Malgun Gothic Semilight"/>
          <w:color w:val="000000"/>
          <w:spacing w:val="1"/>
          <w:rtl/>
          <w:lang w:eastAsia="ja-JP"/>
        </w:rPr>
        <w:t xml:space="preserve">ונטילת אמצעי זיהוי), התשנ"ו-1996 </w:t>
      </w:r>
      <w:r w:rsidRPr="00B17970">
        <w:rPr>
          <w:rFonts w:eastAsia="Malgun Gothic Semilight"/>
          <w:color w:val="000000"/>
          <w:spacing w:val="1"/>
          <w:rtl/>
          <w:lang w:eastAsia="ja-JP"/>
        </w:rPr>
        <w:t>וחוק סמכויות לשם שמירה על בטחון הציבור</w:t>
      </w:r>
      <w:r w:rsidR="003C5F56" w:rsidRPr="00B17970">
        <w:rPr>
          <w:rFonts w:eastAsia="Malgun Gothic Semilight"/>
          <w:color w:val="000000"/>
          <w:spacing w:val="1"/>
          <w:rtl/>
          <w:lang w:eastAsia="ja-JP"/>
        </w:rPr>
        <w:t>, התשס"ה-2005</w:t>
      </w:r>
      <w:r w:rsidRPr="00B17970">
        <w:rPr>
          <w:rFonts w:eastAsia="Malgun Gothic Semilight"/>
          <w:color w:val="000000"/>
          <w:spacing w:val="1"/>
          <w:rtl/>
          <w:lang w:eastAsia="ja-JP"/>
        </w:rPr>
        <w:t xml:space="preserve">). </w:t>
      </w:r>
    </w:p>
    <w:p w:rsidR="00445391" w:rsidRPr="00B17970" w:rsidRDefault="00445391" w:rsidP="007E0810">
      <w:pPr>
        <w:autoSpaceDE w:val="0"/>
        <w:autoSpaceDN w:val="0"/>
        <w:adjustRightInd w:val="0"/>
        <w:spacing w:before="102"/>
        <w:textAlignment w:val="center"/>
        <w:rPr>
          <w:rFonts w:eastAsia="Malgun Gothic Semilight"/>
          <w:color w:val="000000"/>
          <w:spacing w:val="1"/>
          <w:rtl/>
          <w:lang w:eastAsia="ja-JP"/>
        </w:rPr>
      </w:pPr>
    </w:p>
    <w:p w:rsidR="004B541C" w:rsidRPr="00B17970" w:rsidRDefault="00E02F7B" w:rsidP="00F5659D">
      <w:pPr>
        <w:autoSpaceDE w:val="0"/>
        <w:autoSpaceDN w:val="0"/>
        <w:adjustRightInd w:val="0"/>
        <w:spacing w:before="102"/>
        <w:textAlignment w:val="center"/>
        <w:rPr>
          <w:rFonts w:eastAsia="Malgun Gothic Semilight"/>
          <w:color w:val="000000"/>
          <w:spacing w:val="1"/>
          <w:rtl/>
          <w:lang w:eastAsia="ja-JP"/>
        </w:rPr>
      </w:pPr>
      <w:r w:rsidRPr="00B17970">
        <w:rPr>
          <w:rFonts w:eastAsia="Malgun Gothic Semilight"/>
          <w:color w:val="000000"/>
          <w:spacing w:val="1"/>
          <w:rtl/>
          <w:lang w:eastAsia="ja-JP"/>
        </w:rPr>
        <w:t>נוסף</w:t>
      </w:r>
      <w:r w:rsidR="00296A26">
        <w:rPr>
          <w:rFonts w:eastAsia="Malgun Gothic Semilight" w:hint="cs"/>
          <w:color w:val="000000"/>
          <w:spacing w:val="1"/>
          <w:rtl/>
          <w:lang w:eastAsia="ja-JP"/>
        </w:rPr>
        <w:t xml:space="preserve"> על כך</w:t>
      </w:r>
      <w:r w:rsidRPr="00B17970">
        <w:rPr>
          <w:rFonts w:eastAsia="Malgun Gothic Semilight"/>
          <w:color w:val="000000"/>
          <w:spacing w:val="1"/>
          <w:rtl/>
          <w:lang w:eastAsia="ja-JP"/>
        </w:rPr>
        <w:t xml:space="preserve">, וכהשלמה להמלצות הוועדה </w:t>
      </w:r>
      <w:r w:rsidR="00FB28B9" w:rsidRPr="00B17970">
        <w:rPr>
          <w:rFonts w:eastAsia="Malgun Gothic Semilight"/>
          <w:color w:val="000000"/>
          <w:spacing w:val="1"/>
          <w:rtl/>
          <w:lang w:eastAsia="ja-JP"/>
        </w:rPr>
        <w:t xml:space="preserve">גובשה </w:t>
      </w:r>
      <w:r w:rsidR="00255B26" w:rsidRPr="00B17970">
        <w:rPr>
          <w:rFonts w:eastAsia="Malgun Gothic Semilight"/>
          <w:color w:val="000000"/>
          <w:spacing w:val="1"/>
          <w:rtl/>
          <w:lang w:eastAsia="ja-JP"/>
        </w:rPr>
        <w:t>הצעת חוק סדר הדין הפלילי (סמכויות אכיפה</w:t>
      </w:r>
      <w:r w:rsidR="003C5F56" w:rsidRPr="00B17970">
        <w:rPr>
          <w:rFonts w:eastAsia="Malgun Gothic Semilight"/>
          <w:color w:val="000000"/>
          <w:spacing w:val="1"/>
          <w:rtl/>
          <w:lang w:eastAsia="ja-JP"/>
        </w:rPr>
        <w:t xml:space="preserve"> </w:t>
      </w:r>
      <w:r w:rsidR="00255B26" w:rsidRPr="00B17970">
        <w:rPr>
          <w:rFonts w:eastAsia="Malgun Gothic Semilight"/>
          <w:color w:val="000000"/>
          <w:spacing w:val="1"/>
          <w:rtl/>
          <w:lang w:eastAsia="ja-JP"/>
        </w:rPr>
        <w:t>- המצאה, חיפוש ותפיסה)</w:t>
      </w:r>
      <w:r w:rsidR="003C5F56" w:rsidRPr="00B17970">
        <w:rPr>
          <w:rFonts w:eastAsia="Malgun Gothic Semilight"/>
          <w:color w:val="000000"/>
          <w:spacing w:val="1"/>
          <w:rtl/>
          <w:lang w:eastAsia="ja-JP"/>
        </w:rPr>
        <w:t>,</w:t>
      </w:r>
      <w:r w:rsidR="00255B26" w:rsidRPr="00B17970">
        <w:rPr>
          <w:rFonts w:eastAsia="Malgun Gothic Semilight"/>
          <w:color w:val="000000"/>
          <w:spacing w:val="1"/>
          <w:rtl/>
          <w:lang w:eastAsia="ja-JP"/>
        </w:rPr>
        <w:t xml:space="preserve"> </w:t>
      </w:r>
      <w:proofErr w:type="spellStart"/>
      <w:r w:rsidR="00255B26" w:rsidRPr="00B17970">
        <w:rPr>
          <w:rFonts w:eastAsia="Malgun Gothic Semilight"/>
          <w:color w:val="000000"/>
          <w:spacing w:val="1"/>
          <w:rtl/>
          <w:lang w:eastAsia="ja-JP"/>
        </w:rPr>
        <w:t>התשע"ד</w:t>
      </w:r>
      <w:proofErr w:type="spellEnd"/>
      <w:r w:rsidR="00255B26" w:rsidRPr="00B17970">
        <w:rPr>
          <w:rFonts w:eastAsia="Malgun Gothic Semilight"/>
          <w:color w:val="000000"/>
          <w:spacing w:val="1"/>
          <w:rtl/>
          <w:lang w:eastAsia="ja-JP"/>
        </w:rPr>
        <w:t xml:space="preserve">- 2014 (להלן- </w:t>
      </w:r>
      <w:r w:rsidR="0012790E" w:rsidRPr="00B17970">
        <w:rPr>
          <w:rFonts w:eastAsia="Malgun Gothic Semilight"/>
          <w:color w:val="000000"/>
          <w:spacing w:val="1"/>
          <w:rtl/>
          <w:lang w:eastAsia="ja-JP"/>
        </w:rPr>
        <w:t xml:space="preserve">הצעת </w:t>
      </w:r>
      <w:r w:rsidR="00255B26" w:rsidRPr="00B17970">
        <w:rPr>
          <w:rFonts w:eastAsia="Malgun Gothic Semilight"/>
          <w:color w:val="000000"/>
          <w:spacing w:val="1"/>
          <w:rtl/>
          <w:lang w:eastAsia="ja-JP"/>
        </w:rPr>
        <w:t>חוק החיפוש)</w:t>
      </w:r>
      <w:r w:rsidR="003C5F56" w:rsidRPr="00B17970">
        <w:rPr>
          <w:rFonts w:eastAsia="Malgun Gothic Semilight"/>
          <w:color w:val="000000"/>
          <w:spacing w:val="1"/>
          <w:rtl/>
          <w:lang w:eastAsia="ja-JP"/>
        </w:rPr>
        <w:t xml:space="preserve">. הצעת החוק עברה </w:t>
      </w:r>
      <w:r w:rsidR="005C0D0F" w:rsidRPr="00B17970">
        <w:rPr>
          <w:rFonts w:eastAsia="Malgun Gothic Semilight"/>
          <w:color w:val="000000"/>
          <w:spacing w:val="1"/>
          <w:rtl/>
          <w:lang w:eastAsia="ja-JP"/>
        </w:rPr>
        <w:t>ב</w:t>
      </w:r>
      <w:r w:rsidR="003C5F56" w:rsidRPr="00B17970">
        <w:rPr>
          <w:rFonts w:eastAsia="Malgun Gothic Semilight"/>
          <w:color w:val="000000"/>
          <w:spacing w:val="1"/>
          <w:rtl/>
          <w:lang w:eastAsia="ja-JP"/>
        </w:rPr>
        <w:t xml:space="preserve">קריאה ראשונה </w:t>
      </w:r>
      <w:r w:rsidR="00296A26">
        <w:rPr>
          <w:rFonts w:eastAsia="Malgun Gothic Semilight" w:hint="cs"/>
          <w:color w:val="000000"/>
          <w:spacing w:val="1"/>
          <w:rtl/>
          <w:lang w:eastAsia="ja-JP"/>
        </w:rPr>
        <w:t xml:space="preserve">בכנסת </w:t>
      </w:r>
      <w:r w:rsidR="00F5659D">
        <w:rPr>
          <w:rFonts w:eastAsia="Malgun Gothic Semilight" w:hint="cs"/>
          <w:color w:val="000000"/>
          <w:spacing w:val="1"/>
          <w:rtl/>
          <w:lang w:eastAsia="ja-JP"/>
        </w:rPr>
        <w:t xml:space="preserve">התשע עשרה </w:t>
      </w:r>
      <w:r w:rsidR="003C5F56" w:rsidRPr="00B17970">
        <w:rPr>
          <w:rFonts w:eastAsia="Malgun Gothic Semilight"/>
          <w:color w:val="000000"/>
          <w:spacing w:val="1"/>
          <w:rtl/>
          <w:lang w:eastAsia="ja-JP"/>
        </w:rPr>
        <w:t xml:space="preserve">אולם דיוני ההכנה לקריאה שניה ושלישית בוועדת </w:t>
      </w:r>
      <w:r w:rsidR="00445391" w:rsidRPr="00B17970">
        <w:rPr>
          <w:rFonts w:eastAsia="Malgun Gothic Semilight"/>
          <w:color w:val="000000"/>
          <w:spacing w:val="1"/>
          <w:rtl/>
          <w:lang w:eastAsia="ja-JP"/>
        </w:rPr>
        <w:t>ה</w:t>
      </w:r>
      <w:r w:rsidR="003C5F56" w:rsidRPr="00B17970">
        <w:rPr>
          <w:rFonts w:eastAsia="Malgun Gothic Semilight"/>
          <w:color w:val="000000"/>
          <w:spacing w:val="1"/>
          <w:rtl/>
          <w:lang w:eastAsia="ja-JP"/>
        </w:rPr>
        <w:t>חוקה חוק ומשפט לא הושלמו.</w:t>
      </w:r>
      <w:r w:rsidR="00B41330" w:rsidRPr="00B17970">
        <w:rPr>
          <w:rFonts w:eastAsia="Malgun Gothic Semilight"/>
          <w:color w:val="000000"/>
          <w:spacing w:val="1"/>
          <w:rtl/>
          <w:lang w:eastAsia="ja-JP"/>
        </w:rPr>
        <w:t xml:space="preserve"> </w:t>
      </w:r>
      <w:r w:rsidR="00AD16AB" w:rsidRPr="00B17970">
        <w:rPr>
          <w:rFonts w:eastAsia="Malgun Gothic Semilight"/>
          <w:color w:val="000000"/>
          <w:spacing w:val="1"/>
          <w:rtl/>
          <w:lang w:eastAsia="ja-JP"/>
        </w:rPr>
        <w:t>ב</w:t>
      </w:r>
      <w:r w:rsidR="00B41330" w:rsidRPr="00B17970">
        <w:rPr>
          <w:rFonts w:eastAsia="Malgun Gothic Semilight"/>
          <w:color w:val="000000"/>
          <w:spacing w:val="1"/>
          <w:rtl/>
          <w:lang w:eastAsia="ja-JP"/>
        </w:rPr>
        <w:t xml:space="preserve">סעיף 20 </w:t>
      </w:r>
      <w:r w:rsidR="00AD16AB" w:rsidRPr="00B17970">
        <w:rPr>
          <w:rFonts w:eastAsia="Malgun Gothic Semilight"/>
          <w:color w:val="000000"/>
          <w:spacing w:val="1"/>
          <w:rtl/>
          <w:lang w:eastAsia="ja-JP"/>
        </w:rPr>
        <w:t xml:space="preserve">להצעת החוק, </w:t>
      </w:r>
      <w:r w:rsidR="00B41330" w:rsidRPr="00B17970">
        <w:rPr>
          <w:rFonts w:eastAsia="Malgun Gothic Semilight"/>
          <w:color w:val="000000"/>
          <w:spacing w:val="1"/>
          <w:rtl/>
          <w:lang w:eastAsia="ja-JP"/>
        </w:rPr>
        <w:t>שכותרתו "עילות לחיפוש במקום ללא צו"</w:t>
      </w:r>
      <w:r w:rsidR="00AD16AB" w:rsidRPr="00B17970">
        <w:rPr>
          <w:rFonts w:eastAsia="Malgun Gothic Semilight"/>
          <w:color w:val="000000"/>
          <w:spacing w:val="1"/>
          <w:rtl/>
          <w:lang w:eastAsia="ja-JP"/>
        </w:rPr>
        <w:t>,</w:t>
      </w:r>
      <w:r w:rsidR="00B41330" w:rsidRPr="00B17970">
        <w:rPr>
          <w:rFonts w:eastAsia="Malgun Gothic Semilight"/>
          <w:color w:val="000000"/>
          <w:spacing w:val="1"/>
          <w:rtl/>
          <w:lang w:eastAsia="ja-JP"/>
        </w:rPr>
        <w:t xml:space="preserve"> </w:t>
      </w:r>
      <w:r w:rsidR="00255B26" w:rsidRPr="00B17970">
        <w:rPr>
          <w:rFonts w:eastAsia="Malgun Gothic Semilight"/>
          <w:color w:val="000000"/>
          <w:spacing w:val="1"/>
          <w:rtl/>
          <w:lang w:eastAsia="ja-JP"/>
        </w:rPr>
        <w:t xml:space="preserve">הוצע </w:t>
      </w:r>
      <w:r w:rsidR="00AD16AB" w:rsidRPr="00B17970">
        <w:rPr>
          <w:rFonts w:eastAsia="Malgun Gothic Semilight"/>
          <w:color w:val="000000"/>
          <w:spacing w:val="1"/>
          <w:rtl/>
          <w:lang w:eastAsia="ja-JP"/>
        </w:rPr>
        <w:t xml:space="preserve">לאור המלצות ועדת לוין </w:t>
      </w:r>
      <w:r w:rsidR="00255B26" w:rsidRPr="00B17970">
        <w:rPr>
          <w:rFonts w:eastAsia="Malgun Gothic Semilight"/>
          <w:color w:val="000000"/>
          <w:spacing w:val="1"/>
          <w:rtl/>
          <w:lang w:eastAsia="ja-JP"/>
        </w:rPr>
        <w:t>לחוקק את</w:t>
      </w:r>
      <w:r w:rsidR="00D554E2" w:rsidRPr="00B17970">
        <w:rPr>
          <w:rFonts w:eastAsia="Malgun Gothic Semilight"/>
          <w:color w:val="000000"/>
          <w:spacing w:val="1"/>
          <w:rtl/>
          <w:lang w:eastAsia="ja-JP"/>
        </w:rPr>
        <w:t xml:space="preserve"> אותן העילות המעוגנות היום </w:t>
      </w:r>
      <w:proofErr w:type="spellStart"/>
      <w:r w:rsidR="00D554E2" w:rsidRPr="00B17970">
        <w:rPr>
          <w:rFonts w:eastAsia="Malgun Gothic Semilight"/>
          <w:color w:val="000000"/>
          <w:spacing w:val="1"/>
          <w:rtl/>
          <w:lang w:eastAsia="ja-JP"/>
        </w:rPr>
        <w:t>בפסד"פ</w:t>
      </w:r>
      <w:proofErr w:type="spellEnd"/>
      <w:r w:rsidR="00D554E2" w:rsidRPr="00B17970">
        <w:rPr>
          <w:rFonts w:eastAsia="Malgun Gothic Semilight"/>
          <w:color w:val="000000"/>
          <w:spacing w:val="1"/>
          <w:rtl/>
          <w:lang w:eastAsia="ja-JP"/>
        </w:rPr>
        <w:t xml:space="preserve">, וכן </w:t>
      </w:r>
      <w:r w:rsidR="005C0D0F" w:rsidRPr="00B17970">
        <w:rPr>
          <w:rFonts w:eastAsia="Malgun Gothic Semilight"/>
          <w:color w:val="000000"/>
          <w:spacing w:val="1"/>
          <w:rtl/>
          <w:lang w:eastAsia="ja-JP"/>
        </w:rPr>
        <w:t xml:space="preserve">להוסיף </w:t>
      </w:r>
      <w:r w:rsidR="00D554E2" w:rsidRPr="00B17970">
        <w:rPr>
          <w:rFonts w:eastAsia="Malgun Gothic Semilight"/>
          <w:color w:val="000000"/>
          <w:spacing w:val="1"/>
          <w:rtl/>
          <w:lang w:eastAsia="ja-JP"/>
        </w:rPr>
        <w:t xml:space="preserve">עילה נוספת שעניינה סמכות חיפוש לצורך תפיסת ראיה בקשר לעבירות </w:t>
      </w:r>
      <w:r w:rsidR="00D554E2" w:rsidRPr="00B17970">
        <w:rPr>
          <w:rFonts w:eastAsia="Malgun Gothic Semilight"/>
          <w:b/>
          <w:bCs/>
          <w:color w:val="000000"/>
          <w:spacing w:val="1"/>
          <w:rtl/>
          <w:lang w:eastAsia="ja-JP"/>
        </w:rPr>
        <w:t>פשע</w:t>
      </w:r>
      <w:r w:rsidR="00D554E2" w:rsidRPr="00B17970">
        <w:rPr>
          <w:rFonts w:eastAsia="Malgun Gothic Semilight"/>
          <w:color w:val="000000"/>
          <w:spacing w:val="1"/>
          <w:rtl/>
          <w:lang w:eastAsia="ja-JP"/>
        </w:rPr>
        <w:t>, מחמת חשש לפגיעה בה או להעלמתה.</w:t>
      </w:r>
      <w:r w:rsidR="00B41330" w:rsidRPr="00B17970">
        <w:rPr>
          <w:rFonts w:eastAsia="Malgun Gothic Semilight"/>
          <w:color w:val="000000"/>
          <w:spacing w:val="1"/>
          <w:rtl/>
          <w:lang w:eastAsia="ja-JP"/>
        </w:rPr>
        <w:t xml:space="preserve"> </w:t>
      </w:r>
      <w:r w:rsidR="00D554E2" w:rsidRPr="00B17970">
        <w:rPr>
          <w:rFonts w:eastAsia="Malgun Gothic Semilight"/>
          <w:color w:val="000000"/>
          <w:spacing w:val="1"/>
          <w:rtl/>
          <w:lang w:eastAsia="ja-JP"/>
        </w:rPr>
        <w:t>לעניין עילה זו</w:t>
      </w:r>
      <w:r w:rsidR="00255B26" w:rsidRPr="00B17970">
        <w:rPr>
          <w:rFonts w:eastAsia="Malgun Gothic Semilight"/>
          <w:color w:val="000000"/>
          <w:spacing w:val="1"/>
          <w:rtl/>
          <w:lang w:eastAsia="ja-JP"/>
        </w:rPr>
        <w:t xml:space="preserve"> </w:t>
      </w:r>
      <w:r w:rsidR="00AD16AB" w:rsidRPr="00B17970">
        <w:rPr>
          <w:rFonts w:eastAsia="Malgun Gothic Semilight"/>
          <w:color w:val="000000"/>
          <w:spacing w:val="1"/>
          <w:rtl/>
          <w:lang w:eastAsia="ja-JP"/>
        </w:rPr>
        <w:t>הוסבר</w:t>
      </w:r>
      <w:r w:rsidR="00255B26" w:rsidRPr="00B17970">
        <w:rPr>
          <w:rFonts w:eastAsia="Malgun Gothic Semilight"/>
          <w:color w:val="000000"/>
          <w:spacing w:val="1"/>
          <w:rtl/>
          <w:lang w:eastAsia="ja-JP"/>
        </w:rPr>
        <w:t xml:space="preserve"> כי </w:t>
      </w:r>
      <w:r w:rsidR="00D554E2" w:rsidRPr="00B17970">
        <w:rPr>
          <w:rFonts w:eastAsia="Malgun Gothic Semilight"/>
          <w:color w:val="000000"/>
          <w:spacing w:val="1"/>
          <w:rtl/>
          <w:lang w:eastAsia="ja-JP"/>
        </w:rPr>
        <w:t xml:space="preserve">מועד קיום העבירה אינו המבחן </w:t>
      </w:r>
      <w:r w:rsidR="00D554E2" w:rsidRPr="00B17970">
        <w:rPr>
          <w:rFonts w:eastAsia="Malgun Gothic Semilight"/>
          <w:color w:val="000000"/>
          <w:spacing w:val="1"/>
          <w:rtl/>
          <w:lang w:eastAsia="ja-JP"/>
        </w:rPr>
        <w:lastRenderedPageBreak/>
        <w:t xml:space="preserve">המהותי, אלא מועד </w:t>
      </w:r>
      <w:r w:rsidR="00296A26">
        <w:rPr>
          <w:rFonts w:eastAsia="Malgun Gothic Semilight" w:hint="cs"/>
          <w:color w:val="000000"/>
          <w:spacing w:val="1"/>
          <w:rtl/>
          <w:lang w:eastAsia="ja-JP"/>
        </w:rPr>
        <w:t>גילוי</w:t>
      </w:r>
      <w:r w:rsidR="00296A26" w:rsidRPr="00B17970">
        <w:rPr>
          <w:rFonts w:eastAsia="Malgun Gothic Semilight"/>
          <w:color w:val="000000"/>
          <w:spacing w:val="1"/>
          <w:rtl/>
          <w:lang w:eastAsia="ja-JP"/>
        </w:rPr>
        <w:t xml:space="preserve"> </w:t>
      </w:r>
      <w:r w:rsidR="00D554E2" w:rsidRPr="00B17970">
        <w:rPr>
          <w:rFonts w:eastAsia="Malgun Gothic Semilight"/>
          <w:color w:val="000000"/>
          <w:spacing w:val="1"/>
          <w:rtl/>
          <w:lang w:eastAsia="ja-JP"/>
        </w:rPr>
        <w:t xml:space="preserve">הראיה, ואפשרות העלמתה אם לא תיתפס באופן </w:t>
      </w:r>
      <w:proofErr w:type="spellStart"/>
      <w:r w:rsidR="00D554E2" w:rsidRPr="00B17970">
        <w:rPr>
          <w:rFonts w:eastAsia="Malgun Gothic Semilight"/>
          <w:color w:val="000000"/>
          <w:spacing w:val="1"/>
          <w:rtl/>
          <w:lang w:eastAsia="ja-JP"/>
        </w:rPr>
        <w:t>מיידי</w:t>
      </w:r>
      <w:proofErr w:type="spellEnd"/>
      <w:r w:rsidR="00D554E2" w:rsidRPr="00B17970">
        <w:rPr>
          <w:rFonts w:eastAsia="Malgun Gothic Semilight"/>
          <w:color w:val="000000"/>
          <w:spacing w:val="1"/>
          <w:rtl/>
          <w:lang w:eastAsia="ja-JP"/>
        </w:rPr>
        <w:t>.</w:t>
      </w:r>
    </w:p>
    <w:p w:rsidR="00734C64" w:rsidRPr="00B17970" w:rsidRDefault="00255B26" w:rsidP="00236EC9">
      <w:pPr>
        <w:autoSpaceDE w:val="0"/>
        <w:autoSpaceDN w:val="0"/>
        <w:adjustRightInd w:val="0"/>
        <w:spacing w:before="102"/>
        <w:textAlignment w:val="center"/>
        <w:rPr>
          <w:rFonts w:eastAsia="MS Mincho"/>
          <w:color w:val="000000"/>
          <w:spacing w:val="1"/>
          <w:rtl/>
          <w:lang w:eastAsia="ja-JP"/>
        </w:rPr>
      </w:pPr>
      <w:r w:rsidRPr="00B17970">
        <w:rPr>
          <w:rFonts w:eastAsia="Malgun Gothic Semilight"/>
          <w:color w:val="000000"/>
          <w:spacing w:val="1"/>
          <w:rtl/>
          <w:lang w:eastAsia="ja-JP"/>
        </w:rPr>
        <w:t xml:space="preserve"> </w:t>
      </w:r>
    </w:p>
    <w:p w:rsidR="00D554E2" w:rsidRPr="00B17970" w:rsidRDefault="00255B26" w:rsidP="00296A26">
      <w:pPr>
        <w:autoSpaceDE w:val="0"/>
        <w:autoSpaceDN w:val="0"/>
        <w:adjustRightInd w:val="0"/>
        <w:spacing w:before="102"/>
        <w:textAlignment w:val="center"/>
        <w:rPr>
          <w:rFonts w:eastAsia="MS Mincho"/>
          <w:color w:val="000000"/>
          <w:spacing w:val="1"/>
          <w:rtl/>
          <w:lang w:eastAsia="ja-JP"/>
        </w:rPr>
      </w:pPr>
      <w:r w:rsidRPr="00B17970">
        <w:rPr>
          <w:rFonts w:eastAsia="MS Mincho"/>
          <w:color w:val="000000"/>
          <w:spacing w:val="1"/>
          <w:rtl/>
          <w:lang w:eastAsia="ja-JP"/>
        </w:rPr>
        <w:t>ב</w:t>
      </w:r>
      <w:r w:rsidR="0012790E" w:rsidRPr="00B17970">
        <w:rPr>
          <w:rFonts w:eastAsia="MS Mincho"/>
          <w:color w:val="000000"/>
          <w:spacing w:val="1"/>
          <w:rtl/>
          <w:lang w:eastAsia="ja-JP"/>
        </w:rPr>
        <w:t xml:space="preserve">הצעת </w:t>
      </w:r>
      <w:r w:rsidRPr="00B17970">
        <w:rPr>
          <w:rFonts w:eastAsia="MS Mincho"/>
          <w:color w:val="000000"/>
          <w:spacing w:val="1"/>
          <w:rtl/>
          <w:lang w:eastAsia="ja-JP"/>
        </w:rPr>
        <w:t xml:space="preserve">חוק החיפוש, </w:t>
      </w:r>
      <w:r w:rsidR="004B541C" w:rsidRPr="00B17970">
        <w:rPr>
          <w:rFonts w:eastAsia="MS Mincho"/>
          <w:color w:val="000000"/>
          <w:spacing w:val="1"/>
          <w:rtl/>
          <w:lang w:eastAsia="ja-JP"/>
        </w:rPr>
        <w:t xml:space="preserve">הוצע </w:t>
      </w:r>
      <w:r w:rsidR="0012790E" w:rsidRPr="00B17970">
        <w:rPr>
          <w:rFonts w:eastAsia="MS Mincho"/>
          <w:color w:val="000000"/>
          <w:spacing w:val="1"/>
          <w:rtl/>
          <w:lang w:eastAsia="ja-JP"/>
        </w:rPr>
        <w:t xml:space="preserve">לכלול </w:t>
      </w:r>
      <w:r w:rsidR="004B541C" w:rsidRPr="00B17970">
        <w:rPr>
          <w:rFonts w:eastAsia="MS Mincho"/>
          <w:color w:val="000000"/>
          <w:spacing w:val="1"/>
          <w:rtl/>
          <w:lang w:eastAsia="ja-JP"/>
        </w:rPr>
        <w:t>בעילה זו</w:t>
      </w:r>
      <w:r w:rsidRPr="00B17970">
        <w:rPr>
          <w:rFonts w:eastAsia="MS Mincho"/>
          <w:color w:val="000000"/>
          <w:spacing w:val="1"/>
          <w:rtl/>
          <w:lang w:eastAsia="ja-JP"/>
        </w:rPr>
        <w:t xml:space="preserve"> גם עבירות עוון המנויות בתוס</w:t>
      </w:r>
      <w:r w:rsidR="009F5045" w:rsidRPr="00B17970">
        <w:rPr>
          <w:rFonts w:eastAsia="MS Mincho"/>
          <w:color w:val="000000"/>
          <w:spacing w:val="1"/>
          <w:rtl/>
          <w:lang w:eastAsia="ja-JP"/>
        </w:rPr>
        <w:t>פ</w:t>
      </w:r>
      <w:r w:rsidRPr="00B17970">
        <w:rPr>
          <w:rFonts w:eastAsia="MS Mincho"/>
          <w:color w:val="000000"/>
          <w:spacing w:val="1"/>
          <w:rtl/>
          <w:lang w:eastAsia="ja-JP"/>
        </w:rPr>
        <w:t>ת השנ</w:t>
      </w:r>
      <w:r w:rsidR="00B41330" w:rsidRPr="00B17970">
        <w:rPr>
          <w:rFonts w:eastAsia="MS Mincho"/>
          <w:color w:val="000000"/>
          <w:spacing w:val="1"/>
          <w:rtl/>
          <w:lang w:eastAsia="ja-JP"/>
        </w:rPr>
        <w:t>י</w:t>
      </w:r>
      <w:r w:rsidRPr="00B17970">
        <w:rPr>
          <w:rFonts w:eastAsia="MS Mincho"/>
          <w:color w:val="000000"/>
          <w:spacing w:val="1"/>
          <w:rtl/>
          <w:lang w:eastAsia="ja-JP"/>
        </w:rPr>
        <w:t xml:space="preserve">יה </w:t>
      </w:r>
      <w:r w:rsidR="003A1CA6" w:rsidRPr="00B17970">
        <w:rPr>
          <w:rFonts w:eastAsia="MS Mincho"/>
          <w:color w:val="000000"/>
          <w:spacing w:val="1"/>
          <w:rtl/>
          <w:lang w:eastAsia="ja-JP"/>
        </w:rPr>
        <w:t>להצעת החוק</w:t>
      </w:r>
      <w:r w:rsidRPr="00B17970">
        <w:rPr>
          <w:rFonts w:eastAsia="MS Mincho"/>
          <w:color w:val="000000"/>
          <w:spacing w:val="1"/>
          <w:rtl/>
          <w:lang w:eastAsia="ja-JP"/>
        </w:rPr>
        <w:t>, וזאת תוך איזון בקביעת המבחן המהותי המוצע (שאינו קיים היום בפ</w:t>
      </w:r>
      <w:r w:rsidR="00296A26">
        <w:rPr>
          <w:rFonts w:eastAsia="MS Mincho" w:hint="cs"/>
          <w:color w:val="000000"/>
          <w:spacing w:val="1"/>
          <w:rtl/>
          <w:lang w:eastAsia="ja-JP"/>
        </w:rPr>
        <w:t>קודה</w:t>
      </w:r>
      <w:r w:rsidRPr="00B17970">
        <w:rPr>
          <w:rFonts w:eastAsia="MS Mincho"/>
          <w:color w:val="000000"/>
          <w:spacing w:val="1"/>
          <w:rtl/>
          <w:lang w:eastAsia="ja-JP"/>
        </w:rPr>
        <w:t>)</w:t>
      </w:r>
      <w:r w:rsidR="009F5045" w:rsidRPr="00B17970">
        <w:rPr>
          <w:rFonts w:eastAsia="MS Mincho"/>
          <w:color w:val="000000"/>
          <w:spacing w:val="1"/>
          <w:rtl/>
          <w:lang w:eastAsia="ja-JP"/>
        </w:rPr>
        <w:t>,</w:t>
      </w:r>
      <w:r w:rsidRPr="00B17970">
        <w:rPr>
          <w:rFonts w:eastAsia="MS Mincho"/>
          <w:color w:val="000000"/>
          <w:spacing w:val="1"/>
          <w:rtl/>
          <w:lang w:eastAsia="ja-JP"/>
        </w:rPr>
        <w:t xml:space="preserve"> לפיו אי ביצוע החיפוש באופן </w:t>
      </w:r>
      <w:proofErr w:type="spellStart"/>
      <w:r w:rsidRPr="00B17970">
        <w:rPr>
          <w:rFonts w:eastAsia="MS Mincho"/>
          <w:color w:val="000000"/>
          <w:spacing w:val="1"/>
          <w:rtl/>
          <w:lang w:eastAsia="ja-JP"/>
        </w:rPr>
        <w:t>מיידי</w:t>
      </w:r>
      <w:proofErr w:type="spellEnd"/>
      <w:r w:rsidRPr="00B17970">
        <w:rPr>
          <w:rFonts w:eastAsia="MS Mincho"/>
          <w:color w:val="000000"/>
          <w:spacing w:val="1"/>
          <w:rtl/>
          <w:lang w:eastAsia="ja-JP"/>
        </w:rPr>
        <w:t xml:space="preserve"> יסכל את מטרת החיפוש ולא ניתן לקבל </w:t>
      </w:r>
      <w:r w:rsidR="009F5045" w:rsidRPr="00B17970">
        <w:rPr>
          <w:rFonts w:eastAsia="MS Mincho"/>
          <w:color w:val="000000"/>
          <w:spacing w:val="1"/>
          <w:rtl/>
          <w:lang w:eastAsia="ja-JP"/>
        </w:rPr>
        <w:t>מ</w:t>
      </w:r>
      <w:r w:rsidRPr="00B17970">
        <w:rPr>
          <w:rFonts w:eastAsia="MS Mincho"/>
          <w:color w:val="000000"/>
          <w:spacing w:val="1"/>
          <w:rtl/>
          <w:lang w:eastAsia="ja-JP"/>
        </w:rPr>
        <w:t xml:space="preserve">בעוד מועד צו </w:t>
      </w:r>
      <w:r w:rsidR="009F5045" w:rsidRPr="00B17970">
        <w:rPr>
          <w:rFonts w:eastAsia="MS Mincho"/>
          <w:color w:val="000000"/>
          <w:spacing w:val="1"/>
          <w:rtl/>
          <w:lang w:eastAsia="ja-JP"/>
        </w:rPr>
        <w:t>בית משפט</w:t>
      </w:r>
      <w:r w:rsidRPr="00B17970">
        <w:rPr>
          <w:rFonts w:eastAsia="MS Mincho"/>
          <w:color w:val="000000"/>
          <w:spacing w:val="1"/>
          <w:rtl/>
          <w:lang w:eastAsia="ja-JP"/>
        </w:rPr>
        <w:t xml:space="preserve">. מבחן זה מהווה את אבן הבוחן המשמעותית המצדיקה את הפעלת הסמכות בלא צו. </w:t>
      </w:r>
    </w:p>
    <w:p w:rsidR="00D554E2" w:rsidRPr="00B17970" w:rsidRDefault="00D554E2" w:rsidP="00734C64">
      <w:pPr>
        <w:autoSpaceDE w:val="0"/>
        <w:autoSpaceDN w:val="0"/>
        <w:adjustRightInd w:val="0"/>
        <w:spacing w:before="102"/>
        <w:textAlignment w:val="center"/>
        <w:rPr>
          <w:rFonts w:eastAsia="MS Mincho"/>
          <w:color w:val="000000"/>
          <w:spacing w:val="1"/>
          <w:rtl/>
          <w:lang w:eastAsia="ja-JP"/>
        </w:rPr>
      </w:pPr>
    </w:p>
    <w:p w:rsidR="00236EC9" w:rsidRPr="00B17970" w:rsidRDefault="00255B26" w:rsidP="00F5659D">
      <w:pPr>
        <w:spacing w:before="120" w:after="120"/>
        <w:rPr>
          <w:rFonts w:eastAsia="MS Mincho"/>
          <w:color w:val="000000"/>
          <w:spacing w:val="1"/>
          <w:rtl/>
          <w:lang w:eastAsia="ja-JP"/>
        </w:rPr>
      </w:pPr>
      <w:r w:rsidRPr="00B17970">
        <w:rPr>
          <w:rFonts w:eastAsia="MS Mincho"/>
          <w:color w:val="000000"/>
          <w:spacing w:val="1"/>
          <w:rtl/>
          <w:lang w:eastAsia="ja-JP"/>
        </w:rPr>
        <w:t xml:space="preserve">כאמור, הליך </w:t>
      </w:r>
      <w:r w:rsidR="00D66DAF" w:rsidRPr="00B17970">
        <w:rPr>
          <w:rFonts w:eastAsia="MS Mincho"/>
          <w:color w:val="000000"/>
          <w:spacing w:val="1"/>
          <w:rtl/>
          <w:lang w:eastAsia="ja-JP"/>
        </w:rPr>
        <w:t xml:space="preserve">החקיקה של הצעת </w:t>
      </w:r>
      <w:r w:rsidRPr="00B17970">
        <w:rPr>
          <w:rFonts w:eastAsia="MS Mincho"/>
          <w:color w:val="000000"/>
          <w:spacing w:val="1"/>
          <w:rtl/>
          <w:lang w:eastAsia="ja-JP"/>
        </w:rPr>
        <w:t>חוק החיפוש</w:t>
      </w:r>
      <w:r w:rsidR="00D66DAF" w:rsidRPr="00B17970">
        <w:rPr>
          <w:rFonts w:eastAsia="MS Mincho"/>
          <w:color w:val="000000"/>
          <w:spacing w:val="1"/>
          <w:rtl/>
          <w:lang w:eastAsia="ja-JP"/>
        </w:rPr>
        <w:t xml:space="preserve"> </w:t>
      </w:r>
      <w:r w:rsidR="009C2AE7" w:rsidRPr="00B17970">
        <w:rPr>
          <w:rFonts w:eastAsia="MS Mincho"/>
          <w:color w:val="000000"/>
          <w:spacing w:val="1"/>
          <w:rtl/>
          <w:lang w:eastAsia="ja-JP"/>
        </w:rPr>
        <w:t>טרם</w:t>
      </w:r>
      <w:r w:rsidRPr="00B17970">
        <w:rPr>
          <w:rFonts w:eastAsia="MS Mincho"/>
          <w:color w:val="000000"/>
          <w:spacing w:val="1"/>
          <w:rtl/>
          <w:lang w:eastAsia="ja-JP"/>
        </w:rPr>
        <w:t xml:space="preserve"> </w:t>
      </w:r>
      <w:r w:rsidR="00D66DAF" w:rsidRPr="00B17970">
        <w:rPr>
          <w:rFonts w:eastAsia="MS Mincho"/>
          <w:color w:val="000000"/>
          <w:spacing w:val="1"/>
          <w:rtl/>
          <w:lang w:eastAsia="ja-JP"/>
        </w:rPr>
        <w:t>הושלם</w:t>
      </w:r>
      <w:r w:rsidR="00B76E44">
        <w:rPr>
          <w:rFonts w:eastAsia="MS Mincho" w:hint="cs"/>
          <w:color w:val="000000"/>
          <w:spacing w:val="1"/>
          <w:rtl/>
          <w:lang w:eastAsia="ja-JP"/>
        </w:rPr>
        <w:t>, ועבודת מטה לעדכונה מצויה כעת בשלביה האחרונים</w:t>
      </w:r>
      <w:r w:rsidRPr="00B17970">
        <w:rPr>
          <w:rFonts w:eastAsia="MS Mincho"/>
          <w:color w:val="000000"/>
          <w:spacing w:val="1"/>
          <w:rtl/>
          <w:lang w:eastAsia="ja-JP"/>
        </w:rPr>
        <w:t xml:space="preserve">. נוכח תופעת הפשיעה </w:t>
      </w:r>
      <w:r w:rsidR="00B76E44">
        <w:rPr>
          <w:rFonts w:eastAsia="MS Mincho" w:hint="cs"/>
          <w:color w:val="000000"/>
          <w:spacing w:val="1"/>
          <w:rtl/>
          <w:lang w:eastAsia="ja-JP"/>
        </w:rPr>
        <w:t xml:space="preserve">החמורה </w:t>
      </w:r>
      <w:r w:rsidRPr="00B17970">
        <w:rPr>
          <w:rFonts w:eastAsia="MS Mincho"/>
          <w:color w:val="000000"/>
          <w:spacing w:val="1"/>
          <w:rtl/>
          <w:lang w:eastAsia="ja-JP"/>
        </w:rPr>
        <w:t>בחברה הערבית, הוחלט לקדם בדחיפות את אחד ההסדרים מתוך חוק החיפוש</w:t>
      </w:r>
      <w:r w:rsidR="007129F9" w:rsidRPr="00B17970">
        <w:rPr>
          <w:rFonts w:eastAsia="MS Mincho"/>
          <w:color w:val="000000"/>
          <w:spacing w:val="1"/>
          <w:rtl/>
          <w:lang w:eastAsia="ja-JP"/>
        </w:rPr>
        <w:t xml:space="preserve"> </w:t>
      </w:r>
      <w:r w:rsidR="00B41330" w:rsidRPr="00B17970">
        <w:rPr>
          <w:rFonts w:eastAsia="MS Mincho"/>
          <w:color w:val="000000"/>
          <w:spacing w:val="1"/>
          <w:rtl/>
          <w:lang w:eastAsia="ja-JP"/>
        </w:rPr>
        <w:t xml:space="preserve">- חיפוש במקום ללא צו </w:t>
      </w:r>
      <w:r w:rsidRPr="00B17970">
        <w:rPr>
          <w:rFonts w:eastAsia="MS Mincho"/>
          <w:color w:val="000000"/>
          <w:spacing w:val="1"/>
          <w:rtl/>
          <w:lang w:eastAsia="ja-JP"/>
        </w:rPr>
        <w:t>בית משפט</w:t>
      </w:r>
      <w:r w:rsidR="009C2AE7" w:rsidRPr="00B17970">
        <w:rPr>
          <w:rFonts w:eastAsia="MS Mincho"/>
          <w:color w:val="000000"/>
          <w:spacing w:val="1"/>
          <w:rtl/>
          <w:lang w:eastAsia="ja-JP"/>
        </w:rPr>
        <w:t xml:space="preserve"> – כתיקון לסעיף 25 לפ</w:t>
      </w:r>
      <w:r w:rsidR="00B76E44">
        <w:rPr>
          <w:rFonts w:eastAsia="MS Mincho" w:hint="cs"/>
          <w:color w:val="000000"/>
          <w:spacing w:val="1"/>
          <w:rtl/>
          <w:lang w:eastAsia="ja-JP"/>
        </w:rPr>
        <w:t>קודה</w:t>
      </w:r>
      <w:r w:rsidR="009C2AE7" w:rsidRPr="00B17970">
        <w:rPr>
          <w:rFonts w:eastAsia="MS Mincho"/>
          <w:color w:val="000000"/>
          <w:spacing w:val="1"/>
          <w:rtl/>
          <w:lang w:eastAsia="ja-JP"/>
        </w:rPr>
        <w:t>, מתוך כוונה להשלים את חקיקת חוק החיפוש במלואו</w:t>
      </w:r>
      <w:r w:rsidR="00B76E44">
        <w:rPr>
          <w:rFonts w:eastAsia="MS Mincho" w:hint="cs"/>
          <w:color w:val="000000"/>
          <w:spacing w:val="1"/>
          <w:rtl/>
          <w:lang w:eastAsia="ja-JP"/>
        </w:rPr>
        <w:t xml:space="preserve"> בהקדם</w:t>
      </w:r>
      <w:r w:rsidR="009C2AE7" w:rsidRPr="00B17970">
        <w:rPr>
          <w:rFonts w:eastAsia="MS Mincho"/>
          <w:color w:val="000000"/>
          <w:spacing w:val="1"/>
          <w:rtl/>
          <w:lang w:eastAsia="ja-JP"/>
        </w:rPr>
        <w:t>.</w:t>
      </w:r>
      <w:r w:rsidR="00B41330" w:rsidRPr="00B17970">
        <w:rPr>
          <w:rFonts w:eastAsia="MS Mincho"/>
          <w:color w:val="000000"/>
          <w:spacing w:val="1"/>
          <w:rtl/>
          <w:lang w:eastAsia="ja-JP"/>
        </w:rPr>
        <w:t xml:space="preserve"> </w:t>
      </w:r>
      <w:r w:rsidR="009C2AE7" w:rsidRPr="00B17970">
        <w:rPr>
          <w:rFonts w:eastAsia="MS Mincho"/>
          <w:color w:val="000000"/>
          <w:spacing w:val="1"/>
          <w:rtl/>
          <w:lang w:eastAsia="ja-JP"/>
        </w:rPr>
        <w:t>תיקון זה</w:t>
      </w:r>
      <w:r w:rsidRPr="00B17970">
        <w:rPr>
          <w:rFonts w:eastAsia="MS Mincho"/>
          <w:color w:val="000000"/>
          <w:spacing w:val="1"/>
          <w:rtl/>
          <w:lang w:eastAsia="ja-JP"/>
        </w:rPr>
        <w:t xml:space="preserve"> יקנ</w:t>
      </w:r>
      <w:r w:rsidR="004B541C" w:rsidRPr="00B17970">
        <w:rPr>
          <w:rFonts w:eastAsia="MS Mincho"/>
          <w:color w:val="000000"/>
          <w:spacing w:val="1"/>
          <w:rtl/>
          <w:lang w:eastAsia="ja-JP"/>
        </w:rPr>
        <w:t>ה</w:t>
      </w:r>
      <w:r w:rsidRPr="00B17970">
        <w:rPr>
          <w:rFonts w:eastAsia="MS Mincho"/>
          <w:color w:val="000000"/>
          <w:spacing w:val="1"/>
          <w:rtl/>
          <w:lang w:eastAsia="ja-JP"/>
        </w:rPr>
        <w:t xml:space="preserve"> </w:t>
      </w:r>
      <w:r w:rsidR="004B541C" w:rsidRPr="00B17970">
        <w:rPr>
          <w:rFonts w:eastAsia="MS Mincho"/>
          <w:color w:val="000000"/>
          <w:spacing w:val="1"/>
          <w:rtl/>
          <w:lang w:eastAsia="ja-JP"/>
        </w:rPr>
        <w:t xml:space="preserve">למשטרה כלי </w:t>
      </w:r>
      <w:r w:rsidR="00B76E44">
        <w:rPr>
          <w:rFonts w:eastAsia="MS Mincho" w:hint="cs"/>
          <w:color w:val="000000"/>
          <w:spacing w:val="1"/>
          <w:rtl/>
          <w:lang w:eastAsia="ja-JP"/>
        </w:rPr>
        <w:t xml:space="preserve">אכיפה </w:t>
      </w:r>
      <w:r w:rsidR="004B541C" w:rsidRPr="00B17970">
        <w:rPr>
          <w:rFonts w:eastAsia="MS Mincho"/>
          <w:color w:val="000000"/>
          <w:spacing w:val="1"/>
          <w:rtl/>
          <w:lang w:eastAsia="ja-JP"/>
        </w:rPr>
        <w:t>אפקטיבי</w:t>
      </w:r>
      <w:r w:rsidR="0042219B">
        <w:rPr>
          <w:rFonts w:eastAsia="MS Mincho" w:hint="cs"/>
          <w:color w:val="000000"/>
          <w:spacing w:val="1"/>
          <w:rtl/>
          <w:lang w:eastAsia="ja-JP"/>
        </w:rPr>
        <w:t>.</w:t>
      </w:r>
      <w:r w:rsidR="00145CFB">
        <w:rPr>
          <w:rFonts w:eastAsia="MS Mincho" w:hint="cs"/>
          <w:color w:val="000000"/>
          <w:spacing w:val="1"/>
          <w:rtl/>
          <w:lang w:eastAsia="ja-JP"/>
        </w:rPr>
        <w:t xml:space="preserve"> כפי שיפורט להלן, </w:t>
      </w:r>
      <w:r w:rsidR="00F94331" w:rsidRPr="00B17970">
        <w:rPr>
          <w:rFonts w:eastAsia="MS Mincho"/>
          <w:color w:val="000000"/>
          <w:spacing w:val="1"/>
          <w:rtl/>
          <w:lang w:eastAsia="ja-JP"/>
        </w:rPr>
        <w:t xml:space="preserve">קיים צורך דחוף ומיוחד לסייע ביכולות הפענוח והשגת ראיות של משטרת ישראל בטיפול בפשיעה </w:t>
      </w:r>
      <w:r w:rsidR="0042219B">
        <w:rPr>
          <w:rFonts w:eastAsia="MS Mincho" w:hint="cs"/>
          <w:color w:val="000000"/>
          <w:spacing w:val="1"/>
          <w:rtl/>
          <w:lang w:eastAsia="ja-JP"/>
        </w:rPr>
        <w:t xml:space="preserve">החמורה </w:t>
      </w:r>
      <w:r w:rsidR="00F94331" w:rsidRPr="00B17970">
        <w:rPr>
          <w:rFonts w:eastAsia="MS Mincho"/>
          <w:color w:val="000000"/>
          <w:spacing w:val="1"/>
          <w:rtl/>
          <w:lang w:eastAsia="ja-JP"/>
        </w:rPr>
        <w:t>בחברה הערבית</w:t>
      </w:r>
      <w:r w:rsidR="00145CFB">
        <w:rPr>
          <w:rFonts w:eastAsia="MS Mincho" w:hint="cs"/>
          <w:color w:val="000000"/>
          <w:spacing w:val="1"/>
          <w:rtl/>
          <w:lang w:eastAsia="ja-JP"/>
        </w:rPr>
        <w:t>.</w:t>
      </w:r>
      <w:r w:rsidR="00F94331" w:rsidRPr="00B17970">
        <w:rPr>
          <w:rFonts w:eastAsia="MS Mincho"/>
          <w:color w:val="000000"/>
          <w:spacing w:val="1"/>
          <w:rtl/>
          <w:lang w:eastAsia="ja-JP"/>
        </w:rPr>
        <w:t xml:space="preserve"> נוכח </w:t>
      </w:r>
      <w:r w:rsidR="0042219B">
        <w:rPr>
          <w:rFonts w:eastAsia="MS Mincho" w:hint="cs"/>
          <w:color w:val="000000"/>
          <w:spacing w:val="1"/>
          <w:rtl/>
          <w:lang w:eastAsia="ja-JP"/>
        </w:rPr>
        <w:t xml:space="preserve"> </w:t>
      </w:r>
      <w:r w:rsidR="00F94331" w:rsidRPr="00B17970">
        <w:rPr>
          <w:rFonts w:eastAsia="MS Mincho"/>
          <w:color w:val="000000"/>
          <w:spacing w:val="1"/>
          <w:rtl/>
          <w:lang w:eastAsia="ja-JP"/>
        </w:rPr>
        <w:t xml:space="preserve">קשיים מיוחדים באכיפה בתחום זה, מקודם כעת תיקון זה באופן נפרד מחוק החיפוש בכללותו. </w:t>
      </w:r>
    </w:p>
    <w:p w:rsidR="00480C29" w:rsidRPr="00B17970" w:rsidRDefault="00480C29" w:rsidP="00480C29">
      <w:pPr>
        <w:rPr>
          <w:rtl/>
        </w:rPr>
      </w:pPr>
    </w:p>
    <w:p w:rsidR="00BF005A" w:rsidRPr="00B17970" w:rsidRDefault="00255B26" w:rsidP="00F5659D">
      <w:pPr>
        <w:rPr>
          <w:rtl/>
        </w:rPr>
      </w:pPr>
      <w:r w:rsidRPr="00B17970">
        <w:rPr>
          <w:rtl/>
        </w:rPr>
        <w:t xml:space="preserve">בשנים האחרונות התעצמה הפשיעה בחברה הערבית והיא גובה מחירים כבדים </w:t>
      </w:r>
      <w:r w:rsidR="00F5659D">
        <w:rPr>
          <w:rFonts w:hint="cs"/>
          <w:rtl/>
        </w:rPr>
        <w:t>ב</w:t>
      </w:r>
      <w:r w:rsidRPr="00B17970">
        <w:rPr>
          <w:rtl/>
        </w:rPr>
        <w:t>חיי אדם</w:t>
      </w:r>
      <w:r w:rsidR="00145CFB">
        <w:rPr>
          <w:rFonts w:hint="cs"/>
          <w:rtl/>
        </w:rPr>
        <w:t>, של מעורבים ושל חפים מפשע</w:t>
      </w:r>
      <w:r w:rsidRPr="00B17970">
        <w:rPr>
          <w:rtl/>
        </w:rPr>
        <w:t>. פשיעה זו מאופיינת</w:t>
      </w:r>
      <w:r w:rsidR="00CA3851" w:rsidRPr="00B17970">
        <w:rPr>
          <w:rtl/>
        </w:rPr>
        <w:t>, בין היתר,</w:t>
      </w:r>
      <w:r w:rsidRPr="00B17970">
        <w:rPr>
          <w:rtl/>
        </w:rPr>
        <w:t xml:space="preserve"> בהחזקת אמצעי לחימה בלתי חוקיים, סחיטה באיומים (לרבות באמצעות גביית חובות לא חוקית - "פרוטקשן")</w:t>
      </w:r>
      <w:r w:rsidRPr="00B17970">
        <w:t xml:space="preserve"> </w:t>
      </w:r>
      <w:r w:rsidR="00B41330" w:rsidRPr="00B17970">
        <w:rPr>
          <w:rtl/>
        </w:rPr>
        <w:t>וירי במקום מגורים</w:t>
      </w:r>
      <w:r w:rsidRPr="00B17970">
        <w:rPr>
          <w:rtl/>
        </w:rPr>
        <w:t xml:space="preserve">. </w:t>
      </w:r>
    </w:p>
    <w:p w:rsidR="00BF005A" w:rsidRPr="00B17970" w:rsidRDefault="00BF005A" w:rsidP="00BF005A">
      <w:pPr>
        <w:rPr>
          <w:rtl/>
        </w:rPr>
      </w:pPr>
    </w:p>
    <w:p w:rsidR="00DC2DB9" w:rsidRPr="00B17970" w:rsidRDefault="00255B26" w:rsidP="00DC2DB9">
      <w:pPr>
        <w:rPr>
          <w:rtl/>
        </w:rPr>
      </w:pPr>
      <w:r w:rsidRPr="00B17970">
        <w:rPr>
          <w:rtl/>
        </w:rPr>
        <w:t xml:space="preserve">בהחלטת הממשלה מספר 852 </w:t>
      </w:r>
      <w:r w:rsidR="00FB74AD" w:rsidRPr="00B17970">
        <w:rPr>
          <w:rtl/>
        </w:rPr>
        <w:t xml:space="preserve">("מדיניות ממשלתית לטיפול בתופעות הפשיעה והאלימות בחברה הערבית והעצמת החברה הערבית בישראל ותיקון החלטות ממשלה") </w:t>
      </w:r>
      <w:r w:rsidRPr="00B17970">
        <w:rPr>
          <w:rtl/>
        </w:rPr>
        <w:t>מיום 1.3.</w:t>
      </w:r>
      <w:r w:rsidR="00B31C4A" w:rsidRPr="00B17970">
        <w:rPr>
          <w:rtl/>
        </w:rPr>
        <w:t>20</w:t>
      </w:r>
      <w:r w:rsidRPr="00B17970">
        <w:rPr>
          <w:rtl/>
        </w:rPr>
        <w:t xml:space="preserve">21 הוחלט לפעול בהקדם לטיפול בתופעות הפשיעה והאלימות בחברה הערבית במספר דרכים, לרבות על ידי מתן כלים אפקטיביים בידי משטרת ישראל למיגור הפשיעה.  </w:t>
      </w:r>
    </w:p>
    <w:p w:rsidR="00316B6B" w:rsidRPr="00B17970" w:rsidRDefault="00316B6B" w:rsidP="00DC2DB9">
      <w:pPr>
        <w:rPr>
          <w:rtl/>
        </w:rPr>
      </w:pPr>
    </w:p>
    <w:p w:rsidR="00DC2DB9" w:rsidRPr="00B17970" w:rsidRDefault="00255B26" w:rsidP="00145CFB">
      <w:pPr>
        <w:rPr>
          <w:rtl/>
        </w:rPr>
      </w:pPr>
      <w:r w:rsidRPr="00B17970">
        <w:rPr>
          <w:rtl/>
        </w:rPr>
        <w:t xml:space="preserve">התיקון לחוק המוצע נועד, כאמור, </w:t>
      </w:r>
      <w:r w:rsidR="00316B6B" w:rsidRPr="00B17970">
        <w:rPr>
          <w:rtl/>
        </w:rPr>
        <w:t xml:space="preserve">להעניק כלים </w:t>
      </w:r>
      <w:r w:rsidRPr="00B17970">
        <w:rPr>
          <w:rtl/>
        </w:rPr>
        <w:t>למשטרה</w:t>
      </w:r>
      <w:r w:rsidR="007129F9" w:rsidRPr="00B17970">
        <w:rPr>
          <w:rtl/>
        </w:rPr>
        <w:t xml:space="preserve"> שיאפשרו לה לתפוס ראיות</w:t>
      </w:r>
      <w:r w:rsidR="00A14CBA" w:rsidRPr="00B17970">
        <w:rPr>
          <w:rtl/>
        </w:rPr>
        <w:t xml:space="preserve"> גם ללא צו בית משפט כאשר יש חשש שהראיות </w:t>
      </w:r>
      <w:r w:rsidR="007129F9" w:rsidRPr="00B17970">
        <w:rPr>
          <w:rtl/>
        </w:rPr>
        <w:t>יועלמו או ישובשו</w:t>
      </w:r>
      <w:r w:rsidR="00A14CBA" w:rsidRPr="00B17970">
        <w:rPr>
          <w:rtl/>
        </w:rPr>
        <w:t>,</w:t>
      </w:r>
      <w:r w:rsidRPr="00B17970">
        <w:rPr>
          <w:rtl/>
        </w:rPr>
        <w:t xml:space="preserve"> באופן שיביא לעליה </w:t>
      </w:r>
      <w:r w:rsidR="00A14CBA" w:rsidRPr="00B17970">
        <w:rPr>
          <w:rtl/>
        </w:rPr>
        <w:t xml:space="preserve">בפיענוח פשיעה חמורה ובהעמדה לדין כמו גם לעליה </w:t>
      </w:r>
      <w:r w:rsidRPr="00B17970">
        <w:rPr>
          <w:rtl/>
        </w:rPr>
        <w:t xml:space="preserve">בהיקף כלי הנשק </w:t>
      </w:r>
      <w:proofErr w:type="spellStart"/>
      <w:r w:rsidRPr="00B17970">
        <w:rPr>
          <w:rtl/>
        </w:rPr>
        <w:t>והאמל"ח</w:t>
      </w:r>
      <w:proofErr w:type="spellEnd"/>
      <w:r w:rsidRPr="00B17970">
        <w:rPr>
          <w:rtl/>
        </w:rPr>
        <w:t xml:space="preserve"> הנתפסים</w:t>
      </w:r>
      <w:r w:rsidR="00A14CBA" w:rsidRPr="00B17970">
        <w:rPr>
          <w:rtl/>
        </w:rPr>
        <w:t xml:space="preserve">, </w:t>
      </w:r>
      <w:r w:rsidRPr="00B17970">
        <w:rPr>
          <w:rtl/>
        </w:rPr>
        <w:t>באופן שירתיע את העבריינים מלבצע את העבירות</w:t>
      </w:r>
      <w:r w:rsidR="00B31C4A" w:rsidRPr="00B17970">
        <w:rPr>
          <w:rtl/>
        </w:rPr>
        <w:t>.</w:t>
      </w:r>
      <w:r w:rsidR="00316B6B" w:rsidRPr="00B17970">
        <w:rPr>
          <w:rtl/>
        </w:rPr>
        <w:t xml:space="preserve"> </w:t>
      </w:r>
    </w:p>
    <w:p w:rsidR="00DC2DB9" w:rsidRPr="00B17970" w:rsidRDefault="00DC2DB9" w:rsidP="00DC2DB9">
      <w:pPr>
        <w:rPr>
          <w:rtl/>
        </w:rPr>
      </w:pPr>
    </w:p>
    <w:p w:rsidR="00DC2DB9" w:rsidRPr="00B17970" w:rsidRDefault="00255B26" w:rsidP="00145CFB">
      <w:pPr>
        <w:rPr>
          <w:rtl/>
        </w:rPr>
      </w:pPr>
      <w:r w:rsidRPr="00B17970">
        <w:rPr>
          <w:rtl/>
        </w:rPr>
        <w:t xml:space="preserve">ריבוי הנשק הלא חוקי והשימוש התכוף בו, </w:t>
      </w:r>
      <w:r w:rsidR="00145CFB">
        <w:rPr>
          <w:rFonts w:hint="cs"/>
          <w:rtl/>
        </w:rPr>
        <w:t>משמש</w:t>
      </w:r>
      <w:r w:rsidRPr="00B17970">
        <w:rPr>
          <w:rtl/>
        </w:rPr>
        <w:t xml:space="preserve"> לחיסול  יריבים, </w:t>
      </w:r>
      <w:r w:rsidR="00145CFB">
        <w:rPr>
          <w:rFonts w:hint="cs"/>
          <w:rtl/>
        </w:rPr>
        <w:t xml:space="preserve">לביצוע עבירות במשפחה </w:t>
      </w:r>
      <w:r w:rsidRPr="00B17970">
        <w:rPr>
          <w:rtl/>
        </w:rPr>
        <w:t xml:space="preserve">וכתוצאה </w:t>
      </w:r>
      <w:r w:rsidR="000F5A4F">
        <w:rPr>
          <w:rFonts w:hint="cs"/>
          <w:rtl/>
        </w:rPr>
        <w:t xml:space="preserve">מכך לאובדן חיי אדם וכן </w:t>
      </w:r>
      <w:r w:rsidRPr="00B17970">
        <w:rPr>
          <w:rtl/>
        </w:rPr>
        <w:t xml:space="preserve"> לירידה חריפה בביטחון האישי של הפרט בחברה</w:t>
      </w:r>
      <w:r w:rsidR="000F5A4F">
        <w:rPr>
          <w:rFonts w:hint="cs"/>
          <w:rtl/>
        </w:rPr>
        <w:t xml:space="preserve"> </w:t>
      </w:r>
      <w:r w:rsidRPr="00B17970">
        <w:rPr>
          <w:rtl/>
        </w:rPr>
        <w:t>ולאובדן האמון ברשויות החוק</w:t>
      </w:r>
      <w:r w:rsidR="000F5A4F">
        <w:rPr>
          <w:rFonts w:hint="cs"/>
          <w:rtl/>
        </w:rPr>
        <w:t xml:space="preserve"> אשר מקשה אף הוא על אכיפת החוק</w:t>
      </w:r>
      <w:r w:rsidRPr="00B17970">
        <w:rPr>
          <w:rtl/>
        </w:rPr>
        <w:t xml:space="preserve">. </w:t>
      </w:r>
    </w:p>
    <w:p w:rsidR="00DC2DB9" w:rsidRPr="00B17970" w:rsidRDefault="00DC2DB9" w:rsidP="00DC2DB9">
      <w:pPr>
        <w:rPr>
          <w:rtl/>
        </w:rPr>
      </w:pPr>
    </w:p>
    <w:p w:rsidR="00DC2DB9" w:rsidRPr="00B17970" w:rsidRDefault="00255B26" w:rsidP="003D5553">
      <w:pPr>
        <w:autoSpaceDE w:val="0"/>
        <w:autoSpaceDN w:val="0"/>
        <w:adjustRightInd w:val="0"/>
        <w:spacing w:before="102"/>
        <w:textAlignment w:val="center"/>
        <w:rPr>
          <w:rFonts w:eastAsia="MS Mincho"/>
          <w:color w:val="000000"/>
          <w:spacing w:val="1"/>
          <w:rtl/>
          <w:lang w:eastAsia="ja-JP"/>
        </w:rPr>
      </w:pPr>
      <w:r w:rsidRPr="00B17970">
        <w:rPr>
          <w:rFonts w:eastAsia="MS Mincho"/>
          <w:color w:val="000000"/>
          <w:spacing w:val="1"/>
          <w:rtl/>
          <w:lang w:eastAsia="ja-JP"/>
        </w:rPr>
        <w:t>במקרים ר</w:t>
      </w:r>
      <w:r w:rsidR="00FB74AD" w:rsidRPr="00B17970">
        <w:rPr>
          <w:rFonts w:eastAsia="MS Mincho"/>
          <w:color w:val="000000"/>
          <w:spacing w:val="1"/>
          <w:rtl/>
          <w:lang w:eastAsia="ja-JP"/>
        </w:rPr>
        <w:t>בים של פשיעה חמורה בחברה</w:t>
      </w:r>
      <w:r w:rsidRPr="00B17970">
        <w:rPr>
          <w:rFonts w:eastAsia="MS Mincho"/>
          <w:color w:val="000000"/>
          <w:spacing w:val="1"/>
          <w:rtl/>
          <w:lang w:eastAsia="ja-JP"/>
        </w:rPr>
        <w:t xml:space="preserve"> הערבי</w:t>
      </w:r>
      <w:r w:rsidR="00FB74AD" w:rsidRPr="00B17970">
        <w:rPr>
          <w:rFonts w:eastAsia="MS Mincho"/>
          <w:color w:val="000000"/>
          <w:spacing w:val="1"/>
          <w:rtl/>
          <w:lang w:eastAsia="ja-JP"/>
        </w:rPr>
        <w:t>ת</w:t>
      </w:r>
      <w:r w:rsidR="00B31C4A" w:rsidRPr="00B17970">
        <w:rPr>
          <w:rFonts w:eastAsia="MS Mincho"/>
          <w:color w:val="000000"/>
          <w:spacing w:val="1"/>
          <w:rtl/>
          <w:lang w:eastAsia="ja-JP"/>
        </w:rPr>
        <w:t>, מתקשה המשטרה להשיג</w:t>
      </w:r>
      <w:r w:rsidRPr="00B17970">
        <w:rPr>
          <w:rtl/>
        </w:rPr>
        <w:t xml:space="preserve"> שיתוף פעולה </w:t>
      </w:r>
      <w:r w:rsidR="00316B6B" w:rsidRPr="00B17970">
        <w:rPr>
          <w:rtl/>
        </w:rPr>
        <w:t>לשם גביית ראיות ועדויות בשטח</w:t>
      </w:r>
      <w:r w:rsidR="00B31C4A" w:rsidRPr="00B17970">
        <w:rPr>
          <w:rtl/>
        </w:rPr>
        <w:t>.</w:t>
      </w:r>
      <w:r w:rsidR="00316B6B" w:rsidRPr="00B17970">
        <w:rPr>
          <w:rtl/>
        </w:rPr>
        <w:t xml:space="preserve"> </w:t>
      </w:r>
      <w:r w:rsidRPr="00B17970">
        <w:rPr>
          <w:rFonts w:eastAsia="MS Mincho"/>
          <w:color w:val="000000"/>
          <w:spacing w:val="1"/>
          <w:rtl/>
          <w:lang w:eastAsia="ja-JP"/>
        </w:rPr>
        <w:t xml:space="preserve">עיקר הקושי באיתור החשודים בביצוע העבירות </w:t>
      </w:r>
      <w:r w:rsidR="003F5C36" w:rsidRPr="00B17970">
        <w:rPr>
          <w:rFonts w:eastAsia="MS Mincho"/>
          <w:color w:val="000000"/>
          <w:spacing w:val="1"/>
          <w:rtl/>
          <w:lang w:eastAsia="ja-JP"/>
        </w:rPr>
        <w:t>נובע</w:t>
      </w:r>
      <w:r w:rsidRPr="00B17970">
        <w:rPr>
          <w:rFonts w:eastAsia="MS Mincho"/>
          <w:color w:val="000000"/>
          <w:spacing w:val="1"/>
          <w:rtl/>
          <w:lang w:eastAsia="ja-JP"/>
        </w:rPr>
        <w:t xml:space="preserve"> </w:t>
      </w:r>
      <w:r w:rsidR="003F5C36" w:rsidRPr="00B17970">
        <w:rPr>
          <w:rFonts w:eastAsia="MS Mincho"/>
          <w:color w:val="000000"/>
          <w:spacing w:val="1"/>
          <w:rtl/>
          <w:lang w:eastAsia="ja-JP"/>
        </w:rPr>
        <w:t>מ</w:t>
      </w:r>
      <w:r w:rsidRPr="00B17970">
        <w:rPr>
          <w:rFonts w:eastAsia="MS Mincho"/>
          <w:color w:val="000000"/>
          <w:spacing w:val="1"/>
          <w:rtl/>
          <w:lang w:eastAsia="ja-JP"/>
        </w:rPr>
        <w:t>שיבוש ראיות על ידי בעלי אינטרס</w:t>
      </w:r>
      <w:r w:rsidR="003F5C36" w:rsidRPr="00B17970">
        <w:rPr>
          <w:rFonts w:eastAsia="MS Mincho"/>
          <w:color w:val="000000"/>
          <w:spacing w:val="1"/>
          <w:rtl/>
          <w:lang w:eastAsia="ja-JP"/>
        </w:rPr>
        <w:t>,</w:t>
      </w:r>
      <w:r w:rsidRPr="00B17970">
        <w:rPr>
          <w:rFonts w:eastAsia="MS Mincho"/>
          <w:color w:val="000000"/>
          <w:spacing w:val="1"/>
          <w:rtl/>
          <w:lang w:eastAsia="ja-JP"/>
        </w:rPr>
        <w:t xml:space="preserve"> אשר </w:t>
      </w:r>
      <w:r w:rsidR="00B31C4A" w:rsidRPr="00B17970">
        <w:rPr>
          <w:rFonts w:eastAsia="MS Mincho"/>
          <w:color w:val="000000"/>
          <w:spacing w:val="1"/>
          <w:rtl/>
          <w:lang w:eastAsia="ja-JP"/>
        </w:rPr>
        <w:t>מתבטא</w:t>
      </w:r>
      <w:r w:rsidRPr="00B17970">
        <w:rPr>
          <w:rFonts w:eastAsia="MS Mincho"/>
          <w:color w:val="000000"/>
          <w:spacing w:val="1"/>
          <w:rtl/>
          <w:lang w:eastAsia="ja-JP"/>
        </w:rPr>
        <w:t xml:space="preserve"> במחיקת המידע המצולם במצלמות המוצבות ב</w:t>
      </w:r>
      <w:r w:rsidR="003F5C36" w:rsidRPr="00B17970">
        <w:rPr>
          <w:rFonts w:eastAsia="MS Mincho"/>
          <w:color w:val="000000"/>
          <w:spacing w:val="1"/>
          <w:rtl/>
          <w:lang w:eastAsia="ja-JP"/>
        </w:rPr>
        <w:t>מקום ביצוע העבירה ב</w:t>
      </w:r>
      <w:r w:rsidRPr="00B17970">
        <w:rPr>
          <w:rFonts w:eastAsia="MS Mincho"/>
          <w:color w:val="000000"/>
          <w:spacing w:val="1"/>
          <w:rtl/>
          <w:lang w:eastAsia="ja-JP"/>
        </w:rPr>
        <w:t>מרחב הפרטי</w:t>
      </w:r>
      <w:r w:rsidR="003F5C36" w:rsidRPr="00B17970">
        <w:rPr>
          <w:rFonts w:eastAsia="MS Mincho"/>
          <w:color w:val="000000"/>
          <w:spacing w:val="1"/>
          <w:rtl/>
          <w:lang w:eastAsia="ja-JP"/>
        </w:rPr>
        <w:t>,</w:t>
      </w:r>
      <w:r w:rsidRPr="00B17970">
        <w:rPr>
          <w:rFonts w:eastAsia="MS Mincho"/>
          <w:color w:val="000000"/>
          <w:spacing w:val="1"/>
          <w:rtl/>
          <w:lang w:eastAsia="ja-JP"/>
        </w:rPr>
        <w:t xml:space="preserve"> כגון </w:t>
      </w:r>
      <w:r w:rsidR="003F5C36" w:rsidRPr="00B17970">
        <w:rPr>
          <w:rFonts w:eastAsia="MS Mincho"/>
          <w:color w:val="000000"/>
          <w:spacing w:val="1"/>
          <w:rtl/>
          <w:lang w:eastAsia="ja-JP"/>
        </w:rPr>
        <w:t>ב</w:t>
      </w:r>
      <w:r w:rsidRPr="00B17970">
        <w:rPr>
          <w:rFonts w:eastAsia="MS Mincho"/>
          <w:color w:val="000000"/>
          <w:spacing w:val="1"/>
          <w:rtl/>
          <w:lang w:eastAsia="ja-JP"/>
        </w:rPr>
        <w:t>בת</w:t>
      </w:r>
      <w:r w:rsidR="003F5C36" w:rsidRPr="00B17970">
        <w:rPr>
          <w:rFonts w:eastAsia="MS Mincho"/>
          <w:color w:val="000000"/>
          <w:spacing w:val="1"/>
          <w:rtl/>
          <w:lang w:eastAsia="ja-JP"/>
        </w:rPr>
        <w:t>י</w:t>
      </w:r>
      <w:r w:rsidRPr="00B17970">
        <w:rPr>
          <w:rFonts w:eastAsia="MS Mincho"/>
          <w:color w:val="000000"/>
          <w:spacing w:val="1"/>
          <w:rtl/>
          <w:lang w:eastAsia="ja-JP"/>
        </w:rPr>
        <w:t xml:space="preserve"> עסק </w:t>
      </w:r>
      <w:r w:rsidR="00480C29" w:rsidRPr="00B17970">
        <w:rPr>
          <w:rFonts w:eastAsia="MS Mincho"/>
          <w:color w:val="000000"/>
          <w:spacing w:val="1"/>
          <w:rtl/>
          <w:lang w:eastAsia="ja-JP"/>
        </w:rPr>
        <w:t>ו</w:t>
      </w:r>
      <w:r w:rsidR="003F5C36" w:rsidRPr="00B17970">
        <w:rPr>
          <w:rFonts w:eastAsia="MS Mincho"/>
          <w:color w:val="000000"/>
          <w:spacing w:val="1"/>
          <w:rtl/>
          <w:lang w:eastAsia="ja-JP"/>
        </w:rPr>
        <w:t>ב</w:t>
      </w:r>
      <w:r w:rsidRPr="00B17970">
        <w:rPr>
          <w:rFonts w:eastAsia="MS Mincho"/>
          <w:color w:val="000000"/>
          <w:spacing w:val="1"/>
          <w:rtl/>
          <w:lang w:eastAsia="ja-JP"/>
        </w:rPr>
        <w:t>חצרות</w:t>
      </w:r>
      <w:r w:rsidR="003F5C36" w:rsidRPr="00B17970">
        <w:rPr>
          <w:rFonts w:eastAsia="MS Mincho"/>
          <w:color w:val="000000"/>
          <w:spacing w:val="1"/>
          <w:rtl/>
          <w:lang w:eastAsia="ja-JP"/>
        </w:rPr>
        <w:t>,</w:t>
      </w:r>
      <w:r w:rsidRPr="00B17970">
        <w:rPr>
          <w:rFonts w:eastAsia="MS Mincho"/>
          <w:color w:val="000000"/>
          <w:spacing w:val="1"/>
          <w:rtl/>
          <w:lang w:eastAsia="ja-JP"/>
        </w:rPr>
        <w:t xml:space="preserve"> או העלמתן. פעמים רבות, מונצח במצלמות אלו האירוע הפלילי הנחקר או ראיות העשויות לסייע רבות בקידום החקירה</w:t>
      </w:r>
      <w:r w:rsidR="00316B6B" w:rsidRPr="00B17970">
        <w:rPr>
          <w:rFonts w:eastAsia="MS Mincho"/>
          <w:color w:val="000000"/>
          <w:spacing w:val="1"/>
          <w:rtl/>
          <w:lang w:eastAsia="ja-JP"/>
        </w:rPr>
        <w:t xml:space="preserve"> במהירות ובמניעת הסלמת האירועים האלימים</w:t>
      </w:r>
      <w:r w:rsidRPr="00B17970">
        <w:rPr>
          <w:rFonts w:eastAsia="MS Mincho"/>
          <w:color w:val="000000"/>
          <w:spacing w:val="1"/>
          <w:rtl/>
          <w:lang w:eastAsia="ja-JP"/>
        </w:rPr>
        <w:t xml:space="preserve">. </w:t>
      </w:r>
    </w:p>
    <w:p w:rsidR="00DC2DB9" w:rsidRPr="00B17970" w:rsidRDefault="00DC2DB9" w:rsidP="00DC2DB9">
      <w:pPr>
        <w:rPr>
          <w:rtl/>
        </w:rPr>
      </w:pPr>
    </w:p>
    <w:p w:rsidR="00DC2DB9" w:rsidRPr="00B17970" w:rsidRDefault="00255B26" w:rsidP="00480C29">
      <w:pPr>
        <w:autoSpaceDE w:val="0"/>
        <w:autoSpaceDN w:val="0"/>
        <w:adjustRightInd w:val="0"/>
        <w:spacing w:before="102"/>
        <w:textAlignment w:val="center"/>
        <w:rPr>
          <w:rFonts w:eastAsia="MS Mincho"/>
          <w:color w:val="000000"/>
          <w:spacing w:val="1"/>
          <w:rtl/>
          <w:lang w:eastAsia="ja-JP"/>
        </w:rPr>
      </w:pPr>
      <w:r w:rsidRPr="00B17970">
        <w:rPr>
          <w:rFonts w:eastAsia="MS Mincho"/>
          <w:color w:val="000000"/>
          <w:spacing w:val="1"/>
          <w:rtl/>
          <w:lang w:eastAsia="ja-JP"/>
        </w:rPr>
        <w:t>מקרים אלו מתרחשים בעיקר כאשר יש קשר בין מחזיקי המצלמות לעבריינים אך גם במצבים בהם בעלי המצלמות מפחדים מהעברת הראיה ו</w:t>
      </w:r>
      <w:r w:rsidR="000F5A4F">
        <w:rPr>
          <w:rFonts w:eastAsia="MS Mincho" w:hint="cs"/>
          <w:color w:val="000000"/>
          <w:spacing w:val="1"/>
          <w:rtl/>
          <w:lang w:eastAsia="ja-JP"/>
        </w:rPr>
        <w:t>מ</w:t>
      </w:r>
      <w:r w:rsidRPr="00B17970">
        <w:rPr>
          <w:rFonts w:eastAsia="MS Mincho"/>
          <w:color w:val="000000"/>
          <w:spacing w:val="1"/>
          <w:rtl/>
          <w:lang w:eastAsia="ja-JP"/>
        </w:rPr>
        <w:t xml:space="preserve">שיתוף פעולה עם רשויות החוק או כאשר הם עלולים להימצא מיד </w:t>
      </w:r>
      <w:r w:rsidRPr="00B17970">
        <w:rPr>
          <w:rFonts w:eastAsia="MS Mincho"/>
          <w:color w:val="000000"/>
          <w:spacing w:val="1"/>
          <w:rtl/>
          <w:lang w:eastAsia="ja-JP"/>
        </w:rPr>
        <w:lastRenderedPageBreak/>
        <w:t xml:space="preserve">לאחר האירוע מאוימים על ידי גורמים עבריינים.  </w:t>
      </w:r>
    </w:p>
    <w:p w:rsidR="00DC2DB9" w:rsidRPr="00B17970" w:rsidRDefault="00DC2DB9" w:rsidP="00DC2DB9">
      <w:pPr>
        <w:autoSpaceDE w:val="0"/>
        <w:autoSpaceDN w:val="0"/>
        <w:adjustRightInd w:val="0"/>
        <w:spacing w:before="102"/>
        <w:textAlignment w:val="center"/>
        <w:rPr>
          <w:rFonts w:eastAsia="MS Mincho"/>
          <w:color w:val="000000"/>
          <w:spacing w:val="1"/>
          <w:rtl/>
          <w:lang w:eastAsia="ja-JP"/>
        </w:rPr>
      </w:pPr>
    </w:p>
    <w:p w:rsidR="00DC2DB9" w:rsidRPr="00B17970" w:rsidRDefault="00255B26" w:rsidP="000F5A4F">
      <w:pPr>
        <w:rPr>
          <w:rtl/>
        </w:rPr>
      </w:pPr>
      <w:r w:rsidRPr="00B17970">
        <w:rPr>
          <w:rFonts w:eastAsia="MS Mincho"/>
          <w:color w:val="000000"/>
          <w:spacing w:val="1"/>
          <w:rtl/>
          <w:lang w:eastAsia="ja-JP"/>
        </w:rPr>
        <w:t xml:space="preserve">הצורך בתיקון לחוק קיים באשר לכל ראיה הנמצאת ברשות היחיד </w:t>
      </w:r>
      <w:r w:rsidR="000F5A4F" w:rsidRPr="00B17970">
        <w:rPr>
          <w:rFonts w:eastAsia="MS Mincho"/>
          <w:color w:val="000000"/>
          <w:spacing w:val="1"/>
          <w:rtl/>
          <w:lang w:eastAsia="ja-JP"/>
        </w:rPr>
        <w:t>ומ</w:t>
      </w:r>
      <w:r w:rsidR="000F5A4F">
        <w:rPr>
          <w:rFonts w:eastAsia="MS Mincho" w:hint="cs"/>
          <w:color w:val="000000"/>
          <w:spacing w:val="1"/>
          <w:rtl/>
          <w:lang w:eastAsia="ja-JP"/>
        </w:rPr>
        <w:t>תחזק</w:t>
      </w:r>
      <w:r w:rsidR="000F5A4F" w:rsidRPr="00B17970">
        <w:rPr>
          <w:rFonts w:eastAsia="MS Mincho"/>
          <w:color w:val="000000"/>
          <w:spacing w:val="1"/>
          <w:rtl/>
          <w:lang w:eastAsia="ja-JP"/>
        </w:rPr>
        <w:t xml:space="preserve"> </w:t>
      </w:r>
      <w:r w:rsidRPr="00B17970">
        <w:rPr>
          <w:rFonts w:eastAsia="MS Mincho"/>
          <w:color w:val="000000"/>
          <w:spacing w:val="1"/>
          <w:rtl/>
          <w:lang w:eastAsia="ja-JP"/>
        </w:rPr>
        <w:t>נוכח ההתפתחו</w:t>
      </w:r>
      <w:r w:rsidR="00480C29" w:rsidRPr="00B17970">
        <w:rPr>
          <w:rFonts w:eastAsia="MS Mincho"/>
          <w:color w:val="000000"/>
          <w:spacing w:val="1"/>
          <w:rtl/>
          <w:lang w:eastAsia="ja-JP"/>
        </w:rPr>
        <w:t>יות הטכנולוגיות אשר הביאו</w:t>
      </w:r>
      <w:r w:rsidRPr="00B17970">
        <w:rPr>
          <w:rFonts w:eastAsia="MS Mincho"/>
          <w:color w:val="000000"/>
          <w:spacing w:val="1"/>
          <w:rtl/>
          <w:lang w:eastAsia="ja-JP"/>
        </w:rPr>
        <w:t xml:space="preserve"> לפריסת מצלמות רחבה במרחב הפרטי. ככל ש</w:t>
      </w:r>
      <w:r w:rsidR="000F5A4F">
        <w:rPr>
          <w:rFonts w:eastAsia="MS Mincho" w:hint="cs"/>
          <w:color w:val="000000"/>
          <w:spacing w:val="1"/>
          <w:rtl/>
          <w:lang w:eastAsia="ja-JP"/>
        </w:rPr>
        <w:t xml:space="preserve">משך </w:t>
      </w:r>
      <w:r w:rsidRPr="00B17970">
        <w:rPr>
          <w:rFonts w:eastAsia="MS Mincho"/>
          <w:color w:val="000000"/>
          <w:spacing w:val="1"/>
          <w:rtl/>
          <w:lang w:eastAsia="ja-JP"/>
        </w:rPr>
        <w:t xml:space="preserve">השגת </w:t>
      </w:r>
      <w:r w:rsidRPr="00B17970">
        <w:rPr>
          <w:rtl/>
        </w:rPr>
        <w:t>הראיות מתאר</w:t>
      </w:r>
      <w:r w:rsidR="000F5A4F">
        <w:rPr>
          <w:rFonts w:hint="cs"/>
          <w:rtl/>
        </w:rPr>
        <w:t>ך</w:t>
      </w:r>
      <w:r w:rsidRPr="00B17970">
        <w:rPr>
          <w:rtl/>
        </w:rPr>
        <w:t xml:space="preserve">, האפשרות לפענוח אירועי הפשיעה מצטמצמת בצורה משמעותית ופוגעת ביכולת המשטרה לטפל בתופעה ולהציל חיי אדם.     </w:t>
      </w:r>
    </w:p>
    <w:p w:rsidR="00DC2DB9" w:rsidRPr="00B17970" w:rsidRDefault="00DC2DB9" w:rsidP="00DC2DB9">
      <w:pPr>
        <w:rPr>
          <w:rFonts w:eastAsia="MS Mincho"/>
          <w:color w:val="000000"/>
          <w:spacing w:val="1"/>
          <w:rtl/>
          <w:lang w:eastAsia="ja-JP"/>
        </w:rPr>
      </w:pPr>
    </w:p>
    <w:p w:rsidR="00DC2DB9" w:rsidRPr="00B17970" w:rsidRDefault="00255B26" w:rsidP="002B7ECF">
      <w:pPr>
        <w:rPr>
          <w:rtl/>
        </w:rPr>
      </w:pPr>
      <w:r w:rsidRPr="00B17970">
        <w:rPr>
          <w:b/>
          <w:bCs/>
          <w:rtl/>
        </w:rPr>
        <w:t>לסעיף 1</w:t>
      </w:r>
      <w:r w:rsidRPr="00B17970">
        <w:rPr>
          <w:rtl/>
        </w:rPr>
        <w:tab/>
        <w:t>מוצע כי סעיף 25 לפ</w:t>
      </w:r>
      <w:r w:rsidR="000F5A4F">
        <w:rPr>
          <w:rFonts w:hint="cs"/>
          <w:rtl/>
        </w:rPr>
        <w:t>קודה</w:t>
      </w:r>
      <w:r w:rsidRPr="00B17970">
        <w:rPr>
          <w:rtl/>
        </w:rPr>
        <w:t xml:space="preserve"> יתוקן כך שהמבחן המהותי לחיפוש במקום ללא צו שיפוטי יהווה את נקודת המוצא למקרים בהם נעשה חיפוש </w:t>
      </w:r>
      <w:r w:rsidR="00480C29" w:rsidRPr="00B17970">
        <w:rPr>
          <w:rtl/>
        </w:rPr>
        <w:t xml:space="preserve">במקום </w:t>
      </w:r>
      <w:r w:rsidRPr="00B17970">
        <w:rPr>
          <w:rtl/>
        </w:rPr>
        <w:t>ללא צו ב</w:t>
      </w:r>
      <w:r w:rsidR="00480C29" w:rsidRPr="00B17970">
        <w:rPr>
          <w:rtl/>
        </w:rPr>
        <w:t>ית משפט</w:t>
      </w:r>
      <w:r w:rsidRPr="00B17970">
        <w:rPr>
          <w:rtl/>
        </w:rPr>
        <w:t xml:space="preserve">. על פי המבחן המהותי, חיפוש כזה יתאפשר מקום בו אי ביצוע החיפוש באופן </w:t>
      </w:r>
      <w:proofErr w:type="spellStart"/>
      <w:r w:rsidRPr="00B17970">
        <w:rPr>
          <w:rtl/>
        </w:rPr>
        <w:t>מיידי</w:t>
      </w:r>
      <w:proofErr w:type="spellEnd"/>
      <w:r w:rsidRPr="00B17970">
        <w:rPr>
          <w:rtl/>
        </w:rPr>
        <w:t xml:space="preserve"> יסכל את מטרת החיפוש ולא ניתן לקבל מבעוד מועד צו חיפוש במקום. </w:t>
      </w:r>
    </w:p>
    <w:p w:rsidR="00480C29" w:rsidRPr="00B17970" w:rsidRDefault="00480C29" w:rsidP="00480C29">
      <w:pPr>
        <w:rPr>
          <w:rtl/>
        </w:rPr>
      </w:pPr>
    </w:p>
    <w:p w:rsidR="00DC2DB9" w:rsidRDefault="000F5A4F" w:rsidP="00870252">
      <w:pPr>
        <w:rPr>
          <w:rtl/>
        </w:rPr>
      </w:pPr>
      <w:r>
        <w:rPr>
          <w:rFonts w:hint="cs"/>
          <w:b/>
          <w:bCs/>
          <w:rtl/>
        </w:rPr>
        <w:t>לפסקה</w:t>
      </w:r>
      <w:r w:rsidR="00255B26" w:rsidRPr="00B17970">
        <w:rPr>
          <w:b/>
          <w:bCs/>
          <w:rtl/>
        </w:rPr>
        <w:t xml:space="preserve">  (1)</w:t>
      </w:r>
      <w:r w:rsidR="00255B26" w:rsidRPr="00B17970">
        <w:rPr>
          <w:rtl/>
        </w:rPr>
        <w:tab/>
        <w:t xml:space="preserve">בהתאם לקבוע </w:t>
      </w:r>
      <w:r w:rsidR="000B3B5C" w:rsidRPr="00B17970">
        <w:rPr>
          <w:rtl/>
        </w:rPr>
        <w:t>בפקודה</w:t>
      </w:r>
      <w:r w:rsidR="00255B26" w:rsidRPr="00B17970">
        <w:rPr>
          <w:rtl/>
        </w:rPr>
        <w:t xml:space="preserve"> כיום</w:t>
      </w:r>
      <w:r w:rsidR="00870252" w:rsidRPr="00B17970">
        <w:rPr>
          <w:rtl/>
        </w:rPr>
        <w:t xml:space="preserve"> בסעיפים קטנים (2) ו-(3)</w:t>
      </w:r>
      <w:r w:rsidR="00255B26" w:rsidRPr="00B17970">
        <w:rPr>
          <w:rtl/>
        </w:rPr>
        <w:t xml:space="preserve">, מוצע </w:t>
      </w:r>
      <w:r w:rsidR="00903C4F" w:rsidRPr="00B17970">
        <w:rPr>
          <w:rtl/>
        </w:rPr>
        <w:t>כי כאשר המחזיק במקום</w:t>
      </w:r>
      <w:r w:rsidR="00A14CBA" w:rsidRPr="00B17970">
        <w:rPr>
          <w:rtl/>
        </w:rPr>
        <w:t xml:space="preserve"> פונה לעזרת המשטרה</w:t>
      </w:r>
      <w:r w:rsidR="00903C4F" w:rsidRPr="00B17970">
        <w:rPr>
          <w:rtl/>
        </w:rPr>
        <w:t xml:space="preserve"> או </w:t>
      </w:r>
      <w:r w:rsidR="00A14CBA" w:rsidRPr="00B17970">
        <w:rPr>
          <w:rtl/>
        </w:rPr>
        <w:t xml:space="preserve">כאשר </w:t>
      </w:r>
      <w:r w:rsidR="00903C4F" w:rsidRPr="00B17970">
        <w:rPr>
          <w:rtl/>
        </w:rPr>
        <w:t>אדם השוהה בו פונה לעזרת המשטרה ויש חשד סביר כי מבוצעת שם עבירה ניתן יהיה לבצע חיפוש במקום ללא צו</w:t>
      </w:r>
      <w:r w:rsidR="000B3B5C" w:rsidRPr="00B17970">
        <w:rPr>
          <w:rtl/>
        </w:rPr>
        <w:t xml:space="preserve"> בית משפט</w:t>
      </w:r>
      <w:r w:rsidR="00903C4F" w:rsidRPr="00B17970">
        <w:rPr>
          <w:rtl/>
        </w:rPr>
        <w:t xml:space="preserve">. </w:t>
      </w:r>
      <w:r w:rsidR="000B3B5C" w:rsidRPr="00B17970">
        <w:rPr>
          <w:rtl/>
        </w:rPr>
        <w:t xml:space="preserve">מוצע להחליף את המונח "יסוד להניח", הקיים כיום, במונח </w:t>
      </w:r>
      <w:r w:rsidR="00870252" w:rsidRPr="00B17970">
        <w:rPr>
          <w:rtl/>
        </w:rPr>
        <w:t xml:space="preserve">"חשד סביר" </w:t>
      </w:r>
      <w:r w:rsidR="000B3B5C" w:rsidRPr="00B17970">
        <w:rPr>
          <w:rtl/>
        </w:rPr>
        <w:t>המקובל בחקיקה עדכנית</w:t>
      </w:r>
      <w:r w:rsidR="00870252" w:rsidRPr="00B17970">
        <w:rPr>
          <w:rtl/>
        </w:rPr>
        <w:t>.</w:t>
      </w:r>
    </w:p>
    <w:p w:rsidR="003D5553" w:rsidRPr="00B17970" w:rsidRDefault="003D5553" w:rsidP="00870252">
      <w:pPr>
        <w:rPr>
          <w:rtl/>
        </w:rPr>
      </w:pPr>
    </w:p>
    <w:p w:rsidR="00903C4F" w:rsidRPr="00B17970" w:rsidRDefault="00255B26" w:rsidP="00480C29">
      <w:pPr>
        <w:rPr>
          <w:rtl/>
        </w:rPr>
      </w:pPr>
      <w:r w:rsidRPr="00B17970">
        <w:rPr>
          <w:b/>
          <w:bCs/>
          <w:rtl/>
        </w:rPr>
        <w:t>ל</w:t>
      </w:r>
      <w:r w:rsidR="000F5A4F">
        <w:rPr>
          <w:rFonts w:hint="cs"/>
          <w:b/>
          <w:bCs/>
          <w:rtl/>
        </w:rPr>
        <w:t>פסקה</w:t>
      </w:r>
      <w:r w:rsidRPr="00B17970">
        <w:rPr>
          <w:b/>
          <w:bCs/>
          <w:rtl/>
        </w:rPr>
        <w:t xml:space="preserve"> (2)</w:t>
      </w:r>
      <w:r w:rsidRPr="00B17970">
        <w:rPr>
          <w:rtl/>
        </w:rPr>
        <w:t xml:space="preserve"> </w:t>
      </w:r>
      <w:r w:rsidR="000B3B5C" w:rsidRPr="00B17970">
        <w:rPr>
          <w:rtl/>
        </w:rPr>
        <w:tab/>
        <w:t>בהתאם לקבוע בפקודה כיום,</w:t>
      </w:r>
      <w:r w:rsidRPr="00B17970">
        <w:rPr>
          <w:rtl/>
        </w:rPr>
        <w:t xml:space="preserve"> מוצע כי כאשר יש חשד סביר שבאותו מקום נעברת עבירה מסוג פשע או שעבירה כאמור נעברה שם זה מקרוב ניתן יהיה לבצע חיפוש במקום ללא צו</w:t>
      </w:r>
      <w:r w:rsidR="000B3B5C" w:rsidRPr="00B17970">
        <w:rPr>
          <w:rtl/>
        </w:rPr>
        <w:t xml:space="preserve"> בית משפט</w:t>
      </w:r>
      <w:r w:rsidRPr="00B17970">
        <w:rPr>
          <w:rtl/>
        </w:rPr>
        <w:t>.</w:t>
      </w:r>
      <w:r w:rsidR="000B3B5C" w:rsidRPr="00B17970">
        <w:rPr>
          <w:rtl/>
        </w:rPr>
        <w:t xml:space="preserve"> אף בסעיף זה הוחלף המונח "יסוד להניח" במונח "חשד סביר".</w:t>
      </w:r>
      <w:r w:rsidRPr="00B17970">
        <w:rPr>
          <w:rtl/>
        </w:rPr>
        <w:t xml:space="preserve"> </w:t>
      </w:r>
    </w:p>
    <w:p w:rsidR="00B44AA4" w:rsidRPr="00B17970" w:rsidRDefault="00B44AA4" w:rsidP="00DC2DB9">
      <w:pPr>
        <w:rPr>
          <w:rtl/>
        </w:rPr>
      </w:pPr>
    </w:p>
    <w:p w:rsidR="007F7A67" w:rsidRPr="00B17970" w:rsidRDefault="00255B26" w:rsidP="00480C29">
      <w:pPr>
        <w:rPr>
          <w:rtl/>
        </w:rPr>
      </w:pPr>
      <w:r w:rsidRPr="00B17970">
        <w:rPr>
          <w:b/>
          <w:bCs/>
          <w:rtl/>
        </w:rPr>
        <w:t>ל</w:t>
      </w:r>
      <w:r w:rsidR="000F5A4F">
        <w:rPr>
          <w:rFonts w:hint="cs"/>
          <w:b/>
          <w:bCs/>
          <w:rtl/>
        </w:rPr>
        <w:t>פסקה</w:t>
      </w:r>
      <w:r w:rsidR="00B44AA4" w:rsidRPr="00B17970">
        <w:rPr>
          <w:b/>
          <w:bCs/>
          <w:rtl/>
        </w:rPr>
        <w:t xml:space="preserve"> (3)</w:t>
      </w:r>
      <w:r w:rsidR="00B44AA4" w:rsidRPr="00B17970">
        <w:rPr>
          <w:rtl/>
        </w:rPr>
        <w:t xml:space="preserve"> </w:t>
      </w:r>
      <w:r w:rsidRPr="00B17970">
        <w:rPr>
          <w:rtl/>
        </w:rPr>
        <w:tab/>
      </w:r>
      <w:r w:rsidR="00B44AA4" w:rsidRPr="00B17970">
        <w:rPr>
          <w:rtl/>
        </w:rPr>
        <w:t xml:space="preserve">מוצע </w:t>
      </w:r>
      <w:r w:rsidRPr="00B17970">
        <w:rPr>
          <w:rtl/>
        </w:rPr>
        <w:t>להקנות לשוטר סמכות לבצע חיפוש במקום</w:t>
      </w:r>
      <w:r w:rsidR="00B44AA4" w:rsidRPr="00B17970">
        <w:rPr>
          <w:rtl/>
        </w:rPr>
        <w:t xml:space="preserve"> </w:t>
      </w:r>
      <w:r w:rsidRPr="00B17970">
        <w:rPr>
          <w:rtl/>
        </w:rPr>
        <w:t>בהתקיים שלושה תנאים: א) התעורר</w:t>
      </w:r>
      <w:r w:rsidR="00B44AA4" w:rsidRPr="00B17970">
        <w:rPr>
          <w:rtl/>
        </w:rPr>
        <w:t xml:space="preserve"> חשד סביר כי במקום מצוי חפץ הקשור לעבירה מסוג פשע חמור, </w:t>
      </w:r>
      <w:r w:rsidRPr="00B17970">
        <w:rPr>
          <w:rtl/>
        </w:rPr>
        <w:t xml:space="preserve">ב) החפץ </w:t>
      </w:r>
      <w:r w:rsidR="00B44AA4" w:rsidRPr="00B17970">
        <w:rPr>
          <w:rtl/>
        </w:rPr>
        <w:t xml:space="preserve">עשוי לשמש ראיה לביצוע העבירה, </w:t>
      </w:r>
      <w:r w:rsidRPr="00B17970">
        <w:rPr>
          <w:rtl/>
        </w:rPr>
        <w:t xml:space="preserve">ג) </w:t>
      </w:r>
      <w:r w:rsidR="00B44AA4" w:rsidRPr="00B17970">
        <w:rPr>
          <w:rtl/>
        </w:rPr>
        <w:t xml:space="preserve">החיפוש נדרש באופן </w:t>
      </w:r>
      <w:proofErr w:type="spellStart"/>
      <w:r w:rsidR="00B44AA4" w:rsidRPr="00B17970">
        <w:rPr>
          <w:rtl/>
        </w:rPr>
        <w:t>מיידי</w:t>
      </w:r>
      <w:proofErr w:type="spellEnd"/>
      <w:r w:rsidR="00B44AA4" w:rsidRPr="00B17970">
        <w:rPr>
          <w:rtl/>
        </w:rPr>
        <w:t xml:space="preserve"> לשם מניעת העלמת הראיה או פגיעה בה. </w:t>
      </w:r>
    </w:p>
    <w:p w:rsidR="007F7A67" w:rsidRPr="00B17970" w:rsidRDefault="007F7A67" w:rsidP="007F7A67">
      <w:pPr>
        <w:rPr>
          <w:rtl/>
        </w:rPr>
      </w:pPr>
    </w:p>
    <w:p w:rsidR="007F7A67" w:rsidRPr="00B17970" w:rsidRDefault="00255B26" w:rsidP="003D5553">
      <w:pPr>
        <w:rPr>
          <w:rtl/>
        </w:rPr>
      </w:pPr>
      <w:r w:rsidRPr="00B17970">
        <w:rPr>
          <w:rtl/>
        </w:rPr>
        <w:t xml:space="preserve">כאמור לעיל, בהצעת חוק החיפוש </w:t>
      </w:r>
      <w:r w:rsidR="000F5A4F">
        <w:rPr>
          <w:rFonts w:hint="cs"/>
          <w:rtl/>
        </w:rPr>
        <w:t>הוצע להקנות את</w:t>
      </w:r>
      <w:r w:rsidR="000F5A4F" w:rsidRPr="00B17970">
        <w:rPr>
          <w:rtl/>
        </w:rPr>
        <w:t xml:space="preserve"> </w:t>
      </w:r>
      <w:r w:rsidRPr="00B17970">
        <w:rPr>
          <w:rtl/>
        </w:rPr>
        <w:t xml:space="preserve">הסמכות בעבירות פשע ובעבירות עוון המנויות בתוספת </w:t>
      </w:r>
      <w:proofErr w:type="spellStart"/>
      <w:r w:rsidRPr="00B17970">
        <w:rPr>
          <w:rtl/>
        </w:rPr>
        <w:t>השניה</w:t>
      </w:r>
      <w:proofErr w:type="spellEnd"/>
      <w:r w:rsidRPr="00B17970">
        <w:rPr>
          <w:rtl/>
        </w:rPr>
        <w:t xml:space="preserve"> לחוק. לעומת זאת, </w:t>
      </w:r>
      <w:r w:rsidR="00B44AA4" w:rsidRPr="00B17970">
        <w:rPr>
          <w:rtl/>
        </w:rPr>
        <w:t>ב</w:t>
      </w:r>
      <w:r w:rsidR="000F5A4F">
        <w:rPr>
          <w:rFonts w:hint="cs"/>
          <w:rtl/>
        </w:rPr>
        <w:t xml:space="preserve">פסקה </w:t>
      </w:r>
      <w:r w:rsidR="00B44AA4" w:rsidRPr="00B17970">
        <w:rPr>
          <w:rtl/>
        </w:rPr>
        <w:t>ז</w:t>
      </w:r>
      <w:r w:rsidR="000F5A4F">
        <w:rPr>
          <w:rFonts w:hint="cs"/>
          <w:rtl/>
        </w:rPr>
        <w:t>את</w:t>
      </w:r>
      <w:r w:rsidR="00B44AA4" w:rsidRPr="00B17970">
        <w:rPr>
          <w:rtl/>
        </w:rPr>
        <w:t xml:space="preserve">, </w:t>
      </w:r>
      <w:r w:rsidRPr="00B17970">
        <w:rPr>
          <w:rtl/>
        </w:rPr>
        <w:t xml:space="preserve">מוצע לאפשר </w:t>
      </w:r>
      <w:r w:rsidR="00B44AA4" w:rsidRPr="00B17970">
        <w:rPr>
          <w:rtl/>
        </w:rPr>
        <w:t xml:space="preserve">לבצע חיפוש במקום ללא צו </w:t>
      </w:r>
      <w:r w:rsidRPr="00B17970">
        <w:rPr>
          <w:rtl/>
        </w:rPr>
        <w:t xml:space="preserve">בית משפט </w:t>
      </w:r>
      <w:r w:rsidR="00B44AA4" w:rsidRPr="00B17970">
        <w:rPr>
          <w:rtl/>
        </w:rPr>
        <w:t xml:space="preserve">לשם מניעת העלמת ראיה או פגיעה בה רק בעבירות מסוג "פשע חמור". </w:t>
      </w:r>
      <w:r w:rsidRPr="00B17970">
        <w:rPr>
          <w:rtl/>
        </w:rPr>
        <w:t xml:space="preserve">צמצום  זה </w:t>
      </w:r>
      <w:r w:rsidR="00B44AA4" w:rsidRPr="00B17970">
        <w:rPr>
          <w:rtl/>
        </w:rPr>
        <w:t xml:space="preserve">נדרש </w:t>
      </w:r>
      <w:r w:rsidR="009638EC" w:rsidRPr="00B17970">
        <w:rPr>
          <w:rtl/>
        </w:rPr>
        <w:t>נ</w:t>
      </w:r>
      <w:r w:rsidRPr="00B17970">
        <w:rPr>
          <w:rtl/>
        </w:rPr>
        <w:t xml:space="preserve">וכח </w:t>
      </w:r>
      <w:r w:rsidR="00B44AA4" w:rsidRPr="00B17970">
        <w:rPr>
          <w:rtl/>
        </w:rPr>
        <w:t>הפגיעה הצפויה</w:t>
      </w:r>
      <w:r w:rsidRPr="00B17970">
        <w:rPr>
          <w:rtl/>
        </w:rPr>
        <w:t xml:space="preserve"> בזכויות </w:t>
      </w:r>
      <w:r w:rsidR="003D5553">
        <w:rPr>
          <w:rFonts w:hint="cs"/>
          <w:rtl/>
        </w:rPr>
        <w:t>ו</w:t>
      </w:r>
      <w:r w:rsidR="000F5A4F">
        <w:rPr>
          <w:rFonts w:hint="cs"/>
          <w:rtl/>
        </w:rPr>
        <w:t xml:space="preserve">נוכח </w:t>
      </w:r>
      <w:r w:rsidRPr="00B17970">
        <w:rPr>
          <w:rtl/>
        </w:rPr>
        <w:t>היעדר</w:t>
      </w:r>
      <w:r w:rsidR="009638EC" w:rsidRPr="00B17970">
        <w:rPr>
          <w:rtl/>
        </w:rPr>
        <w:t xml:space="preserve">ם </w:t>
      </w:r>
      <w:r w:rsidR="000F5A4F">
        <w:rPr>
          <w:rFonts w:hint="cs"/>
          <w:rtl/>
        </w:rPr>
        <w:t xml:space="preserve">בתיקון זה </w:t>
      </w:r>
      <w:r w:rsidR="009638EC" w:rsidRPr="00B17970">
        <w:rPr>
          <w:rtl/>
        </w:rPr>
        <w:t>של</w:t>
      </w:r>
      <w:r w:rsidRPr="00B17970">
        <w:rPr>
          <w:rtl/>
        </w:rPr>
        <w:t xml:space="preserve"> מנגנוני האיזון </w:t>
      </w:r>
      <w:r w:rsidR="000F5A4F" w:rsidRPr="00B17970">
        <w:rPr>
          <w:rtl/>
        </w:rPr>
        <w:t>שהו</w:t>
      </w:r>
      <w:r w:rsidR="000F5A4F">
        <w:rPr>
          <w:rFonts w:hint="cs"/>
          <w:rtl/>
        </w:rPr>
        <w:t>צע להסדיר</w:t>
      </w:r>
      <w:r w:rsidR="000F5A4F" w:rsidRPr="00B17970">
        <w:rPr>
          <w:rtl/>
        </w:rPr>
        <w:t xml:space="preserve"> </w:t>
      </w:r>
      <w:r w:rsidRPr="00B17970">
        <w:rPr>
          <w:rtl/>
        </w:rPr>
        <w:t>בהצעת חוק החיפוש</w:t>
      </w:r>
      <w:r w:rsidR="003D5553">
        <w:rPr>
          <w:rFonts w:hint="cs"/>
          <w:rtl/>
        </w:rPr>
        <w:t>,</w:t>
      </w:r>
      <w:r w:rsidR="000F5A4F">
        <w:rPr>
          <w:rFonts w:hint="cs"/>
          <w:rtl/>
        </w:rPr>
        <w:t xml:space="preserve"> </w:t>
      </w:r>
      <w:r w:rsidR="009638EC" w:rsidRPr="00B17970">
        <w:rPr>
          <w:rtl/>
        </w:rPr>
        <w:t xml:space="preserve">דוגמת </w:t>
      </w:r>
      <w:r w:rsidR="002B7ECF" w:rsidRPr="00B17970">
        <w:rPr>
          <w:rtl/>
        </w:rPr>
        <w:t>עקרונות הפעלת הסמכויות ו</w:t>
      </w:r>
      <w:r w:rsidR="009638EC" w:rsidRPr="00B17970">
        <w:rPr>
          <w:rtl/>
        </w:rPr>
        <w:t>חובת התיעוד</w:t>
      </w:r>
      <w:r w:rsidRPr="00B17970">
        <w:rPr>
          <w:rtl/>
        </w:rPr>
        <w:t xml:space="preserve">. </w:t>
      </w:r>
      <w:r w:rsidR="009638EC" w:rsidRPr="00B17970">
        <w:rPr>
          <w:rtl/>
        </w:rPr>
        <w:t>יובהר כי</w:t>
      </w:r>
      <w:r w:rsidR="00B44AA4" w:rsidRPr="00B17970">
        <w:rPr>
          <w:rtl/>
        </w:rPr>
        <w:t xml:space="preserve"> </w:t>
      </w:r>
      <w:r w:rsidR="009638EC" w:rsidRPr="00B17970">
        <w:rPr>
          <w:rtl/>
        </w:rPr>
        <w:t>הסמכות המוצעת כוחה יפה לצורך עצם תפיסת החפץ, אך ככל שמדובר בחומר מחשב נדרש צו שיפוטי על מנת לפרוק את המידע האגור במצלמה או במחשב, בהתאם לסעיף 23א לפ</w:t>
      </w:r>
      <w:r w:rsidR="000F5A4F">
        <w:rPr>
          <w:rFonts w:hint="cs"/>
          <w:rtl/>
        </w:rPr>
        <w:t>קודה</w:t>
      </w:r>
      <w:r w:rsidR="009638EC" w:rsidRPr="00B17970">
        <w:rPr>
          <w:rtl/>
        </w:rPr>
        <w:t xml:space="preserve"> והפסיקה בעניין.  </w:t>
      </w:r>
    </w:p>
    <w:p w:rsidR="005B55ED" w:rsidRPr="00B17970" w:rsidRDefault="005B55ED" w:rsidP="00DC2DB9">
      <w:pPr>
        <w:rPr>
          <w:rtl/>
        </w:rPr>
      </w:pPr>
    </w:p>
    <w:p w:rsidR="005B55ED" w:rsidRPr="00B17970" w:rsidRDefault="00255B26" w:rsidP="00480C29">
      <w:pPr>
        <w:rPr>
          <w:rtl/>
        </w:rPr>
      </w:pPr>
      <w:r w:rsidRPr="00B17970">
        <w:rPr>
          <w:rtl/>
        </w:rPr>
        <w:t>עוד יובהר</w:t>
      </w:r>
      <w:r w:rsidR="002B7ECF" w:rsidRPr="00B17970">
        <w:rPr>
          <w:rtl/>
        </w:rPr>
        <w:t>,</w:t>
      </w:r>
      <w:r w:rsidRPr="00B17970">
        <w:rPr>
          <w:rtl/>
        </w:rPr>
        <w:t xml:space="preserve"> כי דרישת </w:t>
      </w:r>
      <w:proofErr w:type="spellStart"/>
      <w:r w:rsidRPr="00B17970">
        <w:rPr>
          <w:rtl/>
        </w:rPr>
        <w:t>המיידיות</w:t>
      </w:r>
      <w:proofErr w:type="spellEnd"/>
      <w:r w:rsidRPr="00B17970">
        <w:rPr>
          <w:rtl/>
        </w:rPr>
        <w:t xml:space="preserve"> בסעיף קטן זה נוגעת לצורך בחיפוש לשם מניעת העלמת הראיה או פגיעה בה אך לא לעניין מועד ביצוע העבירה ("נעברה זה מקרוב"), כפי שמוצע בסעיפים קטנים אחרים. זאת, מן הטעם כי גילוי הראיה הוא המועד הקובע לעניין הצורך בחיפוש.  </w:t>
      </w:r>
    </w:p>
    <w:p w:rsidR="0011411B" w:rsidRPr="00B17970" w:rsidRDefault="0011411B" w:rsidP="00DC2DB9">
      <w:pPr>
        <w:rPr>
          <w:rFonts w:eastAsia="MS Mincho"/>
          <w:b/>
          <w:bCs/>
          <w:color w:val="000000"/>
          <w:spacing w:val="1"/>
          <w:rtl/>
          <w:lang w:eastAsia="ja-JP"/>
        </w:rPr>
      </w:pPr>
    </w:p>
    <w:p w:rsidR="00B44AA4" w:rsidRPr="00B17970" w:rsidRDefault="00255B26" w:rsidP="00C97F3D">
      <w:pPr>
        <w:rPr>
          <w:rtl/>
        </w:rPr>
      </w:pPr>
      <w:r w:rsidRPr="00B17970">
        <w:rPr>
          <w:rFonts w:eastAsia="MS Mincho"/>
          <w:b/>
          <w:bCs/>
          <w:color w:val="000000"/>
          <w:spacing w:val="1"/>
          <w:rtl/>
          <w:lang w:eastAsia="ja-JP"/>
        </w:rPr>
        <w:t>ל</w:t>
      </w:r>
      <w:r w:rsidR="00C97F3D">
        <w:rPr>
          <w:rFonts w:eastAsia="MS Mincho" w:hint="cs"/>
          <w:b/>
          <w:bCs/>
          <w:color w:val="000000"/>
          <w:spacing w:val="1"/>
          <w:rtl/>
          <w:lang w:eastAsia="ja-JP"/>
        </w:rPr>
        <w:t xml:space="preserve">פסקה </w:t>
      </w:r>
      <w:r w:rsidRPr="00B17970">
        <w:rPr>
          <w:rFonts w:eastAsia="MS Mincho"/>
          <w:b/>
          <w:bCs/>
          <w:color w:val="000000"/>
          <w:spacing w:val="1"/>
          <w:rtl/>
          <w:lang w:eastAsia="ja-JP"/>
        </w:rPr>
        <w:t>(4)</w:t>
      </w:r>
      <w:r w:rsidRPr="00B17970">
        <w:rPr>
          <w:rFonts w:eastAsia="MS Mincho"/>
          <w:color w:val="000000"/>
          <w:spacing w:val="1"/>
          <w:rtl/>
          <w:lang w:eastAsia="ja-JP"/>
        </w:rPr>
        <w:t xml:space="preserve"> </w:t>
      </w:r>
      <w:r w:rsidRPr="00B17970">
        <w:rPr>
          <w:rFonts w:eastAsia="MS Mincho"/>
          <w:color w:val="000000"/>
          <w:spacing w:val="1"/>
          <w:rtl/>
          <w:lang w:eastAsia="ja-JP"/>
        </w:rPr>
        <w:tab/>
      </w:r>
      <w:r w:rsidR="00C97F3D">
        <w:rPr>
          <w:rFonts w:eastAsia="MS Mincho" w:hint="cs"/>
          <w:color w:val="000000"/>
          <w:spacing w:val="1"/>
          <w:rtl/>
          <w:lang w:eastAsia="ja-JP"/>
        </w:rPr>
        <w:t xml:space="preserve">נוסף </w:t>
      </w:r>
      <w:r w:rsidRPr="00B17970">
        <w:rPr>
          <w:rFonts w:eastAsia="MS Mincho"/>
          <w:color w:val="000000"/>
          <w:spacing w:val="1"/>
          <w:rtl/>
          <w:lang w:eastAsia="ja-JP"/>
        </w:rPr>
        <w:t>על הסמכות הקיימת כיום בפ</w:t>
      </w:r>
      <w:r w:rsidR="00C97F3D">
        <w:rPr>
          <w:rFonts w:eastAsia="MS Mincho" w:hint="cs"/>
          <w:color w:val="000000"/>
          <w:spacing w:val="1"/>
          <w:rtl/>
          <w:lang w:eastAsia="ja-JP"/>
        </w:rPr>
        <w:t>קודה</w:t>
      </w:r>
      <w:r w:rsidRPr="00B17970">
        <w:rPr>
          <w:rFonts w:eastAsia="MS Mincho"/>
          <w:color w:val="000000"/>
          <w:spacing w:val="1"/>
          <w:rtl/>
          <w:lang w:eastAsia="ja-JP"/>
        </w:rPr>
        <w:t xml:space="preserve"> לערוך חיפוש במקום ללא צו כאשר שוטר רודף אחרי אדם המתחמק ממעצר או נמלט ממשמורת חוקית, מוצע להקנות לשוטר סמכות לערוך חיפוש במקום ללא צו בית משפט גם כאשר מתעורר חשד סביר כי במקום נמצא חשוד בעבירת פשע חמור שנעברה זה מקרוב. </w:t>
      </w:r>
      <w:r w:rsidR="00C97F3D">
        <w:rPr>
          <w:rFonts w:eastAsia="MS Mincho" w:hint="cs"/>
          <w:color w:val="000000"/>
          <w:spacing w:val="1"/>
          <w:rtl/>
          <w:lang w:eastAsia="ja-JP"/>
        </w:rPr>
        <w:t>הוראה</w:t>
      </w:r>
      <w:r w:rsidR="009C2AE7" w:rsidRPr="00B17970">
        <w:rPr>
          <w:rFonts w:eastAsia="MS Mincho"/>
          <w:color w:val="000000"/>
          <w:spacing w:val="1"/>
          <w:rtl/>
          <w:lang w:eastAsia="ja-JP"/>
        </w:rPr>
        <w:t xml:space="preserve"> ז</w:t>
      </w:r>
      <w:r w:rsidR="00C97F3D">
        <w:rPr>
          <w:rFonts w:eastAsia="MS Mincho" w:hint="cs"/>
          <w:color w:val="000000"/>
          <w:spacing w:val="1"/>
          <w:rtl/>
          <w:lang w:eastAsia="ja-JP"/>
        </w:rPr>
        <w:t>את</w:t>
      </w:r>
      <w:r w:rsidR="009C2AE7" w:rsidRPr="00B17970">
        <w:rPr>
          <w:rFonts w:eastAsia="MS Mincho"/>
          <w:color w:val="000000"/>
          <w:spacing w:val="1"/>
          <w:rtl/>
          <w:lang w:eastAsia="ja-JP"/>
        </w:rPr>
        <w:t xml:space="preserve"> לא </w:t>
      </w:r>
      <w:r w:rsidR="00C97F3D">
        <w:rPr>
          <w:rFonts w:eastAsia="MS Mincho" w:hint="cs"/>
          <w:color w:val="000000"/>
          <w:spacing w:val="1"/>
          <w:rtl/>
          <w:lang w:eastAsia="ja-JP"/>
        </w:rPr>
        <w:t>הוצעה</w:t>
      </w:r>
      <w:r w:rsidR="009C2AE7" w:rsidRPr="00B17970">
        <w:rPr>
          <w:rFonts w:eastAsia="MS Mincho"/>
          <w:color w:val="000000"/>
          <w:spacing w:val="1"/>
          <w:rtl/>
          <w:lang w:eastAsia="ja-JP"/>
        </w:rPr>
        <w:t xml:space="preserve"> בהצעת חוק החיפוש, </w:t>
      </w:r>
      <w:r w:rsidR="00C97F3D">
        <w:rPr>
          <w:rFonts w:eastAsia="MS Mincho" w:hint="cs"/>
          <w:color w:val="000000"/>
          <w:spacing w:val="1"/>
          <w:rtl/>
          <w:lang w:eastAsia="ja-JP"/>
        </w:rPr>
        <w:t>ו</w:t>
      </w:r>
      <w:r w:rsidR="009C2AE7" w:rsidRPr="00B17970">
        <w:rPr>
          <w:rFonts w:eastAsia="MS Mincho"/>
          <w:color w:val="000000"/>
          <w:spacing w:val="1"/>
          <w:rtl/>
          <w:lang w:eastAsia="ja-JP"/>
        </w:rPr>
        <w:t>מוצע</w:t>
      </w:r>
      <w:r w:rsidR="00C97F3D">
        <w:rPr>
          <w:rFonts w:eastAsia="MS Mincho" w:hint="cs"/>
          <w:color w:val="000000"/>
          <w:spacing w:val="1"/>
          <w:rtl/>
          <w:lang w:eastAsia="ja-JP"/>
        </w:rPr>
        <w:t>ת</w:t>
      </w:r>
      <w:r w:rsidR="009C2AE7" w:rsidRPr="00B17970">
        <w:rPr>
          <w:rFonts w:eastAsia="MS Mincho"/>
          <w:color w:val="000000"/>
          <w:spacing w:val="1"/>
          <w:rtl/>
          <w:lang w:eastAsia="ja-JP"/>
        </w:rPr>
        <w:t xml:space="preserve"> כעת על רקע האמור לעיל ובייחוד במקרים בהם נדרש חיפוש במקום בו האוכלוסייה מתגוררת בצפיפות ולא פעם נדרש חיפוש מהיר במספר מקומות קרובים על מנת לאתר את החשוד בעבירה. </w:t>
      </w:r>
      <w:r w:rsidR="00C97F3D">
        <w:rPr>
          <w:rFonts w:eastAsia="MS Mincho" w:hint="cs"/>
          <w:color w:val="000000"/>
          <w:spacing w:val="1"/>
          <w:rtl/>
          <w:lang w:eastAsia="ja-JP"/>
        </w:rPr>
        <w:t xml:space="preserve">כן </w:t>
      </w:r>
      <w:r w:rsidRPr="00B17970">
        <w:rPr>
          <w:rFonts w:eastAsia="MS Mincho"/>
          <w:color w:val="000000"/>
          <w:spacing w:val="1"/>
          <w:rtl/>
          <w:lang w:eastAsia="ja-JP"/>
        </w:rPr>
        <w:t xml:space="preserve">מוצע להוסיף </w:t>
      </w:r>
      <w:r w:rsidR="00C97F3D">
        <w:rPr>
          <w:rFonts w:eastAsia="MS Mincho" w:hint="cs"/>
          <w:color w:val="000000"/>
          <w:spacing w:val="1"/>
          <w:rtl/>
          <w:lang w:eastAsia="ja-JP"/>
        </w:rPr>
        <w:t xml:space="preserve">דרישת </w:t>
      </w:r>
      <w:r w:rsidRPr="00B17970">
        <w:rPr>
          <w:rFonts w:eastAsia="MS Mincho"/>
          <w:color w:val="000000"/>
          <w:spacing w:val="1"/>
          <w:rtl/>
          <w:lang w:eastAsia="ja-JP"/>
        </w:rPr>
        <w:t>רף החשד הסביר גם ביחס לחיפוש אדם המתחמק ממעצר או ממאסר או הנמלט ממשמורת חוקית.</w:t>
      </w:r>
    </w:p>
    <w:p w:rsidR="0011411B" w:rsidRPr="00B17970" w:rsidRDefault="0011411B" w:rsidP="00DC2DB9">
      <w:pPr>
        <w:rPr>
          <w:rtl/>
        </w:rPr>
      </w:pPr>
    </w:p>
    <w:p w:rsidR="00B44AA4" w:rsidRPr="00B17970" w:rsidRDefault="00255B26" w:rsidP="001A148F">
      <w:pPr>
        <w:rPr>
          <w:rtl/>
        </w:rPr>
      </w:pPr>
      <w:r w:rsidRPr="00B17970">
        <w:rPr>
          <w:rtl/>
        </w:rPr>
        <w:t xml:space="preserve">מוצע כי "פשע חמור" יוגדר כעבירה שדינה עשר שנות מאסר או יותר ויכלול, בנוסף, שלוש עבירות </w:t>
      </w:r>
      <w:r w:rsidR="002B7ECF" w:rsidRPr="00B17970">
        <w:rPr>
          <w:rtl/>
        </w:rPr>
        <w:t xml:space="preserve">נוספות </w:t>
      </w:r>
      <w:r w:rsidRPr="00B17970">
        <w:rPr>
          <w:rtl/>
        </w:rPr>
        <w:t xml:space="preserve">שעונשן נמוך מ-10 שנות מאסר: עבירה </w:t>
      </w:r>
      <w:r w:rsidR="00545778" w:rsidRPr="00B17970">
        <w:rPr>
          <w:rtl/>
        </w:rPr>
        <w:t xml:space="preserve">של החזקת נשק שלא כדין </w:t>
      </w:r>
      <w:r w:rsidRPr="00B17970">
        <w:rPr>
          <w:rtl/>
        </w:rPr>
        <w:t>לפי סעיף 144(א) רישא</w:t>
      </w:r>
      <w:r w:rsidR="00545778" w:rsidRPr="00B17970">
        <w:rPr>
          <w:rtl/>
        </w:rPr>
        <w:t xml:space="preserve"> לחוק העונשין, התשל"ז-1977 (להלן – חוק העונשין); עבירה של ירי באזור מגורים או באופן שעלול לסכן בני אדם לפי סעיף</w:t>
      </w:r>
      <w:r w:rsidRPr="00B17970">
        <w:rPr>
          <w:rtl/>
        </w:rPr>
        <w:t xml:space="preserve"> 340א(ב)</w:t>
      </w:r>
      <w:r w:rsidR="00545778" w:rsidRPr="00B17970">
        <w:rPr>
          <w:rtl/>
        </w:rPr>
        <w:t xml:space="preserve"> לחוק העונשין;</w:t>
      </w:r>
      <w:r w:rsidRPr="00B17970">
        <w:rPr>
          <w:rtl/>
        </w:rPr>
        <w:t xml:space="preserve"> </w:t>
      </w:r>
      <w:r w:rsidR="00545778" w:rsidRPr="00B17970">
        <w:rPr>
          <w:rtl/>
        </w:rPr>
        <w:t xml:space="preserve">ועבירה של סחיטה באיומים לפי סעיף </w:t>
      </w:r>
      <w:r w:rsidRPr="00B17970">
        <w:rPr>
          <w:rtl/>
        </w:rPr>
        <w:t xml:space="preserve">428 לחוק העונשין. </w:t>
      </w:r>
    </w:p>
    <w:p w:rsidR="00B44AA4" w:rsidRPr="00B17970" w:rsidRDefault="00B44AA4" w:rsidP="00DC2DB9">
      <w:pPr>
        <w:rPr>
          <w:rtl/>
        </w:rPr>
      </w:pPr>
    </w:p>
    <w:p w:rsidR="00B44AA4" w:rsidRPr="00B17970" w:rsidRDefault="00255B26" w:rsidP="00C97F3D">
      <w:pPr>
        <w:rPr>
          <w:rtl/>
        </w:rPr>
      </w:pPr>
      <w:r w:rsidRPr="00B17970">
        <w:rPr>
          <w:rtl/>
        </w:rPr>
        <w:t>עבירות אלו</w:t>
      </w:r>
      <w:r w:rsidR="00545778" w:rsidRPr="00B17970">
        <w:rPr>
          <w:rtl/>
        </w:rPr>
        <w:t xml:space="preserve"> הן</w:t>
      </w:r>
      <w:r w:rsidR="0080565D" w:rsidRPr="00B17970">
        <w:rPr>
          <w:rtl/>
        </w:rPr>
        <w:t xml:space="preserve"> חלק מ</w:t>
      </w:r>
      <w:r w:rsidR="00FB74AD" w:rsidRPr="00B17970">
        <w:rPr>
          <w:rtl/>
        </w:rPr>
        <w:t xml:space="preserve">רכזי </w:t>
      </w:r>
      <w:r w:rsidR="00C97F3D" w:rsidRPr="00B17970">
        <w:rPr>
          <w:rtl/>
        </w:rPr>
        <w:t>מת</w:t>
      </w:r>
      <w:r w:rsidR="00C97F3D">
        <w:rPr>
          <w:rFonts w:hint="cs"/>
          <w:rtl/>
        </w:rPr>
        <w:t>ופעת</w:t>
      </w:r>
      <w:r w:rsidR="00C97F3D" w:rsidRPr="00B17970">
        <w:rPr>
          <w:rtl/>
        </w:rPr>
        <w:t xml:space="preserve"> </w:t>
      </w:r>
      <w:r w:rsidR="00FB74AD" w:rsidRPr="00B17970">
        <w:rPr>
          <w:rtl/>
        </w:rPr>
        <w:t xml:space="preserve">הפשיעה בחברה </w:t>
      </w:r>
      <w:r w:rsidR="0080565D" w:rsidRPr="00B17970">
        <w:rPr>
          <w:rtl/>
        </w:rPr>
        <w:t>הערבי</w:t>
      </w:r>
      <w:r w:rsidR="00FB74AD" w:rsidRPr="00B17970">
        <w:rPr>
          <w:rtl/>
        </w:rPr>
        <w:t>ת</w:t>
      </w:r>
      <w:r w:rsidR="00820172" w:rsidRPr="00B17970">
        <w:rPr>
          <w:rtl/>
        </w:rPr>
        <w:t xml:space="preserve"> </w:t>
      </w:r>
      <w:r w:rsidR="00545778" w:rsidRPr="00B17970">
        <w:rPr>
          <w:rtl/>
        </w:rPr>
        <w:t>ו</w:t>
      </w:r>
      <w:r w:rsidR="0080565D" w:rsidRPr="00B17970">
        <w:rPr>
          <w:rtl/>
        </w:rPr>
        <w:t>לא פעם קיים קושי ממשי בפענוח</w:t>
      </w:r>
      <w:r w:rsidR="00545778" w:rsidRPr="00B17970">
        <w:rPr>
          <w:rtl/>
        </w:rPr>
        <w:t>ן. לפיכך,</w:t>
      </w:r>
      <w:r w:rsidR="00820172" w:rsidRPr="00B17970">
        <w:rPr>
          <w:rtl/>
        </w:rPr>
        <w:t xml:space="preserve"> מוצע לכלול אותן בהגדרת המונח "פשע חמור" לעניין סעיף זה</w:t>
      </w:r>
      <w:r w:rsidR="0080565D" w:rsidRPr="00B17970">
        <w:rPr>
          <w:rtl/>
        </w:rPr>
        <w:t>.</w:t>
      </w:r>
      <w:r w:rsidR="00545778" w:rsidRPr="00B17970">
        <w:rPr>
          <w:rtl/>
        </w:rPr>
        <w:t xml:space="preserve"> יוער כי עבירות אלו נכללו בגדרן של העבירות שהוצע לאפשר חיפוש ללא צו בית משפט לצורך חקירתן אף בהצעת חוק החיפוש.</w:t>
      </w:r>
      <w:r w:rsidRPr="00B17970">
        <w:rPr>
          <w:rtl/>
        </w:rPr>
        <w:t xml:space="preserve"> </w:t>
      </w:r>
    </w:p>
    <w:p w:rsidR="00DC2DB9" w:rsidRPr="00B17970" w:rsidRDefault="00DC2DB9" w:rsidP="00DC2DB9">
      <w:pPr>
        <w:rPr>
          <w:rtl/>
        </w:rPr>
      </w:pPr>
    </w:p>
    <w:p w:rsidR="00B350E6" w:rsidRPr="00B17970" w:rsidRDefault="00255B26" w:rsidP="001A148F">
      <w:pPr>
        <w:rPr>
          <w:rtl/>
        </w:rPr>
      </w:pPr>
      <w:r w:rsidRPr="00B17970">
        <w:rPr>
          <w:rtl/>
        </w:rPr>
        <w:t xml:space="preserve">במקרים רבים ביצוע עבירות של החזקת נשק לא חוקי וירי </w:t>
      </w:r>
      <w:r w:rsidR="00545778" w:rsidRPr="00B17970">
        <w:rPr>
          <w:rtl/>
        </w:rPr>
        <w:t>באזור</w:t>
      </w:r>
      <w:r w:rsidRPr="00B17970">
        <w:rPr>
          <w:rtl/>
        </w:rPr>
        <w:t xml:space="preserve"> מגורים מובילות לאירועי אלימות נוספים וחמורים יותר שסופם פגיעה בנפש. כמו כן, ביצוע עבירות של סחיטה באיומים על רקע דרישת דמי חסות מעסקים מובילות לפגיעה משמעותית ברכוש ובגוף וזאת במטרה להרתיע את הקורבנות ולאלץ אותם לשלם את דמי הסחיטה. </w:t>
      </w:r>
    </w:p>
    <w:p w:rsidR="00B350E6" w:rsidRPr="00B17970" w:rsidRDefault="00B350E6" w:rsidP="00DC2DB9">
      <w:pPr>
        <w:rPr>
          <w:rtl/>
        </w:rPr>
      </w:pPr>
    </w:p>
    <w:p w:rsidR="00B350E6" w:rsidRPr="00B17970" w:rsidRDefault="00255B26" w:rsidP="002B7ECF">
      <w:pPr>
        <w:rPr>
          <w:rtl/>
        </w:rPr>
      </w:pPr>
      <w:r w:rsidRPr="00B17970">
        <w:rPr>
          <w:rtl/>
        </w:rPr>
        <w:t>בחקירת עבירות מסוג זה</w:t>
      </w:r>
      <w:r w:rsidR="00FB74AD" w:rsidRPr="00B17970">
        <w:rPr>
          <w:rtl/>
        </w:rPr>
        <w:t xml:space="preserve"> בחברה</w:t>
      </w:r>
      <w:r w:rsidRPr="00B17970">
        <w:rPr>
          <w:rtl/>
        </w:rPr>
        <w:t xml:space="preserve"> הערבי</w:t>
      </w:r>
      <w:r w:rsidR="00FB74AD" w:rsidRPr="00B17970">
        <w:rPr>
          <w:rtl/>
        </w:rPr>
        <w:t>ת</w:t>
      </w:r>
      <w:r w:rsidRPr="00B17970">
        <w:rPr>
          <w:rtl/>
        </w:rPr>
        <w:t xml:space="preserve"> נתקלת משטרת ישראל במקרים רבים בקושי בשיתוף פעולה של האוכלוסייה</w:t>
      </w:r>
      <w:r w:rsidR="00C97F3D">
        <w:rPr>
          <w:rFonts w:hint="cs"/>
          <w:rtl/>
        </w:rPr>
        <w:t>.</w:t>
      </w:r>
    </w:p>
    <w:p w:rsidR="0080565D" w:rsidRPr="00B17970" w:rsidRDefault="00255B26" w:rsidP="00DC2DB9">
      <w:pPr>
        <w:rPr>
          <w:rtl/>
        </w:rPr>
      </w:pPr>
      <w:r w:rsidRPr="00B17970">
        <w:rPr>
          <w:rtl/>
        </w:rPr>
        <w:t xml:space="preserve">    </w:t>
      </w:r>
    </w:p>
    <w:p w:rsidR="005B55ED" w:rsidRPr="00B17970" w:rsidRDefault="00255B26" w:rsidP="00C97F3D">
      <w:pPr>
        <w:rPr>
          <w:rtl/>
        </w:rPr>
      </w:pPr>
      <w:r w:rsidRPr="00B17970">
        <w:rPr>
          <w:rtl/>
        </w:rPr>
        <w:t>יתרה מזאת בעבירות הח</w:t>
      </w:r>
      <w:r w:rsidR="009979A2" w:rsidRPr="00B17970">
        <w:rPr>
          <w:rtl/>
        </w:rPr>
        <w:t>זקת הנשק שלא כדין</w:t>
      </w:r>
      <w:r w:rsidR="00545778" w:rsidRPr="00B17970">
        <w:rPr>
          <w:rtl/>
        </w:rPr>
        <w:t>,</w:t>
      </w:r>
      <w:r w:rsidR="009979A2" w:rsidRPr="00B17970">
        <w:rPr>
          <w:rtl/>
        </w:rPr>
        <w:t xml:space="preserve"> כמו גם בעבירות ירי בא</w:t>
      </w:r>
      <w:r w:rsidRPr="00B17970">
        <w:rPr>
          <w:rtl/>
        </w:rPr>
        <w:t>זור מגורים</w:t>
      </w:r>
      <w:r w:rsidR="00545778" w:rsidRPr="00B17970">
        <w:rPr>
          <w:rtl/>
        </w:rPr>
        <w:t>,</w:t>
      </w:r>
      <w:r w:rsidRPr="00B17970">
        <w:rPr>
          <w:rtl/>
        </w:rPr>
        <w:t xml:space="preserve"> איתור כלי הנשק </w:t>
      </w:r>
      <w:r w:rsidR="00C97F3D" w:rsidRPr="00B17970">
        <w:rPr>
          <w:rtl/>
        </w:rPr>
        <w:t>ה</w:t>
      </w:r>
      <w:r w:rsidR="00C97F3D">
        <w:rPr>
          <w:rFonts w:hint="cs"/>
          <w:rtl/>
        </w:rPr>
        <w:t>וא</w:t>
      </w:r>
      <w:r w:rsidR="00C97F3D" w:rsidRPr="00B17970">
        <w:rPr>
          <w:rtl/>
        </w:rPr>
        <w:t xml:space="preserve"> </w:t>
      </w:r>
      <w:r w:rsidRPr="00B17970">
        <w:rPr>
          <w:rtl/>
        </w:rPr>
        <w:t>צעד הכרחי ומשמעותי בקשירת העבריין לעבירה. העובדה כי הנשק בחזקתו של העבריין ובשל</w:t>
      </w:r>
      <w:r w:rsidR="009979A2" w:rsidRPr="00B17970">
        <w:rPr>
          <w:rtl/>
        </w:rPr>
        <w:t xml:space="preserve">יטתו, מאפשרת לו </w:t>
      </w:r>
      <w:r w:rsidRPr="00B17970">
        <w:rPr>
          <w:rtl/>
        </w:rPr>
        <w:t xml:space="preserve">להחביא או להשמיד את הנשק ולשבש את הראיות. בנסיבות אלו מתגבר הצורך </w:t>
      </w:r>
      <w:r w:rsidR="009979A2" w:rsidRPr="00B17970">
        <w:rPr>
          <w:rtl/>
        </w:rPr>
        <w:t>ב</w:t>
      </w:r>
      <w:r w:rsidRPr="00B17970">
        <w:rPr>
          <w:rtl/>
        </w:rPr>
        <w:t>מתן סמכות אש</w:t>
      </w:r>
      <w:r w:rsidR="009979A2" w:rsidRPr="00B17970">
        <w:rPr>
          <w:rtl/>
        </w:rPr>
        <w:t>ר תאפשר למשטרה לפעול במהירות המ</w:t>
      </w:r>
      <w:r w:rsidRPr="00B17970">
        <w:rPr>
          <w:rtl/>
        </w:rPr>
        <w:t>רבית</w:t>
      </w:r>
      <w:r w:rsidR="00E3426A" w:rsidRPr="00B17970">
        <w:rPr>
          <w:rtl/>
        </w:rPr>
        <w:t xml:space="preserve"> לצורך חקירת העבירות ולמניעת הישנותן</w:t>
      </w:r>
      <w:r w:rsidR="009979A2" w:rsidRPr="00B17970">
        <w:rPr>
          <w:rtl/>
        </w:rPr>
        <w:t>.</w:t>
      </w:r>
    </w:p>
    <w:p w:rsidR="00F24901" w:rsidRPr="00B17970" w:rsidRDefault="00F24901" w:rsidP="00D00464"/>
    <w:sectPr w:rsidR="00F24901" w:rsidRPr="00B17970" w:rsidSect="00FB570D">
      <w:pgSz w:w="11906" w:h="16838"/>
      <w:pgMar w:top="1701" w:right="1134" w:bottom="1417" w:left="1134"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0B" w:rsidRDefault="007B430B">
      <w:pPr>
        <w:spacing w:line="240" w:lineRule="auto"/>
      </w:pPr>
      <w:r>
        <w:separator/>
      </w:r>
    </w:p>
  </w:endnote>
  <w:endnote w:type="continuationSeparator" w:id="0">
    <w:p w:rsidR="007B430B" w:rsidRDefault="007B4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0B" w:rsidRDefault="007B430B" w:rsidP="007B6677">
      <w:pPr>
        <w:spacing w:line="240" w:lineRule="auto"/>
      </w:pPr>
      <w:r>
        <w:separator/>
      </w:r>
    </w:p>
  </w:footnote>
  <w:footnote w:type="continuationSeparator" w:id="0">
    <w:p w:rsidR="007B430B" w:rsidRDefault="007B430B" w:rsidP="007B6677">
      <w:pPr>
        <w:spacing w:line="240" w:lineRule="auto"/>
      </w:pPr>
      <w:r>
        <w:continuationSeparator/>
      </w:r>
    </w:p>
  </w:footnote>
  <w:footnote w:id="1">
    <w:p w:rsidR="00CB1AFB" w:rsidRDefault="00255B26" w:rsidP="006B3F70">
      <w:pPr>
        <w:pStyle w:val="a5"/>
        <w:rPr>
          <w:rtl/>
        </w:rPr>
      </w:pPr>
      <w:r w:rsidRPr="006B3F70">
        <w:rPr>
          <w:rStyle w:val="a7"/>
        </w:rPr>
        <w:footnoteRef/>
      </w:r>
      <w:r w:rsidRPr="006B3F70">
        <w:rPr>
          <w:rtl/>
        </w:rPr>
        <w:t xml:space="preserve"> </w:t>
      </w:r>
      <w:r w:rsidRPr="006B3F70">
        <w:t>https://www.gov.il/BlobFolder/generalpage/alternatefiles/he/Violence_Report%20_2020_Hebrew.pdf?fireglass_rsn=true#fireglass_params&amp;tabid=a3438d4b15532abb&amp;application_server_address=tie2.fg.gov.il&amp;popup=true&amp;is_right_side_popup=false&amp;start_with_session_counter=1</w:t>
      </w:r>
    </w:p>
  </w:footnote>
  <w:footnote w:id="2">
    <w:p w:rsidR="00990747" w:rsidRDefault="00255B26" w:rsidP="006B3F70">
      <w:pPr>
        <w:pStyle w:val="a5"/>
        <w:rPr>
          <w:rtl/>
        </w:rPr>
      </w:pPr>
      <w:r>
        <w:rPr>
          <w:rStyle w:val="a7"/>
        </w:rPr>
        <w:footnoteRef/>
      </w:r>
      <w:r>
        <w:rPr>
          <w:rtl/>
        </w:rPr>
        <w:t xml:space="preserve"> </w:t>
      </w:r>
      <w:r w:rsidRPr="00E63D4E">
        <w:rPr>
          <w:rtl/>
        </w:rPr>
        <w:t>נוסח חדש מס' 12 מיום 16.2.1969 עמ' 284.</w:t>
      </w:r>
    </w:p>
  </w:footnote>
  <w:footnote w:id="3">
    <w:p w:rsidR="00990747" w:rsidRDefault="00255B26" w:rsidP="006B3F70">
      <w:pPr>
        <w:pStyle w:val="a5"/>
        <w:rPr>
          <w:rtl/>
        </w:rPr>
      </w:pPr>
      <w:r>
        <w:rPr>
          <w:rStyle w:val="a7"/>
        </w:rPr>
        <w:footnoteRef/>
      </w:r>
      <w:r>
        <w:rPr>
          <w:rtl/>
        </w:rPr>
        <w:t xml:space="preserve"> </w:t>
      </w:r>
      <w:r>
        <w:rPr>
          <w:rFonts w:hint="cs"/>
          <w:rtl/>
        </w:rPr>
        <w:t>ס"ח תשל"ז מספר 864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F68CB"/>
    <w:multiLevelType w:val="hybridMultilevel"/>
    <w:tmpl w:val="ED40703E"/>
    <w:lvl w:ilvl="0" w:tplc="5B8EDB20">
      <w:start w:val="1"/>
      <w:numFmt w:val="decimal"/>
      <w:lvlText w:val="(%1)"/>
      <w:lvlJc w:val="left"/>
      <w:pPr>
        <w:tabs>
          <w:tab w:val="num" w:pos="624"/>
        </w:tabs>
        <w:ind w:left="0" w:firstLine="0"/>
      </w:pPr>
    </w:lvl>
    <w:lvl w:ilvl="1" w:tplc="E7B816C0" w:tentative="1">
      <w:start w:val="1"/>
      <w:numFmt w:val="lowerLetter"/>
      <w:lvlText w:val="%2."/>
      <w:lvlJc w:val="left"/>
      <w:pPr>
        <w:ind w:left="1440" w:hanging="360"/>
      </w:pPr>
    </w:lvl>
    <w:lvl w:ilvl="2" w:tplc="07DCFCEE" w:tentative="1">
      <w:start w:val="1"/>
      <w:numFmt w:val="lowerRoman"/>
      <w:lvlText w:val="%3."/>
      <w:lvlJc w:val="right"/>
      <w:pPr>
        <w:ind w:left="2160" w:hanging="180"/>
      </w:pPr>
    </w:lvl>
    <w:lvl w:ilvl="3" w:tplc="C2E8F658" w:tentative="1">
      <w:start w:val="1"/>
      <w:numFmt w:val="decimal"/>
      <w:lvlText w:val="%4."/>
      <w:lvlJc w:val="left"/>
      <w:pPr>
        <w:ind w:left="2880" w:hanging="360"/>
      </w:pPr>
    </w:lvl>
    <w:lvl w:ilvl="4" w:tplc="36527316" w:tentative="1">
      <w:start w:val="1"/>
      <w:numFmt w:val="lowerLetter"/>
      <w:lvlText w:val="%5."/>
      <w:lvlJc w:val="left"/>
      <w:pPr>
        <w:ind w:left="3600" w:hanging="360"/>
      </w:pPr>
    </w:lvl>
    <w:lvl w:ilvl="5" w:tplc="B1EACFA0" w:tentative="1">
      <w:start w:val="1"/>
      <w:numFmt w:val="lowerRoman"/>
      <w:lvlText w:val="%6."/>
      <w:lvlJc w:val="right"/>
      <w:pPr>
        <w:ind w:left="4320" w:hanging="180"/>
      </w:pPr>
    </w:lvl>
    <w:lvl w:ilvl="6" w:tplc="E728807E" w:tentative="1">
      <w:start w:val="1"/>
      <w:numFmt w:val="decimal"/>
      <w:lvlText w:val="%7."/>
      <w:lvlJc w:val="left"/>
      <w:pPr>
        <w:ind w:left="5040" w:hanging="360"/>
      </w:pPr>
    </w:lvl>
    <w:lvl w:ilvl="7" w:tplc="054698A4" w:tentative="1">
      <w:start w:val="1"/>
      <w:numFmt w:val="lowerLetter"/>
      <w:lvlText w:val="%8."/>
      <w:lvlJc w:val="left"/>
      <w:pPr>
        <w:ind w:left="5760" w:hanging="360"/>
      </w:pPr>
    </w:lvl>
    <w:lvl w:ilvl="8" w:tplc="786EB1F8"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E5163C9E">
      <w:start w:val="1"/>
      <w:numFmt w:val="decimal"/>
      <w:lvlText w:val="%1."/>
      <w:lvlJc w:val="left"/>
      <w:pPr>
        <w:ind w:left="700" w:hanging="360"/>
      </w:pPr>
      <w:rPr>
        <w:rFonts w:hint="default"/>
      </w:rPr>
    </w:lvl>
    <w:lvl w:ilvl="1" w:tplc="0096B7C4" w:tentative="1">
      <w:start w:val="1"/>
      <w:numFmt w:val="lowerLetter"/>
      <w:lvlText w:val="%2."/>
      <w:lvlJc w:val="left"/>
      <w:pPr>
        <w:ind w:left="1420" w:hanging="360"/>
      </w:pPr>
    </w:lvl>
    <w:lvl w:ilvl="2" w:tplc="5136F928" w:tentative="1">
      <w:start w:val="1"/>
      <w:numFmt w:val="lowerRoman"/>
      <w:lvlText w:val="%3."/>
      <w:lvlJc w:val="right"/>
      <w:pPr>
        <w:ind w:left="2140" w:hanging="180"/>
      </w:pPr>
    </w:lvl>
    <w:lvl w:ilvl="3" w:tplc="3EDE4BA2" w:tentative="1">
      <w:start w:val="1"/>
      <w:numFmt w:val="decimal"/>
      <w:lvlText w:val="%4."/>
      <w:lvlJc w:val="left"/>
      <w:pPr>
        <w:ind w:left="2860" w:hanging="360"/>
      </w:pPr>
    </w:lvl>
    <w:lvl w:ilvl="4" w:tplc="061005CC" w:tentative="1">
      <w:start w:val="1"/>
      <w:numFmt w:val="lowerLetter"/>
      <w:lvlText w:val="%5."/>
      <w:lvlJc w:val="left"/>
      <w:pPr>
        <w:ind w:left="3580" w:hanging="360"/>
      </w:pPr>
    </w:lvl>
    <w:lvl w:ilvl="5" w:tplc="C72C6B8A" w:tentative="1">
      <w:start w:val="1"/>
      <w:numFmt w:val="lowerRoman"/>
      <w:lvlText w:val="%6."/>
      <w:lvlJc w:val="right"/>
      <w:pPr>
        <w:ind w:left="4300" w:hanging="180"/>
      </w:pPr>
    </w:lvl>
    <w:lvl w:ilvl="6" w:tplc="F8580128" w:tentative="1">
      <w:start w:val="1"/>
      <w:numFmt w:val="decimal"/>
      <w:lvlText w:val="%7."/>
      <w:lvlJc w:val="left"/>
      <w:pPr>
        <w:ind w:left="5020" w:hanging="360"/>
      </w:pPr>
    </w:lvl>
    <w:lvl w:ilvl="7" w:tplc="D2AA83F2" w:tentative="1">
      <w:start w:val="1"/>
      <w:numFmt w:val="lowerLetter"/>
      <w:lvlText w:val="%8."/>
      <w:lvlJc w:val="left"/>
      <w:pPr>
        <w:ind w:left="5740" w:hanging="360"/>
      </w:pPr>
    </w:lvl>
    <w:lvl w:ilvl="8" w:tplc="76645FD2"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C0C6E064">
      <w:start w:val="1"/>
      <w:numFmt w:val="decimal"/>
      <w:lvlText w:val="(%1)"/>
      <w:lvlJc w:val="left"/>
      <w:pPr>
        <w:tabs>
          <w:tab w:val="num" w:pos="624"/>
        </w:tabs>
        <w:ind w:left="0" w:firstLine="0"/>
      </w:pPr>
      <w:rPr>
        <w:rFonts w:hint="default"/>
      </w:rPr>
    </w:lvl>
    <w:lvl w:ilvl="1" w:tplc="04B4C1FC" w:tentative="1">
      <w:start w:val="1"/>
      <w:numFmt w:val="lowerLetter"/>
      <w:lvlText w:val="%2."/>
      <w:lvlJc w:val="left"/>
      <w:pPr>
        <w:tabs>
          <w:tab w:val="num" w:pos="1440"/>
        </w:tabs>
        <w:ind w:left="1440" w:hanging="360"/>
      </w:pPr>
    </w:lvl>
    <w:lvl w:ilvl="2" w:tplc="96A25504" w:tentative="1">
      <w:start w:val="1"/>
      <w:numFmt w:val="lowerRoman"/>
      <w:lvlText w:val="%3."/>
      <w:lvlJc w:val="right"/>
      <w:pPr>
        <w:tabs>
          <w:tab w:val="num" w:pos="2160"/>
        </w:tabs>
        <w:ind w:left="2160" w:hanging="180"/>
      </w:pPr>
    </w:lvl>
    <w:lvl w:ilvl="3" w:tplc="00D440C6" w:tentative="1">
      <w:start w:val="1"/>
      <w:numFmt w:val="decimal"/>
      <w:lvlText w:val="%4."/>
      <w:lvlJc w:val="left"/>
      <w:pPr>
        <w:tabs>
          <w:tab w:val="num" w:pos="2880"/>
        </w:tabs>
        <w:ind w:left="2880" w:hanging="360"/>
      </w:pPr>
    </w:lvl>
    <w:lvl w:ilvl="4" w:tplc="6A72248E" w:tentative="1">
      <w:start w:val="1"/>
      <w:numFmt w:val="lowerLetter"/>
      <w:lvlText w:val="%5."/>
      <w:lvlJc w:val="left"/>
      <w:pPr>
        <w:tabs>
          <w:tab w:val="num" w:pos="3600"/>
        </w:tabs>
        <w:ind w:left="3600" w:hanging="360"/>
      </w:pPr>
    </w:lvl>
    <w:lvl w:ilvl="5" w:tplc="C7522D16" w:tentative="1">
      <w:start w:val="1"/>
      <w:numFmt w:val="lowerRoman"/>
      <w:lvlText w:val="%6."/>
      <w:lvlJc w:val="right"/>
      <w:pPr>
        <w:tabs>
          <w:tab w:val="num" w:pos="4320"/>
        </w:tabs>
        <w:ind w:left="4320" w:hanging="180"/>
      </w:pPr>
    </w:lvl>
    <w:lvl w:ilvl="6" w:tplc="021C2CD0" w:tentative="1">
      <w:start w:val="1"/>
      <w:numFmt w:val="decimal"/>
      <w:lvlText w:val="%7."/>
      <w:lvlJc w:val="left"/>
      <w:pPr>
        <w:tabs>
          <w:tab w:val="num" w:pos="5040"/>
        </w:tabs>
        <w:ind w:left="5040" w:hanging="360"/>
      </w:pPr>
    </w:lvl>
    <w:lvl w:ilvl="7" w:tplc="8E0024EC" w:tentative="1">
      <w:start w:val="1"/>
      <w:numFmt w:val="lowerLetter"/>
      <w:lvlText w:val="%8."/>
      <w:lvlJc w:val="left"/>
      <w:pPr>
        <w:tabs>
          <w:tab w:val="num" w:pos="5760"/>
        </w:tabs>
        <w:ind w:left="5760" w:hanging="360"/>
      </w:pPr>
    </w:lvl>
    <w:lvl w:ilvl="8" w:tplc="D228C258" w:tentative="1">
      <w:start w:val="1"/>
      <w:numFmt w:val="lowerRoman"/>
      <w:lvlText w:val="%9."/>
      <w:lvlJc w:val="right"/>
      <w:pPr>
        <w:tabs>
          <w:tab w:val="num" w:pos="6480"/>
        </w:tabs>
        <w:ind w:left="6480" w:hanging="180"/>
      </w:pPr>
    </w:lvl>
  </w:abstractNum>
  <w:abstractNum w:abstractNumId="13" w15:restartNumberingAfterBreak="0">
    <w:nsid w:val="2E84432F"/>
    <w:multiLevelType w:val="hybridMultilevel"/>
    <w:tmpl w:val="4330F24A"/>
    <w:lvl w:ilvl="0" w:tplc="E1563E00">
      <w:start w:val="25"/>
      <w:numFmt w:val="decimal"/>
      <w:lvlText w:val="%1."/>
      <w:lvlJc w:val="left"/>
      <w:pPr>
        <w:tabs>
          <w:tab w:val="num" w:pos="0"/>
        </w:tabs>
        <w:ind w:left="0" w:firstLine="0"/>
      </w:pPr>
      <w:rPr>
        <w:rFonts w:hint="default"/>
      </w:rPr>
    </w:lvl>
    <w:lvl w:ilvl="1" w:tplc="1B2A7452" w:tentative="1">
      <w:start w:val="1"/>
      <w:numFmt w:val="lowerLetter"/>
      <w:lvlText w:val="%2."/>
      <w:lvlJc w:val="left"/>
      <w:pPr>
        <w:ind w:left="1440" w:hanging="360"/>
      </w:pPr>
    </w:lvl>
    <w:lvl w:ilvl="2" w:tplc="E86275DC" w:tentative="1">
      <w:start w:val="1"/>
      <w:numFmt w:val="lowerRoman"/>
      <w:lvlText w:val="%3."/>
      <w:lvlJc w:val="right"/>
      <w:pPr>
        <w:ind w:left="2160" w:hanging="180"/>
      </w:pPr>
    </w:lvl>
    <w:lvl w:ilvl="3" w:tplc="F708767E" w:tentative="1">
      <w:start w:val="1"/>
      <w:numFmt w:val="decimal"/>
      <w:lvlText w:val="%4."/>
      <w:lvlJc w:val="left"/>
      <w:pPr>
        <w:ind w:left="2880" w:hanging="360"/>
      </w:pPr>
    </w:lvl>
    <w:lvl w:ilvl="4" w:tplc="3010285E" w:tentative="1">
      <w:start w:val="1"/>
      <w:numFmt w:val="lowerLetter"/>
      <w:lvlText w:val="%5."/>
      <w:lvlJc w:val="left"/>
      <w:pPr>
        <w:ind w:left="3600" w:hanging="360"/>
      </w:pPr>
    </w:lvl>
    <w:lvl w:ilvl="5" w:tplc="0E86A224" w:tentative="1">
      <w:start w:val="1"/>
      <w:numFmt w:val="lowerRoman"/>
      <w:lvlText w:val="%6."/>
      <w:lvlJc w:val="right"/>
      <w:pPr>
        <w:ind w:left="4320" w:hanging="180"/>
      </w:pPr>
    </w:lvl>
    <w:lvl w:ilvl="6" w:tplc="AA60B076" w:tentative="1">
      <w:start w:val="1"/>
      <w:numFmt w:val="decimal"/>
      <w:lvlText w:val="%7."/>
      <w:lvlJc w:val="left"/>
      <w:pPr>
        <w:ind w:left="5040" w:hanging="360"/>
      </w:pPr>
    </w:lvl>
    <w:lvl w:ilvl="7" w:tplc="191219A6" w:tentative="1">
      <w:start w:val="1"/>
      <w:numFmt w:val="lowerLetter"/>
      <w:lvlText w:val="%8."/>
      <w:lvlJc w:val="left"/>
      <w:pPr>
        <w:ind w:left="5760" w:hanging="360"/>
      </w:pPr>
    </w:lvl>
    <w:lvl w:ilvl="8" w:tplc="6388B752" w:tentative="1">
      <w:start w:val="1"/>
      <w:numFmt w:val="lowerRoman"/>
      <w:lvlText w:val="%9."/>
      <w:lvlJc w:val="right"/>
      <w:pPr>
        <w:ind w:left="6480" w:hanging="180"/>
      </w:pPr>
    </w:lvl>
  </w:abstractNum>
  <w:abstractNum w:abstractNumId="14" w15:restartNumberingAfterBreak="0">
    <w:nsid w:val="338D570B"/>
    <w:multiLevelType w:val="hybridMultilevel"/>
    <w:tmpl w:val="F81E1C6C"/>
    <w:lvl w:ilvl="0" w:tplc="CBB4762E">
      <w:start w:val="1"/>
      <w:numFmt w:val="decimal"/>
      <w:lvlText w:val="(%1)"/>
      <w:lvlJc w:val="left"/>
      <w:pPr>
        <w:tabs>
          <w:tab w:val="num" w:pos="624"/>
        </w:tabs>
        <w:ind w:left="0" w:firstLine="0"/>
      </w:pPr>
    </w:lvl>
    <w:lvl w:ilvl="1" w:tplc="2C866C36" w:tentative="1">
      <w:start w:val="1"/>
      <w:numFmt w:val="lowerLetter"/>
      <w:lvlText w:val="%2."/>
      <w:lvlJc w:val="left"/>
      <w:pPr>
        <w:ind w:left="1440" w:hanging="360"/>
      </w:pPr>
    </w:lvl>
    <w:lvl w:ilvl="2" w:tplc="BC2EBBE4" w:tentative="1">
      <w:start w:val="1"/>
      <w:numFmt w:val="lowerRoman"/>
      <w:lvlText w:val="%3."/>
      <w:lvlJc w:val="right"/>
      <w:pPr>
        <w:ind w:left="2160" w:hanging="180"/>
      </w:pPr>
    </w:lvl>
    <w:lvl w:ilvl="3" w:tplc="C2A02292" w:tentative="1">
      <w:start w:val="1"/>
      <w:numFmt w:val="decimal"/>
      <w:lvlText w:val="%4."/>
      <w:lvlJc w:val="left"/>
      <w:pPr>
        <w:ind w:left="2880" w:hanging="360"/>
      </w:pPr>
    </w:lvl>
    <w:lvl w:ilvl="4" w:tplc="8990EBF8" w:tentative="1">
      <w:start w:val="1"/>
      <w:numFmt w:val="lowerLetter"/>
      <w:lvlText w:val="%5."/>
      <w:lvlJc w:val="left"/>
      <w:pPr>
        <w:ind w:left="3600" w:hanging="360"/>
      </w:pPr>
    </w:lvl>
    <w:lvl w:ilvl="5" w:tplc="379604D2" w:tentative="1">
      <w:start w:val="1"/>
      <w:numFmt w:val="lowerRoman"/>
      <w:lvlText w:val="%6."/>
      <w:lvlJc w:val="right"/>
      <w:pPr>
        <w:ind w:left="4320" w:hanging="180"/>
      </w:pPr>
    </w:lvl>
    <w:lvl w:ilvl="6" w:tplc="36F6C910" w:tentative="1">
      <w:start w:val="1"/>
      <w:numFmt w:val="decimal"/>
      <w:lvlText w:val="%7."/>
      <w:lvlJc w:val="left"/>
      <w:pPr>
        <w:ind w:left="5040" w:hanging="360"/>
      </w:pPr>
    </w:lvl>
    <w:lvl w:ilvl="7" w:tplc="E6D4DF58" w:tentative="1">
      <w:start w:val="1"/>
      <w:numFmt w:val="lowerLetter"/>
      <w:lvlText w:val="%8."/>
      <w:lvlJc w:val="left"/>
      <w:pPr>
        <w:ind w:left="5760" w:hanging="360"/>
      </w:pPr>
    </w:lvl>
    <w:lvl w:ilvl="8" w:tplc="DB72559C" w:tentative="1">
      <w:start w:val="1"/>
      <w:numFmt w:val="lowerRoman"/>
      <w:lvlText w:val="%9."/>
      <w:lvlJc w:val="right"/>
      <w:pPr>
        <w:ind w:left="6480" w:hanging="180"/>
      </w:pPr>
    </w:lvl>
  </w:abstractNum>
  <w:abstractNum w:abstractNumId="15" w15:restartNumberingAfterBreak="0">
    <w:nsid w:val="36DD6E6C"/>
    <w:multiLevelType w:val="hybridMultilevel"/>
    <w:tmpl w:val="B9A4691C"/>
    <w:lvl w:ilvl="0" w:tplc="99BEA832">
      <w:start w:val="1"/>
      <w:numFmt w:val="decimal"/>
      <w:lvlText w:val="%1."/>
      <w:lvlJc w:val="left"/>
      <w:pPr>
        <w:ind w:left="720" w:hanging="360"/>
      </w:pPr>
      <w:rPr>
        <w:rFonts w:hint="default"/>
      </w:rPr>
    </w:lvl>
    <w:lvl w:ilvl="1" w:tplc="04580784" w:tentative="1">
      <w:start w:val="1"/>
      <w:numFmt w:val="lowerLetter"/>
      <w:lvlText w:val="%2."/>
      <w:lvlJc w:val="left"/>
      <w:pPr>
        <w:ind w:left="1440" w:hanging="360"/>
      </w:pPr>
    </w:lvl>
    <w:lvl w:ilvl="2" w:tplc="B3D6A7E2" w:tentative="1">
      <w:start w:val="1"/>
      <w:numFmt w:val="lowerRoman"/>
      <w:lvlText w:val="%3."/>
      <w:lvlJc w:val="right"/>
      <w:pPr>
        <w:ind w:left="2160" w:hanging="180"/>
      </w:pPr>
    </w:lvl>
    <w:lvl w:ilvl="3" w:tplc="04325122" w:tentative="1">
      <w:start w:val="1"/>
      <w:numFmt w:val="decimal"/>
      <w:lvlText w:val="%4."/>
      <w:lvlJc w:val="left"/>
      <w:pPr>
        <w:ind w:left="2880" w:hanging="360"/>
      </w:pPr>
    </w:lvl>
    <w:lvl w:ilvl="4" w:tplc="E5F0BC4E" w:tentative="1">
      <w:start w:val="1"/>
      <w:numFmt w:val="lowerLetter"/>
      <w:lvlText w:val="%5."/>
      <w:lvlJc w:val="left"/>
      <w:pPr>
        <w:ind w:left="3600" w:hanging="360"/>
      </w:pPr>
    </w:lvl>
    <w:lvl w:ilvl="5" w:tplc="A5868A2C" w:tentative="1">
      <w:start w:val="1"/>
      <w:numFmt w:val="lowerRoman"/>
      <w:lvlText w:val="%6."/>
      <w:lvlJc w:val="right"/>
      <w:pPr>
        <w:ind w:left="4320" w:hanging="180"/>
      </w:pPr>
    </w:lvl>
    <w:lvl w:ilvl="6" w:tplc="26BC7340" w:tentative="1">
      <w:start w:val="1"/>
      <w:numFmt w:val="decimal"/>
      <w:lvlText w:val="%7."/>
      <w:lvlJc w:val="left"/>
      <w:pPr>
        <w:ind w:left="5040" w:hanging="360"/>
      </w:pPr>
    </w:lvl>
    <w:lvl w:ilvl="7" w:tplc="E2BA99C0" w:tentative="1">
      <w:start w:val="1"/>
      <w:numFmt w:val="lowerLetter"/>
      <w:lvlText w:val="%8."/>
      <w:lvlJc w:val="left"/>
      <w:pPr>
        <w:ind w:left="5760" w:hanging="360"/>
      </w:pPr>
    </w:lvl>
    <w:lvl w:ilvl="8" w:tplc="E0BE9F1A" w:tentative="1">
      <w:start w:val="1"/>
      <w:numFmt w:val="lowerRoman"/>
      <w:lvlText w:val="%9."/>
      <w:lvlJc w:val="right"/>
      <w:pPr>
        <w:ind w:left="6480" w:hanging="180"/>
      </w:pPr>
    </w:lvl>
  </w:abstractNum>
  <w:abstractNum w:abstractNumId="16" w15:restartNumberingAfterBreak="0">
    <w:nsid w:val="374212CE"/>
    <w:multiLevelType w:val="hybridMultilevel"/>
    <w:tmpl w:val="FFEA5CA4"/>
    <w:lvl w:ilvl="0" w:tplc="4E72D0BE">
      <w:start w:val="1"/>
      <w:numFmt w:val="decimal"/>
      <w:lvlText w:val="%1."/>
      <w:lvlJc w:val="left"/>
      <w:pPr>
        <w:ind w:left="700" w:hanging="360"/>
      </w:pPr>
      <w:rPr>
        <w:rFonts w:hint="default"/>
      </w:rPr>
    </w:lvl>
    <w:lvl w:ilvl="1" w:tplc="B3F404D4" w:tentative="1">
      <w:start w:val="1"/>
      <w:numFmt w:val="lowerLetter"/>
      <w:lvlText w:val="%2."/>
      <w:lvlJc w:val="left"/>
      <w:pPr>
        <w:ind w:left="1420" w:hanging="360"/>
      </w:pPr>
    </w:lvl>
    <w:lvl w:ilvl="2" w:tplc="892CEBF8" w:tentative="1">
      <w:start w:val="1"/>
      <w:numFmt w:val="lowerRoman"/>
      <w:lvlText w:val="%3."/>
      <w:lvlJc w:val="right"/>
      <w:pPr>
        <w:ind w:left="2140" w:hanging="180"/>
      </w:pPr>
    </w:lvl>
    <w:lvl w:ilvl="3" w:tplc="3F3A1AA2" w:tentative="1">
      <w:start w:val="1"/>
      <w:numFmt w:val="decimal"/>
      <w:lvlText w:val="%4."/>
      <w:lvlJc w:val="left"/>
      <w:pPr>
        <w:ind w:left="2860" w:hanging="360"/>
      </w:pPr>
    </w:lvl>
    <w:lvl w:ilvl="4" w:tplc="2DA4569A" w:tentative="1">
      <w:start w:val="1"/>
      <w:numFmt w:val="lowerLetter"/>
      <w:lvlText w:val="%5."/>
      <w:lvlJc w:val="left"/>
      <w:pPr>
        <w:ind w:left="3580" w:hanging="360"/>
      </w:pPr>
    </w:lvl>
    <w:lvl w:ilvl="5" w:tplc="E2D256C4" w:tentative="1">
      <w:start w:val="1"/>
      <w:numFmt w:val="lowerRoman"/>
      <w:lvlText w:val="%6."/>
      <w:lvlJc w:val="right"/>
      <w:pPr>
        <w:ind w:left="4300" w:hanging="180"/>
      </w:pPr>
    </w:lvl>
    <w:lvl w:ilvl="6" w:tplc="1BD638D0" w:tentative="1">
      <w:start w:val="1"/>
      <w:numFmt w:val="decimal"/>
      <w:lvlText w:val="%7."/>
      <w:lvlJc w:val="left"/>
      <w:pPr>
        <w:ind w:left="5020" w:hanging="360"/>
      </w:pPr>
    </w:lvl>
    <w:lvl w:ilvl="7" w:tplc="1658B2B8" w:tentative="1">
      <w:start w:val="1"/>
      <w:numFmt w:val="lowerLetter"/>
      <w:lvlText w:val="%8."/>
      <w:lvlJc w:val="left"/>
      <w:pPr>
        <w:ind w:left="5740" w:hanging="360"/>
      </w:pPr>
    </w:lvl>
    <w:lvl w:ilvl="8" w:tplc="EE8AAF96" w:tentative="1">
      <w:start w:val="1"/>
      <w:numFmt w:val="lowerRoman"/>
      <w:lvlText w:val="%9."/>
      <w:lvlJc w:val="right"/>
      <w:pPr>
        <w:ind w:left="6460" w:hanging="180"/>
      </w:pPr>
    </w:lvl>
  </w:abstractNum>
  <w:abstractNum w:abstractNumId="17" w15:restartNumberingAfterBreak="0">
    <w:nsid w:val="555A2B35"/>
    <w:multiLevelType w:val="hybridMultilevel"/>
    <w:tmpl w:val="15969C8A"/>
    <w:lvl w:ilvl="0" w:tplc="4F4EEF34">
      <w:start w:val="1"/>
      <w:numFmt w:val="hebrew1"/>
      <w:pStyle w:val="4"/>
      <w:suff w:val="space"/>
      <w:lvlText w:val="%1."/>
      <w:lvlJc w:val="left"/>
      <w:pPr>
        <w:ind w:left="426" w:firstLine="0"/>
      </w:pPr>
      <w:rPr>
        <w:rFonts w:asciiTheme="minorBidi" w:hAnsiTheme="minorBidi" w:cstheme="minorBidi" w:hint="default"/>
      </w:rPr>
    </w:lvl>
    <w:lvl w:ilvl="1" w:tplc="288A9AFA">
      <w:start w:val="1"/>
      <w:numFmt w:val="decimal"/>
      <w:lvlText w:val="(%2)"/>
      <w:lvlJc w:val="left"/>
      <w:pPr>
        <w:tabs>
          <w:tab w:val="num" w:pos="624"/>
        </w:tabs>
        <w:ind w:left="0" w:firstLine="0"/>
      </w:pPr>
      <w:rPr>
        <w:rFonts w:hint="default"/>
      </w:rPr>
    </w:lvl>
    <w:lvl w:ilvl="2" w:tplc="DF6237EE">
      <w:start w:val="1"/>
      <w:numFmt w:val="hebrew1"/>
      <w:lvlText w:val="(%3)"/>
      <w:lvlJc w:val="left"/>
      <w:pPr>
        <w:tabs>
          <w:tab w:val="num" w:pos="624"/>
        </w:tabs>
        <w:ind w:left="0" w:firstLine="0"/>
      </w:pPr>
      <w:rPr>
        <w:rFonts w:hint="default"/>
      </w:rPr>
    </w:lvl>
    <w:lvl w:ilvl="3" w:tplc="16807362">
      <w:start w:val="1"/>
      <w:numFmt w:val="hebrew1"/>
      <w:lvlRestart w:val="0"/>
      <w:lvlText w:val="(%4)"/>
      <w:lvlJc w:val="left"/>
      <w:pPr>
        <w:tabs>
          <w:tab w:val="num" w:pos="624"/>
        </w:tabs>
        <w:ind w:left="0" w:firstLine="0"/>
      </w:pPr>
      <w:rPr>
        <w:rFonts w:hint="default"/>
      </w:rPr>
    </w:lvl>
    <w:lvl w:ilvl="4" w:tplc="FF4A71CA">
      <w:start w:val="1"/>
      <w:numFmt w:val="decimal"/>
      <w:lvlRestart w:val="0"/>
      <w:lvlText w:val="(%5)"/>
      <w:lvlJc w:val="left"/>
      <w:pPr>
        <w:tabs>
          <w:tab w:val="num" w:pos="3864"/>
        </w:tabs>
        <w:ind w:left="3240" w:firstLine="0"/>
      </w:pPr>
      <w:rPr>
        <w:rFonts w:hint="default"/>
      </w:rPr>
    </w:lvl>
    <w:lvl w:ilvl="5" w:tplc="BDE6ACEE" w:tentative="1">
      <w:start w:val="1"/>
      <w:numFmt w:val="lowerRoman"/>
      <w:lvlText w:val="%6."/>
      <w:lvlJc w:val="right"/>
      <w:pPr>
        <w:tabs>
          <w:tab w:val="num" w:pos="4320"/>
        </w:tabs>
        <w:ind w:left="4320" w:hanging="180"/>
      </w:pPr>
    </w:lvl>
    <w:lvl w:ilvl="6" w:tplc="AC804248" w:tentative="1">
      <w:start w:val="1"/>
      <w:numFmt w:val="decimal"/>
      <w:lvlText w:val="%7."/>
      <w:lvlJc w:val="left"/>
      <w:pPr>
        <w:tabs>
          <w:tab w:val="num" w:pos="5040"/>
        </w:tabs>
        <w:ind w:left="5040" w:hanging="360"/>
      </w:pPr>
    </w:lvl>
    <w:lvl w:ilvl="7" w:tplc="3634C6DE" w:tentative="1">
      <w:start w:val="1"/>
      <w:numFmt w:val="lowerLetter"/>
      <w:lvlText w:val="%8."/>
      <w:lvlJc w:val="left"/>
      <w:pPr>
        <w:tabs>
          <w:tab w:val="num" w:pos="5760"/>
        </w:tabs>
        <w:ind w:left="5760" w:hanging="360"/>
      </w:pPr>
    </w:lvl>
    <w:lvl w:ilvl="8" w:tplc="E79CED78" w:tentative="1">
      <w:start w:val="1"/>
      <w:numFmt w:val="lowerRoman"/>
      <w:lvlText w:val="%9."/>
      <w:lvlJc w:val="right"/>
      <w:pPr>
        <w:tabs>
          <w:tab w:val="num" w:pos="6480"/>
        </w:tabs>
        <w:ind w:left="6480" w:hanging="180"/>
      </w:pPr>
    </w:lvl>
  </w:abstractNum>
  <w:abstractNum w:abstractNumId="18" w15:restartNumberingAfterBreak="0">
    <w:nsid w:val="5B3B28B0"/>
    <w:multiLevelType w:val="hybridMultilevel"/>
    <w:tmpl w:val="41ACEA96"/>
    <w:lvl w:ilvl="0" w:tplc="AFF27578">
      <w:start w:val="1"/>
      <w:numFmt w:val="decimal"/>
      <w:pStyle w:val="TOC3"/>
      <w:lvlText w:val="%1."/>
      <w:lvlJc w:val="left"/>
      <w:pPr>
        <w:ind w:left="1287" w:hanging="360"/>
      </w:pPr>
      <w:rPr>
        <w:rFonts w:cs="David" w:hint="default"/>
        <w:bCs w:val="0"/>
        <w:iCs w:val="0"/>
        <w:szCs w:val="24"/>
      </w:rPr>
    </w:lvl>
    <w:lvl w:ilvl="1" w:tplc="EC7E20FE" w:tentative="1">
      <w:start w:val="1"/>
      <w:numFmt w:val="lowerLetter"/>
      <w:lvlText w:val="%2."/>
      <w:lvlJc w:val="left"/>
      <w:pPr>
        <w:ind w:left="2007" w:hanging="360"/>
      </w:pPr>
    </w:lvl>
    <w:lvl w:ilvl="2" w:tplc="26CA8BCA" w:tentative="1">
      <w:start w:val="1"/>
      <w:numFmt w:val="lowerRoman"/>
      <w:lvlText w:val="%3."/>
      <w:lvlJc w:val="right"/>
      <w:pPr>
        <w:ind w:left="2727" w:hanging="180"/>
      </w:pPr>
    </w:lvl>
    <w:lvl w:ilvl="3" w:tplc="371471C4" w:tentative="1">
      <w:start w:val="1"/>
      <w:numFmt w:val="decimal"/>
      <w:lvlText w:val="%4."/>
      <w:lvlJc w:val="left"/>
      <w:pPr>
        <w:ind w:left="3447" w:hanging="360"/>
      </w:pPr>
    </w:lvl>
    <w:lvl w:ilvl="4" w:tplc="CE2E4C6A" w:tentative="1">
      <w:start w:val="1"/>
      <w:numFmt w:val="lowerLetter"/>
      <w:lvlText w:val="%5."/>
      <w:lvlJc w:val="left"/>
      <w:pPr>
        <w:ind w:left="4167" w:hanging="360"/>
      </w:pPr>
    </w:lvl>
    <w:lvl w:ilvl="5" w:tplc="D06A0DAA" w:tentative="1">
      <w:start w:val="1"/>
      <w:numFmt w:val="lowerRoman"/>
      <w:lvlText w:val="%6."/>
      <w:lvlJc w:val="right"/>
      <w:pPr>
        <w:ind w:left="4887" w:hanging="180"/>
      </w:pPr>
    </w:lvl>
    <w:lvl w:ilvl="6" w:tplc="7DBE5316" w:tentative="1">
      <w:start w:val="1"/>
      <w:numFmt w:val="decimal"/>
      <w:lvlText w:val="%7."/>
      <w:lvlJc w:val="left"/>
      <w:pPr>
        <w:ind w:left="5607" w:hanging="360"/>
      </w:pPr>
    </w:lvl>
    <w:lvl w:ilvl="7" w:tplc="053AE48E" w:tentative="1">
      <w:start w:val="1"/>
      <w:numFmt w:val="lowerLetter"/>
      <w:lvlText w:val="%8."/>
      <w:lvlJc w:val="left"/>
      <w:pPr>
        <w:ind w:left="6327" w:hanging="360"/>
      </w:pPr>
    </w:lvl>
    <w:lvl w:ilvl="8" w:tplc="ADDEA322" w:tentative="1">
      <w:start w:val="1"/>
      <w:numFmt w:val="lowerRoman"/>
      <w:lvlText w:val="%9."/>
      <w:lvlJc w:val="right"/>
      <w:pPr>
        <w:ind w:left="7047" w:hanging="180"/>
      </w:pPr>
    </w:lvl>
  </w:abstractNum>
  <w:abstractNum w:abstractNumId="19" w15:restartNumberingAfterBreak="0">
    <w:nsid w:val="753C544D"/>
    <w:multiLevelType w:val="hybridMultilevel"/>
    <w:tmpl w:val="C7443990"/>
    <w:lvl w:ilvl="0" w:tplc="B6101A06">
      <w:start w:val="1"/>
      <w:numFmt w:val="decimal"/>
      <w:lvlText w:val="%1."/>
      <w:lvlJc w:val="left"/>
      <w:pPr>
        <w:tabs>
          <w:tab w:val="num" w:pos="0"/>
        </w:tabs>
        <w:ind w:left="0" w:firstLine="0"/>
      </w:pPr>
      <w:rPr>
        <w:rFonts w:hint="default"/>
      </w:rPr>
    </w:lvl>
    <w:lvl w:ilvl="1" w:tplc="BD0E4DD2">
      <w:start w:val="1"/>
      <w:numFmt w:val="decimal"/>
      <w:lvlText w:val="(%2)"/>
      <w:lvlJc w:val="left"/>
      <w:pPr>
        <w:tabs>
          <w:tab w:val="num" w:pos="624"/>
        </w:tabs>
        <w:ind w:left="0" w:firstLine="0"/>
      </w:pPr>
      <w:rPr>
        <w:rFonts w:hint="default"/>
      </w:rPr>
    </w:lvl>
    <w:lvl w:ilvl="2" w:tplc="CFDA8C94">
      <w:start w:val="1"/>
      <w:numFmt w:val="hebrew1"/>
      <w:lvlText w:val="(%3)"/>
      <w:lvlJc w:val="left"/>
      <w:pPr>
        <w:tabs>
          <w:tab w:val="num" w:pos="624"/>
        </w:tabs>
        <w:ind w:left="0" w:firstLine="0"/>
      </w:pPr>
      <w:rPr>
        <w:rFonts w:hint="default"/>
      </w:rPr>
    </w:lvl>
    <w:lvl w:ilvl="3" w:tplc="946C9F3A">
      <w:start w:val="1"/>
      <w:numFmt w:val="hebrew1"/>
      <w:lvlRestart w:val="0"/>
      <w:lvlText w:val="(%4)"/>
      <w:lvlJc w:val="left"/>
      <w:pPr>
        <w:tabs>
          <w:tab w:val="num" w:pos="624"/>
        </w:tabs>
        <w:ind w:left="0" w:firstLine="0"/>
      </w:pPr>
      <w:rPr>
        <w:rFonts w:hint="default"/>
      </w:rPr>
    </w:lvl>
    <w:lvl w:ilvl="4" w:tplc="14B022B8">
      <w:start w:val="1"/>
      <w:numFmt w:val="decimal"/>
      <w:lvlRestart w:val="0"/>
      <w:lvlText w:val="(%5)"/>
      <w:lvlJc w:val="left"/>
      <w:pPr>
        <w:tabs>
          <w:tab w:val="num" w:pos="3864"/>
        </w:tabs>
        <w:ind w:left="3240" w:firstLine="0"/>
      </w:pPr>
      <w:rPr>
        <w:rFonts w:hint="default"/>
      </w:rPr>
    </w:lvl>
    <w:lvl w:ilvl="5" w:tplc="404E6158" w:tentative="1">
      <w:start w:val="1"/>
      <w:numFmt w:val="lowerRoman"/>
      <w:lvlText w:val="%6."/>
      <w:lvlJc w:val="right"/>
      <w:pPr>
        <w:tabs>
          <w:tab w:val="num" w:pos="4320"/>
        </w:tabs>
        <w:ind w:left="4320" w:hanging="180"/>
      </w:pPr>
    </w:lvl>
    <w:lvl w:ilvl="6" w:tplc="0C58FAD4" w:tentative="1">
      <w:start w:val="1"/>
      <w:numFmt w:val="decimal"/>
      <w:lvlText w:val="%7."/>
      <w:lvlJc w:val="left"/>
      <w:pPr>
        <w:tabs>
          <w:tab w:val="num" w:pos="5040"/>
        </w:tabs>
        <w:ind w:left="5040" w:hanging="360"/>
      </w:pPr>
    </w:lvl>
    <w:lvl w:ilvl="7" w:tplc="4D8C595A" w:tentative="1">
      <w:start w:val="1"/>
      <w:numFmt w:val="lowerLetter"/>
      <w:lvlText w:val="%8."/>
      <w:lvlJc w:val="left"/>
      <w:pPr>
        <w:tabs>
          <w:tab w:val="num" w:pos="5760"/>
        </w:tabs>
        <w:ind w:left="5760" w:hanging="360"/>
      </w:pPr>
    </w:lvl>
    <w:lvl w:ilvl="8" w:tplc="44000690" w:tentative="1">
      <w:start w:val="1"/>
      <w:numFmt w:val="lowerRoman"/>
      <w:lvlText w:val="%9."/>
      <w:lvlJc w:val="right"/>
      <w:pPr>
        <w:tabs>
          <w:tab w:val="num" w:pos="6480"/>
        </w:tabs>
        <w:ind w:left="6480" w:hanging="180"/>
      </w:pPr>
    </w:lvl>
  </w:abstractNum>
  <w:abstractNum w:abstractNumId="20" w15:restartNumberingAfterBreak="0">
    <w:nsid w:val="75C858E4"/>
    <w:multiLevelType w:val="hybridMultilevel"/>
    <w:tmpl w:val="882C6ED4"/>
    <w:lvl w:ilvl="0" w:tplc="8362B670">
      <w:start w:val="1"/>
      <w:numFmt w:val="hebrew1"/>
      <w:lvlText w:val="(%1)"/>
      <w:lvlJc w:val="left"/>
      <w:pPr>
        <w:tabs>
          <w:tab w:val="num" w:pos="624"/>
        </w:tabs>
        <w:ind w:left="0" w:firstLine="0"/>
      </w:pPr>
      <w:rPr>
        <w:rFonts w:hint="default"/>
      </w:rPr>
    </w:lvl>
    <w:lvl w:ilvl="1" w:tplc="5CD4CC22">
      <w:start w:val="1"/>
      <w:numFmt w:val="decimal"/>
      <w:lvlRestart w:val="0"/>
      <w:lvlText w:val="(%2)"/>
      <w:lvlJc w:val="left"/>
      <w:pPr>
        <w:tabs>
          <w:tab w:val="num" w:pos="1704"/>
        </w:tabs>
        <w:ind w:left="1080" w:firstLine="0"/>
      </w:pPr>
      <w:rPr>
        <w:rFonts w:hint="default"/>
      </w:rPr>
    </w:lvl>
    <w:lvl w:ilvl="2" w:tplc="C8F28AF0">
      <w:start w:val="1"/>
      <w:numFmt w:val="decimal"/>
      <w:lvlRestart w:val="0"/>
      <w:lvlText w:val="(%3)"/>
      <w:lvlJc w:val="left"/>
      <w:pPr>
        <w:tabs>
          <w:tab w:val="num" w:pos="2604"/>
        </w:tabs>
        <w:ind w:left="1980" w:firstLine="0"/>
      </w:pPr>
      <w:rPr>
        <w:rFonts w:hint="default"/>
      </w:rPr>
    </w:lvl>
    <w:lvl w:ilvl="3" w:tplc="9940DBB4" w:tentative="1">
      <w:start w:val="1"/>
      <w:numFmt w:val="decimal"/>
      <w:lvlText w:val="%4."/>
      <w:lvlJc w:val="left"/>
      <w:pPr>
        <w:tabs>
          <w:tab w:val="num" w:pos="2880"/>
        </w:tabs>
        <w:ind w:left="2880" w:hanging="360"/>
      </w:pPr>
    </w:lvl>
    <w:lvl w:ilvl="4" w:tplc="1F2C61D8" w:tentative="1">
      <w:start w:val="1"/>
      <w:numFmt w:val="lowerLetter"/>
      <w:lvlText w:val="%5."/>
      <w:lvlJc w:val="left"/>
      <w:pPr>
        <w:tabs>
          <w:tab w:val="num" w:pos="3600"/>
        </w:tabs>
        <w:ind w:left="3600" w:hanging="360"/>
      </w:pPr>
    </w:lvl>
    <w:lvl w:ilvl="5" w:tplc="098CAEBA" w:tentative="1">
      <w:start w:val="1"/>
      <w:numFmt w:val="lowerRoman"/>
      <w:lvlText w:val="%6."/>
      <w:lvlJc w:val="right"/>
      <w:pPr>
        <w:tabs>
          <w:tab w:val="num" w:pos="4320"/>
        </w:tabs>
        <w:ind w:left="4320" w:hanging="180"/>
      </w:pPr>
    </w:lvl>
    <w:lvl w:ilvl="6" w:tplc="A810002A" w:tentative="1">
      <w:start w:val="1"/>
      <w:numFmt w:val="decimal"/>
      <w:lvlText w:val="%7."/>
      <w:lvlJc w:val="left"/>
      <w:pPr>
        <w:tabs>
          <w:tab w:val="num" w:pos="5040"/>
        </w:tabs>
        <w:ind w:left="5040" w:hanging="360"/>
      </w:pPr>
    </w:lvl>
    <w:lvl w:ilvl="7" w:tplc="97C2749C" w:tentative="1">
      <w:start w:val="1"/>
      <w:numFmt w:val="lowerLetter"/>
      <w:lvlText w:val="%8."/>
      <w:lvlJc w:val="left"/>
      <w:pPr>
        <w:tabs>
          <w:tab w:val="num" w:pos="5760"/>
        </w:tabs>
        <w:ind w:left="5760" w:hanging="360"/>
      </w:pPr>
    </w:lvl>
    <w:lvl w:ilvl="8" w:tplc="E01632E6"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12"/>
  </w:num>
  <w:num w:numId="6">
    <w:abstractNumId w:val="20"/>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7"/>
    <w:lvlOverride w:ilvl="0">
      <w:startOverride w:val="1"/>
    </w:lvlOverride>
  </w:num>
  <w:num w:numId="18">
    <w:abstractNumId w:val="11"/>
  </w:num>
  <w:num w:numId="19">
    <w:abstractNumId w:val="18"/>
  </w:num>
  <w:num w:numId="20">
    <w:abstractNumId w:val="14"/>
  </w:num>
  <w:num w:numId="21">
    <w:abstractNumId w:val="13"/>
  </w:num>
  <w:num w:numId="22">
    <w:abstractNumId w:val="16"/>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0D"/>
    <w:rsid w:val="000337D0"/>
    <w:rsid w:val="00052054"/>
    <w:rsid w:val="00065839"/>
    <w:rsid w:val="00082E9A"/>
    <w:rsid w:val="00086C43"/>
    <w:rsid w:val="00096C8A"/>
    <w:rsid w:val="00096E27"/>
    <w:rsid w:val="000B3B5C"/>
    <w:rsid w:val="000F5A4F"/>
    <w:rsid w:val="00104AEA"/>
    <w:rsid w:val="0011411B"/>
    <w:rsid w:val="0012790E"/>
    <w:rsid w:val="00133C1A"/>
    <w:rsid w:val="00140DF3"/>
    <w:rsid w:val="00142044"/>
    <w:rsid w:val="00145CFB"/>
    <w:rsid w:val="0017025B"/>
    <w:rsid w:val="001A148F"/>
    <w:rsid w:val="001D18D4"/>
    <w:rsid w:val="001E1731"/>
    <w:rsid w:val="001E38B8"/>
    <w:rsid w:val="0023428A"/>
    <w:rsid w:val="00236EC9"/>
    <w:rsid w:val="00255B26"/>
    <w:rsid w:val="00281755"/>
    <w:rsid w:val="0029342B"/>
    <w:rsid w:val="00296A26"/>
    <w:rsid w:val="002A1D96"/>
    <w:rsid w:val="002B236D"/>
    <w:rsid w:val="002B7ECF"/>
    <w:rsid w:val="002E2A78"/>
    <w:rsid w:val="002E499C"/>
    <w:rsid w:val="002F7548"/>
    <w:rsid w:val="00316B6B"/>
    <w:rsid w:val="003247AA"/>
    <w:rsid w:val="003A1CA6"/>
    <w:rsid w:val="003C4497"/>
    <w:rsid w:val="003C4E82"/>
    <w:rsid w:val="003C5F56"/>
    <w:rsid w:val="003D5553"/>
    <w:rsid w:val="003E20B1"/>
    <w:rsid w:val="003E6B67"/>
    <w:rsid w:val="003E7019"/>
    <w:rsid w:val="003F54F8"/>
    <w:rsid w:val="003F5C36"/>
    <w:rsid w:val="0042219B"/>
    <w:rsid w:val="004449B6"/>
    <w:rsid w:val="00445391"/>
    <w:rsid w:val="00480C29"/>
    <w:rsid w:val="004B541C"/>
    <w:rsid w:val="004F6765"/>
    <w:rsid w:val="00500379"/>
    <w:rsid w:val="005075D5"/>
    <w:rsid w:val="00536590"/>
    <w:rsid w:val="00545778"/>
    <w:rsid w:val="00561C75"/>
    <w:rsid w:val="00597629"/>
    <w:rsid w:val="005A18F8"/>
    <w:rsid w:val="005B55ED"/>
    <w:rsid w:val="005C0D0F"/>
    <w:rsid w:val="005D28E6"/>
    <w:rsid w:val="005F4113"/>
    <w:rsid w:val="00614EF0"/>
    <w:rsid w:val="006477ED"/>
    <w:rsid w:val="00681DD4"/>
    <w:rsid w:val="00683BBE"/>
    <w:rsid w:val="006A7BFD"/>
    <w:rsid w:val="006B3F70"/>
    <w:rsid w:val="006F3D44"/>
    <w:rsid w:val="007021FD"/>
    <w:rsid w:val="00704798"/>
    <w:rsid w:val="007112F2"/>
    <w:rsid w:val="007129F9"/>
    <w:rsid w:val="00713091"/>
    <w:rsid w:val="00734C64"/>
    <w:rsid w:val="00737617"/>
    <w:rsid w:val="00763919"/>
    <w:rsid w:val="007721DB"/>
    <w:rsid w:val="007802E7"/>
    <w:rsid w:val="00787BD5"/>
    <w:rsid w:val="007B10B9"/>
    <w:rsid w:val="007B430B"/>
    <w:rsid w:val="007B6677"/>
    <w:rsid w:val="007C5C63"/>
    <w:rsid w:val="007D0E2A"/>
    <w:rsid w:val="007D205E"/>
    <w:rsid w:val="007E0810"/>
    <w:rsid w:val="007F1DCE"/>
    <w:rsid w:val="007F7A67"/>
    <w:rsid w:val="0080565D"/>
    <w:rsid w:val="0081240A"/>
    <w:rsid w:val="00820172"/>
    <w:rsid w:val="00821BA7"/>
    <w:rsid w:val="0082463F"/>
    <w:rsid w:val="00830A08"/>
    <w:rsid w:val="00870252"/>
    <w:rsid w:val="008B50D9"/>
    <w:rsid w:val="008B6A29"/>
    <w:rsid w:val="008C2C43"/>
    <w:rsid w:val="008D39A5"/>
    <w:rsid w:val="00903C4F"/>
    <w:rsid w:val="009638EC"/>
    <w:rsid w:val="00973245"/>
    <w:rsid w:val="00982488"/>
    <w:rsid w:val="00990747"/>
    <w:rsid w:val="00996BAF"/>
    <w:rsid w:val="009979A2"/>
    <w:rsid w:val="009C2AE7"/>
    <w:rsid w:val="009C6100"/>
    <w:rsid w:val="009C72B4"/>
    <w:rsid w:val="009F5045"/>
    <w:rsid w:val="00A10AB7"/>
    <w:rsid w:val="00A14CBA"/>
    <w:rsid w:val="00A16AED"/>
    <w:rsid w:val="00A336A8"/>
    <w:rsid w:val="00A405CD"/>
    <w:rsid w:val="00A956FD"/>
    <w:rsid w:val="00AC2074"/>
    <w:rsid w:val="00AD16AB"/>
    <w:rsid w:val="00B17970"/>
    <w:rsid w:val="00B31C4A"/>
    <w:rsid w:val="00B329F7"/>
    <w:rsid w:val="00B350E6"/>
    <w:rsid w:val="00B37C9C"/>
    <w:rsid w:val="00B41330"/>
    <w:rsid w:val="00B44AA4"/>
    <w:rsid w:val="00B55618"/>
    <w:rsid w:val="00B604A3"/>
    <w:rsid w:val="00B76E44"/>
    <w:rsid w:val="00B90019"/>
    <w:rsid w:val="00BA61A0"/>
    <w:rsid w:val="00BB46E5"/>
    <w:rsid w:val="00BD01B6"/>
    <w:rsid w:val="00BF005A"/>
    <w:rsid w:val="00C43A5F"/>
    <w:rsid w:val="00C71794"/>
    <w:rsid w:val="00C96B03"/>
    <w:rsid w:val="00C97F3D"/>
    <w:rsid w:val="00CA3851"/>
    <w:rsid w:val="00CB1AFB"/>
    <w:rsid w:val="00CB1D0C"/>
    <w:rsid w:val="00CB7C42"/>
    <w:rsid w:val="00CD3EC7"/>
    <w:rsid w:val="00CD43E1"/>
    <w:rsid w:val="00CE066A"/>
    <w:rsid w:val="00CF35D1"/>
    <w:rsid w:val="00CF7223"/>
    <w:rsid w:val="00D00464"/>
    <w:rsid w:val="00D554E2"/>
    <w:rsid w:val="00D55AAF"/>
    <w:rsid w:val="00D66DAF"/>
    <w:rsid w:val="00D7730D"/>
    <w:rsid w:val="00D8044D"/>
    <w:rsid w:val="00D868E9"/>
    <w:rsid w:val="00D913D9"/>
    <w:rsid w:val="00D9146A"/>
    <w:rsid w:val="00DA75D3"/>
    <w:rsid w:val="00DB0EE9"/>
    <w:rsid w:val="00DC2A95"/>
    <w:rsid w:val="00DC2DB9"/>
    <w:rsid w:val="00DE0D5B"/>
    <w:rsid w:val="00E02F7B"/>
    <w:rsid w:val="00E079FA"/>
    <w:rsid w:val="00E12E30"/>
    <w:rsid w:val="00E24167"/>
    <w:rsid w:val="00E33C5C"/>
    <w:rsid w:val="00E3426A"/>
    <w:rsid w:val="00E43C60"/>
    <w:rsid w:val="00E63D4E"/>
    <w:rsid w:val="00E75A1C"/>
    <w:rsid w:val="00E81CE9"/>
    <w:rsid w:val="00E90FA3"/>
    <w:rsid w:val="00EA0E12"/>
    <w:rsid w:val="00EA2297"/>
    <w:rsid w:val="00F24901"/>
    <w:rsid w:val="00F2678F"/>
    <w:rsid w:val="00F2693A"/>
    <w:rsid w:val="00F47C9A"/>
    <w:rsid w:val="00F560EC"/>
    <w:rsid w:val="00F5659D"/>
    <w:rsid w:val="00F94331"/>
    <w:rsid w:val="00FA445B"/>
    <w:rsid w:val="00FB28B9"/>
    <w:rsid w:val="00FB570D"/>
    <w:rsid w:val="00FB74AD"/>
    <w:rsid w:val="00FD0D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2CB3C-659A-4731-B496-B6845AFD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70D"/>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FB570D"/>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FB570D"/>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FB570D"/>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FB570D"/>
    <w:pPr>
      <w:numPr>
        <w:numId w:val="1"/>
      </w:numPr>
      <w:spacing w:before="40" w:after="120"/>
      <w:ind w:left="0"/>
      <w:outlineLvl w:val="3"/>
    </w:pPr>
    <w:rPr>
      <w:b/>
      <w:bCs/>
      <w:color w:val="000000" w:themeColor="text1"/>
      <w:szCs w:val="28"/>
    </w:rPr>
  </w:style>
  <w:style w:type="paragraph" w:styleId="5">
    <w:name w:val="heading 5"/>
    <w:basedOn w:val="a"/>
    <w:next w:val="a"/>
    <w:link w:val="50"/>
    <w:uiPriority w:val="9"/>
    <w:unhideWhenUsed/>
    <w:qFormat/>
    <w:rsid w:val="00FB570D"/>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B570D"/>
    <w:rPr>
      <w:rFonts w:asciiTheme="majorHAnsi" w:eastAsiaTheme="majorEastAsia" w:hAnsiTheme="majorHAnsi" w:cs="David"/>
      <w:bCs/>
      <w:sz w:val="32"/>
      <w:szCs w:val="36"/>
    </w:rPr>
  </w:style>
  <w:style w:type="character" w:customStyle="1" w:styleId="40">
    <w:name w:val="כותרת 4 תו"/>
    <w:basedOn w:val="a0"/>
    <w:link w:val="4"/>
    <w:uiPriority w:val="9"/>
    <w:rsid w:val="00FB570D"/>
    <w:rPr>
      <w:rFonts w:ascii="David" w:hAnsi="David" w:cs="David"/>
      <w:b/>
      <w:bCs/>
      <w:color w:val="000000" w:themeColor="text1"/>
      <w:sz w:val="24"/>
      <w:szCs w:val="28"/>
    </w:rPr>
  </w:style>
  <w:style w:type="paragraph" w:customStyle="1" w:styleId="TableText">
    <w:name w:val="Table Text"/>
    <w:basedOn w:val="a"/>
    <w:rsid w:val="00FB570D"/>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FB570D"/>
    <w:pPr>
      <w:outlineLvl w:val="2"/>
    </w:pPr>
  </w:style>
  <w:style w:type="paragraph" w:customStyle="1" w:styleId="TableBlock">
    <w:name w:val="Table Block"/>
    <w:basedOn w:val="TableText"/>
    <w:rsid w:val="00FB570D"/>
    <w:pPr>
      <w:jc w:val="both"/>
    </w:pPr>
  </w:style>
  <w:style w:type="paragraph" w:customStyle="1" w:styleId="TableHead">
    <w:name w:val="Table Head"/>
    <w:basedOn w:val="TableText"/>
    <w:rsid w:val="00FB570D"/>
    <w:pPr>
      <w:jc w:val="center"/>
      <w:outlineLvl w:val="1"/>
    </w:pPr>
    <w:rPr>
      <w:b/>
      <w:bCs/>
    </w:rPr>
  </w:style>
  <w:style w:type="paragraph" w:customStyle="1" w:styleId="HeadMitparsemetBaze">
    <w:name w:val="Head MitparsemetBaze"/>
    <w:basedOn w:val="a"/>
    <w:rsid w:val="00FB570D"/>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FB570D"/>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FB570D"/>
    <w:pPr>
      <w:tabs>
        <w:tab w:val="left" w:pos="680"/>
        <w:tab w:val="left" w:pos="1020"/>
      </w:tabs>
      <w:ind w:firstLine="0"/>
    </w:pPr>
  </w:style>
  <w:style w:type="paragraph" w:customStyle="1" w:styleId="HeadDivreiHesber">
    <w:name w:val="Head DivreiHesber"/>
    <w:basedOn w:val="a"/>
    <w:rsid w:val="00FB570D"/>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FB570D"/>
    <w:rPr>
      <w:rFonts w:asciiTheme="majorHAnsi" w:eastAsiaTheme="majorEastAsia" w:hAnsiTheme="majorHAnsi" w:cs="David"/>
      <w:bCs/>
      <w:sz w:val="26"/>
      <w:szCs w:val="36"/>
      <w:u w:val="single"/>
    </w:rPr>
  </w:style>
  <w:style w:type="character" w:customStyle="1" w:styleId="30">
    <w:name w:val="כותרת 3 תו"/>
    <w:basedOn w:val="a0"/>
    <w:link w:val="3"/>
    <w:rsid w:val="00FB570D"/>
    <w:rPr>
      <w:rFonts w:asciiTheme="majorHAnsi" w:eastAsiaTheme="majorEastAsia" w:hAnsiTheme="majorHAnsi" w:cs="David"/>
      <w:sz w:val="24"/>
      <w:szCs w:val="28"/>
      <w:u w:val="double"/>
    </w:rPr>
  </w:style>
  <w:style w:type="character" w:customStyle="1" w:styleId="50">
    <w:name w:val="כותרת 5 תו"/>
    <w:basedOn w:val="a0"/>
    <w:link w:val="5"/>
    <w:uiPriority w:val="9"/>
    <w:rsid w:val="00FB570D"/>
    <w:rPr>
      <w:rFonts w:ascii="David" w:hAnsi="David" w:cs="David"/>
      <w:color w:val="000000" w:themeColor="text1"/>
      <w:sz w:val="24"/>
      <w:szCs w:val="24"/>
    </w:rPr>
  </w:style>
  <w:style w:type="paragraph" w:customStyle="1" w:styleId="HeadHatzaotHok4Futer">
    <w:name w:val="Head HatzaotHok4Futer"/>
    <w:basedOn w:val="HeadHatzaotHok"/>
    <w:rsid w:val="00FB570D"/>
    <w:pPr>
      <w:spacing w:before="120" w:after="120"/>
    </w:pPr>
    <w:rPr>
      <w:color w:val="FF0000"/>
      <w:w w:val="80"/>
    </w:rPr>
  </w:style>
  <w:style w:type="paragraph" w:styleId="a3">
    <w:name w:val="endnote text"/>
    <w:basedOn w:val="a"/>
    <w:link w:val="a4"/>
    <w:semiHidden/>
    <w:rsid w:val="00FB570D"/>
    <w:pPr>
      <w:ind w:left="227" w:hanging="227"/>
    </w:pPr>
    <w:rPr>
      <w:sz w:val="14"/>
      <w:szCs w:val="22"/>
    </w:rPr>
  </w:style>
  <w:style w:type="character" w:customStyle="1" w:styleId="a4">
    <w:name w:val="טקסט הערת סיום תו"/>
    <w:basedOn w:val="a0"/>
    <w:link w:val="a3"/>
    <w:semiHidden/>
    <w:rsid w:val="00FB570D"/>
    <w:rPr>
      <w:rFonts w:ascii="David" w:hAnsi="David" w:cs="David"/>
      <w:sz w:val="14"/>
    </w:rPr>
  </w:style>
  <w:style w:type="paragraph" w:customStyle="1" w:styleId="TableInnerSideHeading">
    <w:name w:val="Table InnerSideHeading"/>
    <w:basedOn w:val="TableSideHeading"/>
    <w:rsid w:val="00FB570D"/>
    <w:pPr>
      <w:outlineLvl w:val="9"/>
    </w:pPr>
  </w:style>
  <w:style w:type="paragraph" w:customStyle="1" w:styleId="Hesber">
    <w:name w:val="Hesber"/>
    <w:basedOn w:val="a"/>
    <w:rsid w:val="00FB570D"/>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6B3F70"/>
    <w:pPr>
      <w:snapToGrid w:val="0"/>
      <w:spacing w:line="240" w:lineRule="auto"/>
      <w:ind w:left="0"/>
      <w:jc w:val="left"/>
    </w:pPr>
    <w:rPr>
      <w:rFonts w:ascii="Arial" w:eastAsia="Arial Unicode MS" w:hAnsi="Arial"/>
      <w:snapToGrid w:val="0"/>
      <w:sz w:val="16"/>
      <w:szCs w:val="22"/>
    </w:rPr>
  </w:style>
  <w:style w:type="character" w:customStyle="1" w:styleId="a6">
    <w:name w:val="טקסט הערת שוליים תו"/>
    <w:basedOn w:val="a0"/>
    <w:link w:val="a5"/>
    <w:semiHidden/>
    <w:rsid w:val="006B3F70"/>
    <w:rPr>
      <w:rFonts w:ascii="Arial" w:eastAsia="Arial Unicode MS" w:hAnsi="Arial" w:cs="David"/>
      <w:snapToGrid w:val="0"/>
      <w:sz w:val="16"/>
    </w:rPr>
  </w:style>
  <w:style w:type="character" w:styleId="a7">
    <w:name w:val="footnote reference"/>
    <w:aliases w:val="Footnote Reference_0"/>
    <w:basedOn w:val="a0"/>
    <w:semiHidden/>
    <w:rsid w:val="00FB570D"/>
    <w:rPr>
      <w:vertAlign w:val="superscript"/>
    </w:rPr>
  </w:style>
  <w:style w:type="paragraph" w:customStyle="1" w:styleId="HesberHeading">
    <w:name w:val="Hesber Heading"/>
    <w:basedOn w:val="Hesber"/>
    <w:rsid w:val="00FB570D"/>
    <w:pPr>
      <w:tabs>
        <w:tab w:val="left" w:pos="624"/>
        <w:tab w:val="left" w:pos="1247"/>
      </w:tabs>
    </w:pPr>
    <w:rPr>
      <w:b/>
      <w:bCs/>
    </w:rPr>
  </w:style>
  <w:style w:type="paragraph" w:customStyle="1" w:styleId="HesberWriters">
    <w:name w:val="Hesber Writers"/>
    <w:basedOn w:val="Hesber"/>
    <w:rsid w:val="00FB570D"/>
    <w:pPr>
      <w:spacing w:before="120" w:after="120"/>
      <w:ind w:left="1418"/>
      <w:jc w:val="right"/>
    </w:pPr>
    <w:rPr>
      <w:b/>
      <w:bCs/>
    </w:rPr>
  </w:style>
  <w:style w:type="character" w:styleId="a8">
    <w:name w:val="endnote reference"/>
    <w:basedOn w:val="a0"/>
    <w:semiHidden/>
    <w:rsid w:val="00FB570D"/>
    <w:rPr>
      <w:vertAlign w:val="superscript"/>
    </w:rPr>
  </w:style>
  <w:style w:type="paragraph" w:customStyle="1" w:styleId="TableBlockOutdent">
    <w:name w:val="Table BlockOutdent"/>
    <w:basedOn w:val="TableBlock"/>
    <w:rsid w:val="00FB570D"/>
    <w:pPr>
      <w:ind w:left="624" w:hanging="624"/>
    </w:pPr>
  </w:style>
  <w:style w:type="paragraph" w:styleId="a9">
    <w:name w:val="header"/>
    <w:basedOn w:val="a"/>
    <w:link w:val="aa"/>
    <w:rsid w:val="00FB570D"/>
    <w:pPr>
      <w:tabs>
        <w:tab w:val="center" w:pos="4153"/>
        <w:tab w:val="right" w:pos="8306"/>
      </w:tabs>
    </w:pPr>
  </w:style>
  <w:style w:type="character" w:customStyle="1" w:styleId="aa">
    <w:name w:val="כותרת עליונה תו"/>
    <w:basedOn w:val="a0"/>
    <w:link w:val="a9"/>
    <w:rsid w:val="00FB570D"/>
    <w:rPr>
      <w:rFonts w:ascii="David" w:hAnsi="David" w:cs="David"/>
      <w:sz w:val="24"/>
      <w:szCs w:val="24"/>
    </w:rPr>
  </w:style>
  <w:style w:type="paragraph" w:styleId="ab">
    <w:name w:val="footer"/>
    <w:basedOn w:val="a"/>
    <w:link w:val="ac"/>
    <w:rsid w:val="00FB570D"/>
    <w:pPr>
      <w:tabs>
        <w:tab w:val="center" w:pos="4153"/>
        <w:tab w:val="right" w:pos="8306"/>
      </w:tabs>
    </w:pPr>
  </w:style>
  <w:style w:type="character" w:customStyle="1" w:styleId="ac">
    <w:name w:val="כותרת תחתונה תו"/>
    <w:basedOn w:val="a0"/>
    <w:link w:val="ab"/>
    <w:rsid w:val="00FB570D"/>
    <w:rPr>
      <w:rFonts w:ascii="David" w:hAnsi="David" w:cs="David"/>
      <w:sz w:val="24"/>
      <w:szCs w:val="24"/>
    </w:rPr>
  </w:style>
  <w:style w:type="character" w:styleId="ad">
    <w:name w:val="page number"/>
    <w:basedOn w:val="a0"/>
    <w:rsid w:val="00FB570D"/>
  </w:style>
  <w:style w:type="paragraph" w:customStyle="1" w:styleId="Cover1-Reshumot">
    <w:name w:val="Cover 1-Reshumot"/>
    <w:basedOn w:val="a"/>
    <w:rsid w:val="00FB570D"/>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FB570D"/>
    <w:rPr>
      <w:sz w:val="36"/>
      <w:szCs w:val="52"/>
    </w:rPr>
  </w:style>
  <w:style w:type="paragraph" w:customStyle="1" w:styleId="Cover3-Haknesset">
    <w:name w:val="Cover 3-Haknesset"/>
    <w:basedOn w:val="Cover1-Reshumot"/>
    <w:rsid w:val="00FB570D"/>
    <w:rPr>
      <w:b/>
      <w:bCs/>
      <w:spacing w:val="60"/>
    </w:rPr>
  </w:style>
  <w:style w:type="paragraph" w:customStyle="1" w:styleId="Cover4-Date">
    <w:name w:val="Cover 4-Date"/>
    <w:basedOn w:val="a"/>
    <w:rsid w:val="00FB570D"/>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FB570D"/>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FB570D"/>
    <w:pPr>
      <w:widowControl/>
      <w:spacing w:before="120" w:after="120"/>
      <w:outlineLvl w:val="9"/>
    </w:pPr>
    <w:rPr>
      <w:rtl/>
      <w:cs/>
    </w:rPr>
  </w:style>
  <w:style w:type="paragraph" w:styleId="TOC1">
    <w:name w:val="toc 1"/>
    <w:basedOn w:val="a"/>
    <w:next w:val="a"/>
    <w:autoRedefine/>
    <w:uiPriority w:val="39"/>
    <w:unhideWhenUsed/>
    <w:rsid w:val="00FB570D"/>
    <w:pPr>
      <w:tabs>
        <w:tab w:val="right" w:leader="dot" w:pos="9629"/>
      </w:tabs>
      <w:spacing w:after="100"/>
    </w:pPr>
    <w:rPr>
      <w:bCs/>
      <w:szCs w:val="22"/>
    </w:rPr>
  </w:style>
  <w:style w:type="paragraph" w:styleId="TOC2">
    <w:name w:val="toc 2"/>
    <w:basedOn w:val="a"/>
    <w:next w:val="a"/>
    <w:uiPriority w:val="39"/>
    <w:unhideWhenUsed/>
    <w:rsid w:val="00FB570D"/>
    <w:pPr>
      <w:tabs>
        <w:tab w:val="right" w:leader="dot" w:pos="9628"/>
      </w:tabs>
      <w:spacing w:after="100"/>
    </w:pPr>
    <w:rPr>
      <w:szCs w:val="22"/>
    </w:rPr>
  </w:style>
  <w:style w:type="character" w:styleId="Hyperlink">
    <w:name w:val="Hyperlink"/>
    <w:basedOn w:val="a0"/>
    <w:uiPriority w:val="99"/>
    <w:unhideWhenUsed/>
    <w:rsid w:val="00FB570D"/>
    <w:rPr>
      <w:color w:val="0000FF" w:themeColor="hyperlink"/>
      <w:u w:val="single"/>
    </w:rPr>
  </w:style>
  <w:style w:type="paragraph" w:styleId="TOC3">
    <w:name w:val="toc 3"/>
    <w:basedOn w:val="a"/>
    <w:next w:val="a"/>
    <w:uiPriority w:val="39"/>
    <w:unhideWhenUsed/>
    <w:rsid w:val="00FB570D"/>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FB570D"/>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FB570D"/>
    <w:pPr>
      <w:tabs>
        <w:tab w:val="right" w:leader="dot" w:pos="9628"/>
      </w:tabs>
      <w:spacing w:after="100"/>
      <w:ind w:left="567"/>
    </w:pPr>
    <w:rPr>
      <w:szCs w:val="22"/>
    </w:rPr>
  </w:style>
  <w:style w:type="paragraph" w:styleId="TOC6">
    <w:name w:val="toc 6"/>
    <w:basedOn w:val="a"/>
    <w:next w:val="a"/>
    <w:autoRedefine/>
    <w:semiHidden/>
    <w:unhideWhenUsed/>
    <w:rsid w:val="00FB570D"/>
    <w:pPr>
      <w:spacing w:after="100"/>
      <w:ind w:left="850"/>
    </w:pPr>
  </w:style>
  <w:style w:type="paragraph" w:styleId="TOC7">
    <w:name w:val="toc 7"/>
    <w:basedOn w:val="a"/>
    <w:next w:val="a"/>
    <w:autoRedefine/>
    <w:semiHidden/>
    <w:unhideWhenUsed/>
    <w:rsid w:val="00FB570D"/>
    <w:pPr>
      <w:spacing w:after="100"/>
      <w:ind w:left="1020"/>
    </w:pPr>
  </w:style>
  <w:style w:type="paragraph" w:styleId="TOC8">
    <w:name w:val="toc 8"/>
    <w:basedOn w:val="a"/>
    <w:next w:val="a"/>
    <w:autoRedefine/>
    <w:semiHidden/>
    <w:unhideWhenUsed/>
    <w:rsid w:val="00FB570D"/>
    <w:pPr>
      <w:spacing w:after="100"/>
      <w:ind w:left="1190"/>
    </w:pPr>
  </w:style>
  <w:style w:type="paragraph" w:styleId="TOC9">
    <w:name w:val="toc 9"/>
    <w:basedOn w:val="a"/>
    <w:next w:val="a"/>
    <w:autoRedefine/>
    <w:semiHidden/>
    <w:unhideWhenUsed/>
    <w:rsid w:val="00FB570D"/>
    <w:pPr>
      <w:spacing w:after="100"/>
      <w:ind w:left="1360"/>
    </w:pPr>
  </w:style>
  <w:style w:type="paragraph" w:customStyle="1" w:styleId="TableHead2">
    <w:name w:val="Table Head2"/>
    <w:basedOn w:val="TableHead"/>
    <w:qFormat/>
    <w:rsid w:val="00FB570D"/>
    <w:pPr>
      <w:outlineLvl w:val="9"/>
    </w:pPr>
  </w:style>
  <w:style w:type="paragraph" w:customStyle="1" w:styleId="TableSideHeading2">
    <w:name w:val="Table SideHeading2"/>
    <w:basedOn w:val="TableSideHeading"/>
    <w:autoRedefine/>
    <w:qFormat/>
    <w:rsid w:val="00FB570D"/>
    <w:pPr>
      <w:keepLines w:val="0"/>
      <w:outlineLvl w:val="9"/>
    </w:pPr>
  </w:style>
  <w:style w:type="paragraph" w:customStyle="1" w:styleId="0">
    <w:name w:val="סגנון שורה ראשונה:  0  ס''מ"/>
    <w:basedOn w:val="2"/>
    <w:rsid w:val="00FB570D"/>
    <w:rPr>
      <w:rFonts w:eastAsia="Times New Roman"/>
    </w:rPr>
  </w:style>
  <w:style w:type="paragraph" w:styleId="af">
    <w:name w:val="List Paragraph"/>
    <w:basedOn w:val="a"/>
    <w:uiPriority w:val="34"/>
    <w:qFormat/>
    <w:rsid w:val="00FB570D"/>
    <w:pPr>
      <w:widowControl/>
      <w:spacing w:line="259" w:lineRule="auto"/>
    </w:pPr>
    <w:rPr>
      <w:rFonts w:asciiTheme="minorHAnsi" w:hAnsiTheme="minorHAnsi"/>
      <w:sz w:val="22"/>
    </w:rPr>
  </w:style>
  <w:style w:type="table" w:styleId="af0">
    <w:name w:val="Table Grid"/>
    <w:basedOn w:val="a1"/>
    <w:rsid w:val="00FB570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FB570D"/>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FB570D"/>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FB570D"/>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FB570D"/>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7B6677"/>
    <w:rPr>
      <w:sz w:val="16"/>
      <w:szCs w:val="16"/>
    </w:rPr>
  </w:style>
  <w:style w:type="paragraph" w:styleId="af3">
    <w:name w:val="annotation text"/>
    <w:basedOn w:val="a"/>
    <w:link w:val="af4"/>
    <w:uiPriority w:val="99"/>
    <w:semiHidden/>
    <w:unhideWhenUsed/>
    <w:rsid w:val="007B6677"/>
    <w:pPr>
      <w:widowControl/>
      <w:spacing w:after="200" w:line="240" w:lineRule="auto"/>
      <w:ind w:left="0"/>
      <w:contextualSpacing w:val="0"/>
      <w:jc w:val="left"/>
    </w:pPr>
    <w:rPr>
      <w:rFonts w:asciiTheme="minorHAnsi" w:hAnsiTheme="minorHAnsi" w:cstheme="minorBidi"/>
      <w:sz w:val="20"/>
      <w:szCs w:val="20"/>
    </w:rPr>
  </w:style>
  <w:style w:type="character" w:customStyle="1" w:styleId="af4">
    <w:name w:val="טקסט הערה תו"/>
    <w:basedOn w:val="a0"/>
    <w:link w:val="af3"/>
    <w:uiPriority w:val="99"/>
    <w:semiHidden/>
    <w:rsid w:val="007B6677"/>
    <w:rPr>
      <w:sz w:val="20"/>
      <w:szCs w:val="20"/>
    </w:rPr>
  </w:style>
  <w:style w:type="paragraph" w:styleId="af5">
    <w:name w:val="Balloon Text"/>
    <w:basedOn w:val="a"/>
    <w:link w:val="af6"/>
    <w:uiPriority w:val="99"/>
    <w:semiHidden/>
    <w:unhideWhenUsed/>
    <w:rsid w:val="007B6677"/>
    <w:pPr>
      <w:spacing w:line="240" w:lineRule="auto"/>
    </w:pPr>
    <w:rPr>
      <w:rFonts w:ascii="Tahoma" w:hAnsi="Tahoma" w:cs="Tahoma"/>
      <w:sz w:val="18"/>
      <w:szCs w:val="18"/>
    </w:rPr>
  </w:style>
  <w:style w:type="character" w:customStyle="1" w:styleId="af6">
    <w:name w:val="טקסט בלונים תו"/>
    <w:basedOn w:val="a0"/>
    <w:link w:val="af5"/>
    <w:uiPriority w:val="99"/>
    <w:semiHidden/>
    <w:rsid w:val="007B6677"/>
    <w:rPr>
      <w:rFonts w:ascii="Tahoma" w:hAnsi="Tahoma" w:cs="Tahoma"/>
      <w:sz w:val="18"/>
      <w:szCs w:val="18"/>
    </w:rPr>
  </w:style>
  <w:style w:type="paragraph" w:styleId="af7">
    <w:name w:val="annotation subject"/>
    <w:basedOn w:val="af3"/>
    <w:next w:val="af3"/>
    <w:link w:val="af8"/>
    <w:uiPriority w:val="99"/>
    <w:semiHidden/>
    <w:unhideWhenUsed/>
    <w:rsid w:val="007B6677"/>
    <w:pPr>
      <w:widowControl w:val="0"/>
      <w:spacing w:after="0"/>
      <w:ind w:left="340"/>
      <w:contextualSpacing/>
      <w:jc w:val="both"/>
    </w:pPr>
    <w:rPr>
      <w:rFonts w:ascii="David" w:hAnsi="David" w:cs="David"/>
      <w:b/>
      <w:bCs/>
    </w:rPr>
  </w:style>
  <w:style w:type="character" w:customStyle="1" w:styleId="af8">
    <w:name w:val="נושא הערה תו"/>
    <w:basedOn w:val="af4"/>
    <w:link w:val="af7"/>
    <w:uiPriority w:val="99"/>
    <w:semiHidden/>
    <w:rsid w:val="007B6677"/>
    <w:rPr>
      <w:rFonts w:ascii="David" w:hAnsi="David" w:cs="David"/>
      <w:b/>
      <w:bCs/>
      <w:sz w:val="20"/>
      <w:szCs w:val="20"/>
    </w:rPr>
  </w:style>
  <w:style w:type="paragraph" w:styleId="af9">
    <w:name w:val="Revision"/>
    <w:hidden/>
    <w:uiPriority w:val="99"/>
    <w:semiHidden/>
    <w:rsid w:val="00DC2DB9"/>
    <w:pPr>
      <w:spacing w:after="0" w:line="240" w:lineRule="auto"/>
    </w:pPr>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171198-0A41-4108-9910-FF1C06DE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10884</Characters>
  <Application>Microsoft Office Word</Application>
  <DocSecurity>4</DocSecurity>
  <Lines>90</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Nirit Lahav kanizo</dc:creator>
  <cp:lastModifiedBy>Nirit Lahav kanizo</cp:lastModifiedBy>
  <cp:revision>2</cp:revision>
  <dcterms:created xsi:type="dcterms:W3CDTF">2021-09-19T07:17:00Z</dcterms:created>
  <dcterms:modified xsi:type="dcterms:W3CDTF">2021-09-19T07:17:00Z</dcterms:modified>
</cp:coreProperties>
</file>